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BBC710" w14:textId="77777777" w:rsidR="00EE106C" w:rsidRPr="00381B8F" w:rsidRDefault="00EE106C" w:rsidP="00EE106C">
      <w:pPr>
        <w:widowControl w:val="0"/>
        <w:autoSpaceDE w:val="0"/>
        <w:autoSpaceDN w:val="0"/>
        <w:adjustRightInd w:val="0"/>
        <w:spacing w:line="360" w:lineRule="auto"/>
        <w:ind w:left="480" w:hanging="480"/>
        <w:rPr>
          <w:rFonts w:ascii="Times New Roman" w:hAnsi="Times New Roman" w:cs="Times New Roman"/>
          <w:b/>
          <w:bCs/>
        </w:rPr>
      </w:pPr>
      <w:r w:rsidRPr="00381B8F">
        <w:rPr>
          <w:rFonts w:ascii="Times New Roman" w:hAnsi="Times New Roman" w:cs="Times New Roman"/>
          <w:b/>
          <w:bCs/>
        </w:rPr>
        <w:t>Appendix A</w:t>
      </w:r>
    </w:p>
    <w:p w14:paraId="6AD0828F" w14:textId="77777777" w:rsidR="00EE106C" w:rsidRPr="00381B8F" w:rsidRDefault="00EE106C" w:rsidP="00EE106C">
      <w:pPr>
        <w:widowControl w:val="0"/>
        <w:autoSpaceDE w:val="0"/>
        <w:autoSpaceDN w:val="0"/>
        <w:adjustRightInd w:val="0"/>
        <w:spacing w:line="360" w:lineRule="auto"/>
        <w:ind w:left="480" w:hanging="480"/>
        <w:rPr>
          <w:rFonts w:ascii="Times New Roman" w:hAnsi="Times New Roman" w:cs="Times New Roman"/>
          <w:b/>
          <w:bCs/>
        </w:rPr>
      </w:pPr>
      <w:r w:rsidRPr="00381B8F">
        <w:rPr>
          <w:rFonts w:ascii="Times New Roman" w:hAnsi="Times New Roman" w:cs="Times New Roman"/>
          <w:b/>
          <w:bCs/>
        </w:rPr>
        <w:t>Table 1A: Quartile DiD and CiC estimates of seed system intervention effects on seed system outcomes (ZIMBABWE)</w:t>
      </w:r>
    </w:p>
    <w:tbl>
      <w:tblPr>
        <w:tblStyle w:val="ListTable6Colorful"/>
        <w:tblW w:w="5000" w:type="pct"/>
        <w:tblLook w:val="06A0" w:firstRow="1" w:lastRow="0" w:firstColumn="1" w:lastColumn="0" w:noHBand="1" w:noVBand="1"/>
      </w:tblPr>
      <w:tblGrid>
        <w:gridCol w:w="3742"/>
        <w:gridCol w:w="1843"/>
        <w:gridCol w:w="1843"/>
        <w:gridCol w:w="1843"/>
        <w:gridCol w:w="1843"/>
        <w:gridCol w:w="1846"/>
      </w:tblGrid>
      <w:tr w:rsidR="00EE106C" w:rsidRPr="00381B8F" w14:paraId="100B52B5" w14:textId="77777777" w:rsidTr="00525F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4" w:type="pct"/>
          </w:tcPr>
          <w:p w14:paraId="5C2D884E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</w:p>
        </w:tc>
        <w:tc>
          <w:tcPr>
            <w:tcW w:w="3556" w:type="pct"/>
            <w:gridSpan w:val="5"/>
            <w:tcBorders>
              <w:bottom w:val="single" w:sz="4" w:space="0" w:color="auto"/>
            </w:tcBorders>
          </w:tcPr>
          <w:p w14:paraId="59D308F4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381B8F">
              <w:rPr>
                <w:rFonts w:ascii="Times New Roman" w:hAnsi="Times New Roman" w:cs="Times New Roman"/>
                <w:b w:val="0"/>
                <w:bCs w:val="0"/>
                <w:color w:val="auto"/>
              </w:rPr>
              <w:t>Quartile regression estimates</w:t>
            </w:r>
          </w:p>
        </w:tc>
      </w:tr>
      <w:tr w:rsidR="00EE106C" w:rsidRPr="00381B8F" w14:paraId="7B03CD22" w14:textId="77777777" w:rsidTr="00525F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4" w:type="pct"/>
          </w:tcPr>
          <w:p w14:paraId="1D70A9F8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</w:p>
        </w:tc>
        <w:tc>
          <w:tcPr>
            <w:tcW w:w="711" w:type="pct"/>
            <w:tcBorders>
              <w:top w:val="single" w:sz="4" w:space="0" w:color="auto"/>
              <w:bottom w:val="single" w:sz="4" w:space="0" w:color="auto"/>
            </w:tcBorders>
          </w:tcPr>
          <w:p w14:paraId="06355C20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381B8F">
              <w:rPr>
                <w:rFonts w:ascii="Times New Roman" w:hAnsi="Times New Roman" w:cs="Times New Roman"/>
                <w:b/>
                <w:bCs/>
                <w:color w:val="auto"/>
              </w:rPr>
              <w:t>0.1</w:t>
            </w:r>
          </w:p>
        </w:tc>
        <w:tc>
          <w:tcPr>
            <w:tcW w:w="711" w:type="pct"/>
            <w:tcBorders>
              <w:top w:val="single" w:sz="4" w:space="0" w:color="auto"/>
              <w:bottom w:val="single" w:sz="4" w:space="0" w:color="auto"/>
            </w:tcBorders>
          </w:tcPr>
          <w:p w14:paraId="481BE09C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381B8F">
              <w:rPr>
                <w:rFonts w:ascii="Times New Roman" w:hAnsi="Times New Roman" w:cs="Times New Roman"/>
                <w:b/>
                <w:bCs/>
                <w:color w:val="auto"/>
              </w:rPr>
              <w:t>0.25</w:t>
            </w:r>
          </w:p>
        </w:tc>
        <w:tc>
          <w:tcPr>
            <w:tcW w:w="711" w:type="pct"/>
            <w:tcBorders>
              <w:top w:val="single" w:sz="4" w:space="0" w:color="auto"/>
              <w:bottom w:val="single" w:sz="4" w:space="0" w:color="auto"/>
            </w:tcBorders>
          </w:tcPr>
          <w:p w14:paraId="7084A838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381B8F">
              <w:rPr>
                <w:rFonts w:ascii="Times New Roman" w:hAnsi="Times New Roman" w:cs="Times New Roman"/>
                <w:b/>
                <w:bCs/>
                <w:color w:val="auto"/>
              </w:rPr>
              <w:t>0.50</w:t>
            </w:r>
          </w:p>
        </w:tc>
        <w:tc>
          <w:tcPr>
            <w:tcW w:w="711" w:type="pct"/>
            <w:tcBorders>
              <w:top w:val="single" w:sz="4" w:space="0" w:color="auto"/>
              <w:bottom w:val="single" w:sz="4" w:space="0" w:color="auto"/>
            </w:tcBorders>
          </w:tcPr>
          <w:p w14:paraId="2C366D99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381B8F">
              <w:rPr>
                <w:rFonts w:ascii="Times New Roman" w:hAnsi="Times New Roman" w:cs="Times New Roman"/>
                <w:b/>
                <w:bCs/>
                <w:color w:val="auto"/>
              </w:rPr>
              <w:t>0.75</w:t>
            </w:r>
          </w:p>
        </w:tc>
        <w:tc>
          <w:tcPr>
            <w:tcW w:w="711" w:type="pct"/>
            <w:tcBorders>
              <w:top w:val="single" w:sz="4" w:space="0" w:color="auto"/>
              <w:bottom w:val="single" w:sz="4" w:space="0" w:color="auto"/>
            </w:tcBorders>
          </w:tcPr>
          <w:p w14:paraId="3F1746CC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381B8F">
              <w:rPr>
                <w:rFonts w:ascii="Times New Roman" w:hAnsi="Times New Roman" w:cs="Times New Roman"/>
                <w:b/>
                <w:bCs/>
                <w:color w:val="auto"/>
              </w:rPr>
              <w:t>0.9</w:t>
            </w:r>
          </w:p>
        </w:tc>
      </w:tr>
      <w:tr w:rsidR="00EE106C" w:rsidRPr="00381B8F" w14:paraId="31896CCD" w14:textId="77777777" w:rsidTr="00525F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4" w:type="pct"/>
          </w:tcPr>
          <w:p w14:paraId="5BE18710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381B8F">
              <w:rPr>
                <w:rFonts w:ascii="Times New Roman" w:hAnsi="Times New Roman" w:cs="Times New Roman"/>
                <w:b w:val="0"/>
                <w:bCs w:val="0"/>
                <w:color w:val="auto"/>
              </w:rPr>
              <w:t>CiC</w:t>
            </w:r>
          </w:p>
        </w:tc>
        <w:tc>
          <w:tcPr>
            <w:tcW w:w="711" w:type="pct"/>
            <w:tcBorders>
              <w:top w:val="single" w:sz="4" w:space="0" w:color="auto"/>
            </w:tcBorders>
          </w:tcPr>
          <w:p w14:paraId="7607586F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711" w:type="pct"/>
            <w:tcBorders>
              <w:top w:val="single" w:sz="4" w:space="0" w:color="auto"/>
            </w:tcBorders>
          </w:tcPr>
          <w:p w14:paraId="12D8A28C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711" w:type="pct"/>
            <w:tcBorders>
              <w:top w:val="single" w:sz="4" w:space="0" w:color="auto"/>
            </w:tcBorders>
          </w:tcPr>
          <w:p w14:paraId="1BE09108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711" w:type="pct"/>
            <w:tcBorders>
              <w:top w:val="single" w:sz="4" w:space="0" w:color="auto"/>
            </w:tcBorders>
          </w:tcPr>
          <w:p w14:paraId="11288DEA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</w:rPr>
            </w:pPr>
          </w:p>
        </w:tc>
        <w:tc>
          <w:tcPr>
            <w:tcW w:w="711" w:type="pct"/>
            <w:tcBorders>
              <w:top w:val="single" w:sz="4" w:space="0" w:color="auto"/>
            </w:tcBorders>
          </w:tcPr>
          <w:p w14:paraId="5BD911B6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</w:rPr>
            </w:pPr>
          </w:p>
        </w:tc>
      </w:tr>
      <w:tr w:rsidR="00EE106C" w:rsidRPr="00381B8F" w14:paraId="15DE6390" w14:textId="77777777" w:rsidTr="00525F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4" w:type="pct"/>
          </w:tcPr>
          <w:p w14:paraId="001FCDB7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381B8F">
              <w:rPr>
                <w:rFonts w:ascii="Times New Roman" w:hAnsi="Times New Roman" w:cs="Times New Roman"/>
                <w:b w:val="0"/>
                <w:bCs w:val="0"/>
                <w:color w:val="auto"/>
              </w:rPr>
              <w:t>Access to seed</w:t>
            </w:r>
          </w:p>
        </w:tc>
        <w:tc>
          <w:tcPr>
            <w:tcW w:w="711" w:type="pct"/>
          </w:tcPr>
          <w:p w14:paraId="5F23A5C4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-0.007</w:t>
            </w:r>
          </w:p>
          <w:p w14:paraId="759B4A8F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(0.011)</w:t>
            </w:r>
          </w:p>
        </w:tc>
        <w:tc>
          <w:tcPr>
            <w:tcW w:w="711" w:type="pct"/>
          </w:tcPr>
          <w:p w14:paraId="61884FED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-0.005</w:t>
            </w:r>
          </w:p>
          <w:p w14:paraId="456F1A3A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(0.008)</w:t>
            </w:r>
          </w:p>
        </w:tc>
        <w:tc>
          <w:tcPr>
            <w:tcW w:w="711" w:type="pct"/>
          </w:tcPr>
          <w:p w14:paraId="524E08D2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0.001</w:t>
            </w:r>
          </w:p>
          <w:p w14:paraId="16B553C2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(0.369)</w:t>
            </w:r>
          </w:p>
        </w:tc>
        <w:tc>
          <w:tcPr>
            <w:tcW w:w="711" w:type="pct"/>
          </w:tcPr>
          <w:p w14:paraId="455AE96E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0.962***</w:t>
            </w:r>
          </w:p>
          <w:p w14:paraId="4BBA0464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(0.036)</w:t>
            </w:r>
          </w:p>
        </w:tc>
        <w:tc>
          <w:tcPr>
            <w:tcW w:w="711" w:type="pct"/>
          </w:tcPr>
          <w:p w14:paraId="3A474B97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0.861***</w:t>
            </w:r>
          </w:p>
          <w:p w14:paraId="5C2BC2D6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(0.045)</w:t>
            </w:r>
          </w:p>
        </w:tc>
      </w:tr>
      <w:tr w:rsidR="00EE106C" w:rsidRPr="00381B8F" w14:paraId="7C9C3582" w14:textId="77777777" w:rsidTr="00525F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4" w:type="pct"/>
          </w:tcPr>
          <w:p w14:paraId="0F9E3A4C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381B8F">
              <w:rPr>
                <w:rFonts w:ascii="Times New Roman" w:hAnsi="Times New Roman" w:cs="Times New Roman"/>
                <w:b w:val="0"/>
                <w:bCs w:val="0"/>
                <w:color w:val="auto"/>
              </w:rPr>
              <w:t>Log Distance</w:t>
            </w:r>
          </w:p>
        </w:tc>
        <w:tc>
          <w:tcPr>
            <w:tcW w:w="711" w:type="pct"/>
          </w:tcPr>
          <w:p w14:paraId="442F24D0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-1.749**</w:t>
            </w:r>
          </w:p>
          <w:p w14:paraId="5FA42A09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(0.700)</w:t>
            </w:r>
          </w:p>
        </w:tc>
        <w:tc>
          <w:tcPr>
            <w:tcW w:w="711" w:type="pct"/>
          </w:tcPr>
          <w:p w14:paraId="37ED7961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-0.777***</w:t>
            </w:r>
          </w:p>
          <w:p w14:paraId="2C565D79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(0.255)</w:t>
            </w:r>
          </w:p>
        </w:tc>
        <w:tc>
          <w:tcPr>
            <w:tcW w:w="711" w:type="pct"/>
          </w:tcPr>
          <w:p w14:paraId="084CBFA1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-0.541**</w:t>
            </w:r>
          </w:p>
          <w:p w14:paraId="036040B5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(0.249)</w:t>
            </w:r>
          </w:p>
        </w:tc>
        <w:tc>
          <w:tcPr>
            <w:tcW w:w="711" w:type="pct"/>
          </w:tcPr>
          <w:p w14:paraId="1E9F2298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-0.037</w:t>
            </w:r>
          </w:p>
          <w:p w14:paraId="59FED598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(0.406)</w:t>
            </w:r>
          </w:p>
        </w:tc>
        <w:tc>
          <w:tcPr>
            <w:tcW w:w="711" w:type="pct"/>
          </w:tcPr>
          <w:p w14:paraId="205500C9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0.097</w:t>
            </w:r>
          </w:p>
          <w:p w14:paraId="780BED51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(0.336)</w:t>
            </w:r>
          </w:p>
        </w:tc>
      </w:tr>
      <w:tr w:rsidR="00EE106C" w:rsidRPr="00381B8F" w14:paraId="1FCD41B5" w14:textId="77777777" w:rsidTr="00525F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4" w:type="pct"/>
          </w:tcPr>
          <w:p w14:paraId="0FBDAA73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381B8F">
              <w:rPr>
                <w:rFonts w:ascii="Times New Roman" w:hAnsi="Times New Roman" w:cs="Times New Roman"/>
                <w:b w:val="0"/>
                <w:bCs w:val="0"/>
                <w:color w:val="auto"/>
              </w:rPr>
              <w:t>Seed market participation (paid for seed used)</w:t>
            </w:r>
          </w:p>
        </w:tc>
        <w:tc>
          <w:tcPr>
            <w:tcW w:w="711" w:type="pct"/>
          </w:tcPr>
          <w:p w14:paraId="7A40B8BE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0.434</w:t>
            </w:r>
          </w:p>
          <w:p w14:paraId="1FFC4F5B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(0.369)</w:t>
            </w:r>
          </w:p>
        </w:tc>
        <w:tc>
          <w:tcPr>
            <w:tcW w:w="711" w:type="pct"/>
          </w:tcPr>
          <w:p w14:paraId="2D7D1320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-0.012</w:t>
            </w:r>
          </w:p>
          <w:p w14:paraId="32538DE4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(0.037)</w:t>
            </w:r>
          </w:p>
        </w:tc>
        <w:tc>
          <w:tcPr>
            <w:tcW w:w="711" w:type="pct"/>
          </w:tcPr>
          <w:p w14:paraId="4A772072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-0.066</w:t>
            </w:r>
          </w:p>
          <w:p w14:paraId="57248D3B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(0.050)</w:t>
            </w:r>
          </w:p>
        </w:tc>
        <w:tc>
          <w:tcPr>
            <w:tcW w:w="711" w:type="pct"/>
          </w:tcPr>
          <w:p w14:paraId="304AE5C7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-0.082</w:t>
            </w:r>
          </w:p>
          <w:p w14:paraId="445DD8DC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(0.078)</w:t>
            </w:r>
          </w:p>
        </w:tc>
        <w:tc>
          <w:tcPr>
            <w:tcW w:w="711" w:type="pct"/>
          </w:tcPr>
          <w:p w14:paraId="5F555A65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-0.166</w:t>
            </w:r>
          </w:p>
          <w:p w14:paraId="6879B2CD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(0.102)</w:t>
            </w:r>
          </w:p>
        </w:tc>
      </w:tr>
      <w:tr w:rsidR="00EE106C" w:rsidRPr="00381B8F" w14:paraId="06E2346F" w14:textId="77777777" w:rsidTr="00525F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4" w:type="pct"/>
          </w:tcPr>
          <w:p w14:paraId="205E916D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381B8F">
              <w:rPr>
                <w:rFonts w:ascii="Times New Roman" w:hAnsi="Times New Roman" w:cs="Times New Roman"/>
                <w:b w:val="0"/>
                <w:bCs w:val="0"/>
                <w:color w:val="auto"/>
              </w:rPr>
              <w:t>Variety turnover</w:t>
            </w:r>
          </w:p>
        </w:tc>
        <w:tc>
          <w:tcPr>
            <w:tcW w:w="711" w:type="pct"/>
          </w:tcPr>
          <w:p w14:paraId="66FDBFD0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-4,176*</w:t>
            </w:r>
          </w:p>
          <w:p w14:paraId="2FB477C3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(2.277)</w:t>
            </w:r>
          </w:p>
        </w:tc>
        <w:tc>
          <w:tcPr>
            <w:tcW w:w="711" w:type="pct"/>
          </w:tcPr>
          <w:p w14:paraId="39634E94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-1.168</w:t>
            </w:r>
          </w:p>
          <w:p w14:paraId="31CA5C55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(1.791)</w:t>
            </w:r>
          </w:p>
        </w:tc>
        <w:tc>
          <w:tcPr>
            <w:tcW w:w="711" w:type="pct"/>
          </w:tcPr>
          <w:p w14:paraId="3B44F72E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1.930</w:t>
            </w:r>
          </w:p>
          <w:p w14:paraId="5FCB726E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(3.431)</w:t>
            </w:r>
          </w:p>
        </w:tc>
        <w:tc>
          <w:tcPr>
            <w:tcW w:w="711" w:type="pct"/>
          </w:tcPr>
          <w:p w14:paraId="1AF1D42F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3.431</w:t>
            </w:r>
          </w:p>
          <w:p w14:paraId="4A65C9F8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(2.793)</w:t>
            </w:r>
          </w:p>
        </w:tc>
        <w:tc>
          <w:tcPr>
            <w:tcW w:w="711" w:type="pct"/>
          </w:tcPr>
          <w:p w14:paraId="3E020017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12.149*</w:t>
            </w:r>
          </w:p>
          <w:p w14:paraId="6DCA59C1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(6.932)</w:t>
            </w:r>
          </w:p>
        </w:tc>
      </w:tr>
      <w:tr w:rsidR="00EE106C" w:rsidRPr="00381B8F" w14:paraId="09EE0796" w14:textId="77777777" w:rsidTr="00525F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4" w:type="pct"/>
          </w:tcPr>
          <w:p w14:paraId="2F02286B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QDID</w:t>
            </w:r>
          </w:p>
        </w:tc>
        <w:tc>
          <w:tcPr>
            <w:tcW w:w="711" w:type="pct"/>
          </w:tcPr>
          <w:p w14:paraId="00D55D27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11" w:type="pct"/>
          </w:tcPr>
          <w:p w14:paraId="14635133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11" w:type="pct"/>
          </w:tcPr>
          <w:p w14:paraId="412ED590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11" w:type="pct"/>
          </w:tcPr>
          <w:p w14:paraId="3CC3D7F5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11" w:type="pct"/>
          </w:tcPr>
          <w:p w14:paraId="40409DAF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EE106C" w:rsidRPr="00381B8F" w14:paraId="49B8D710" w14:textId="77777777" w:rsidTr="00525F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4" w:type="pct"/>
          </w:tcPr>
          <w:p w14:paraId="0BA5C423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381B8F">
              <w:rPr>
                <w:rFonts w:ascii="Times New Roman" w:hAnsi="Times New Roman" w:cs="Times New Roman"/>
                <w:b w:val="0"/>
                <w:bCs w:val="0"/>
                <w:color w:val="auto"/>
              </w:rPr>
              <w:t>Access to seed</w:t>
            </w:r>
          </w:p>
        </w:tc>
        <w:tc>
          <w:tcPr>
            <w:tcW w:w="711" w:type="pct"/>
          </w:tcPr>
          <w:p w14:paraId="7162207E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0.013</w:t>
            </w:r>
          </w:p>
          <w:p w14:paraId="5C85814D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(0.013)</w:t>
            </w:r>
          </w:p>
        </w:tc>
        <w:tc>
          <w:tcPr>
            <w:tcW w:w="711" w:type="pct"/>
          </w:tcPr>
          <w:p w14:paraId="08BE46CF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0.009</w:t>
            </w:r>
          </w:p>
          <w:p w14:paraId="06AF32E4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(0.009)</w:t>
            </w:r>
          </w:p>
        </w:tc>
        <w:tc>
          <w:tcPr>
            <w:tcW w:w="711" w:type="pct"/>
          </w:tcPr>
          <w:p w14:paraId="0A401771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0.012</w:t>
            </w:r>
          </w:p>
          <w:p w14:paraId="57D00FE2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(0.368)</w:t>
            </w:r>
          </w:p>
        </w:tc>
        <w:tc>
          <w:tcPr>
            <w:tcW w:w="711" w:type="pct"/>
          </w:tcPr>
          <w:p w14:paraId="63FE3607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0.973***</w:t>
            </w:r>
          </w:p>
          <w:p w14:paraId="2A6B9E16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(0.018)</w:t>
            </w:r>
          </w:p>
        </w:tc>
        <w:tc>
          <w:tcPr>
            <w:tcW w:w="711" w:type="pct"/>
          </w:tcPr>
          <w:p w14:paraId="7D9C68E9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0.033</w:t>
            </w:r>
          </w:p>
          <w:p w14:paraId="7471B850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(0.331)</w:t>
            </w:r>
          </w:p>
        </w:tc>
      </w:tr>
      <w:tr w:rsidR="00EE106C" w:rsidRPr="00381B8F" w14:paraId="20A13C9A" w14:textId="77777777" w:rsidTr="00525F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4" w:type="pct"/>
          </w:tcPr>
          <w:p w14:paraId="531F6058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381B8F">
              <w:rPr>
                <w:rFonts w:ascii="Times New Roman" w:hAnsi="Times New Roman" w:cs="Times New Roman"/>
                <w:b w:val="0"/>
                <w:bCs w:val="0"/>
                <w:color w:val="auto"/>
              </w:rPr>
              <w:t>Log Distance</w:t>
            </w:r>
          </w:p>
        </w:tc>
        <w:tc>
          <w:tcPr>
            <w:tcW w:w="711" w:type="pct"/>
          </w:tcPr>
          <w:p w14:paraId="75C00082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-1.686**</w:t>
            </w:r>
          </w:p>
          <w:p w14:paraId="61E074AF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(0.677)</w:t>
            </w:r>
          </w:p>
        </w:tc>
        <w:tc>
          <w:tcPr>
            <w:tcW w:w="711" w:type="pct"/>
          </w:tcPr>
          <w:p w14:paraId="7AE94858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-0.564**</w:t>
            </w:r>
          </w:p>
          <w:p w14:paraId="628951F3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(0.224)</w:t>
            </w:r>
          </w:p>
        </w:tc>
        <w:tc>
          <w:tcPr>
            <w:tcW w:w="711" w:type="pct"/>
          </w:tcPr>
          <w:p w14:paraId="4919CC64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-0.384</w:t>
            </w:r>
          </w:p>
          <w:p w14:paraId="7DC2EE7E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(0.279)</w:t>
            </w:r>
          </w:p>
        </w:tc>
        <w:tc>
          <w:tcPr>
            <w:tcW w:w="711" w:type="pct"/>
          </w:tcPr>
          <w:p w14:paraId="3A4453A1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-0.230</w:t>
            </w:r>
          </w:p>
          <w:p w14:paraId="6A492B11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(0.357)</w:t>
            </w:r>
          </w:p>
        </w:tc>
        <w:tc>
          <w:tcPr>
            <w:tcW w:w="711" w:type="pct"/>
          </w:tcPr>
          <w:p w14:paraId="14061461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0.151</w:t>
            </w:r>
          </w:p>
          <w:p w14:paraId="4848819D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(0.215)</w:t>
            </w:r>
          </w:p>
        </w:tc>
      </w:tr>
      <w:tr w:rsidR="00EE106C" w:rsidRPr="00381B8F" w14:paraId="4D119D8B" w14:textId="77777777" w:rsidTr="00525F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4" w:type="pct"/>
          </w:tcPr>
          <w:p w14:paraId="649EAE3E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381B8F">
              <w:rPr>
                <w:rFonts w:ascii="Times New Roman" w:hAnsi="Times New Roman" w:cs="Times New Roman"/>
                <w:b w:val="0"/>
                <w:bCs w:val="0"/>
                <w:color w:val="auto"/>
              </w:rPr>
              <w:t>Seed market participation (paid for seed used)</w:t>
            </w:r>
          </w:p>
        </w:tc>
        <w:tc>
          <w:tcPr>
            <w:tcW w:w="711" w:type="pct"/>
          </w:tcPr>
          <w:p w14:paraId="368F799C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 xml:space="preserve">-0.021 </w:t>
            </w:r>
          </w:p>
          <w:p w14:paraId="39391D87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(-0.254)</w:t>
            </w:r>
          </w:p>
        </w:tc>
        <w:tc>
          <w:tcPr>
            <w:tcW w:w="711" w:type="pct"/>
          </w:tcPr>
          <w:p w14:paraId="5F2EA54C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0.218**</w:t>
            </w:r>
          </w:p>
          <w:p w14:paraId="1B884BF9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(0.112)</w:t>
            </w:r>
          </w:p>
        </w:tc>
        <w:tc>
          <w:tcPr>
            <w:tcW w:w="711" w:type="pct"/>
          </w:tcPr>
          <w:p w14:paraId="56D7507E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-0.050</w:t>
            </w:r>
          </w:p>
          <w:p w14:paraId="1D37E517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(0.055)</w:t>
            </w:r>
          </w:p>
        </w:tc>
        <w:tc>
          <w:tcPr>
            <w:tcW w:w="711" w:type="pct"/>
          </w:tcPr>
          <w:p w14:paraId="045C6BBD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-0.073</w:t>
            </w:r>
          </w:p>
          <w:p w14:paraId="689DF6F7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(0.059)</w:t>
            </w:r>
          </w:p>
        </w:tc>
        <w:tc>
          <w:tcPr>
            <w:tcW w:w="711" w:type="pct"/>
          </w:tcPr>
          <w:p w14:paraId="0F18629C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-0.325**</w:t>
            </w:r>
          </w:p>
          <w:p w14:paraId="358BBE55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(0.128)</w:t>
            </w:r>
          </w:p>
        </w:tc>
      </w:tr>
      <w:tr w:rsidR="00EE106C" w:rsidRPr="00381B8F" w14:paraId="691BE3F4" w14:textId="77777777" w:rsidTr="00525F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4" w:type="pct"/>
          </w:tcPr>
          <w:p w14:paraId="37D5AF18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381B8F">
              <w:rPr>
                <w:rFonts w:ascii="Times New Roman" w:hAnsi="Times New Roman" w:cs="Times New Roman"/>
                <w:b w:val="0"/>
                <w:bCs w:val="0"/>
                <w:color w:val="auto"/>
              </w:rPr>
              <w:t>Variety turnover</w:t>
            </w:r>
          </w:p>
        </w:tc>
        <w:tc>
          <w:tcPr>
            <w:tcW w:w="711" w:type="pct"/>
          </w:tcPr>
          <w:p w14:paraId="1BAAFE24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-7.325**</w:t>
            </w:r>
          </w:p>
          <w:p w14:paraId="09E47D6E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(3.007)</w:t>
            </w:r>
          </w:p>
        </w:tc>
        <w:tc>
          <w:tcPr>
            <w:tcW w:w="711" w:type="pct"/>
          </w:tcPr>
          <w:p w14:paraId="1DAC89FA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-0.695***</w:t>
            </w:r>
          </w:p>
          <w:p w14:paraId="7F360B51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(2.299)</w:t>
            </w:r>
          </w:p>
        </w:tc>
        <w:tc>
          <w:tcPr>
            <w:tcW w:w="711" w:type="pct"/>
          </w:tcPr>
          <w:p w14:paraId="575D17EA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-3.741*</w:t>
            </w:r>
          </w:p>
          <w:p w14:paraId="296B3EA8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(2.038)</w:t>
            </w:r>
          </w:p>
        </w:tc>
        <w:tc>
          <w:tcPr>
            <w:tcW w:w="711" w:type="pct"/>
          </w:tcPr>
          <w:p w14:paraId="124F73EC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-1.486</w:t>
            </w:r>
          </w:p>
          <w:p w14:paraId="0D1EE3C1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(2.978)</w:t>
            </w:r>
          </w:p>
        </w:tc>
        <w:tc>
          <w:tcPr>
            <w:tcW w:w="711" w:type="pct"/>
          </w:tcPr>
          <w:p w14:paraId="75140D5F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12.061***</w:t>
            </w:r>
          </w:p>
          <w:p w14:paraId="1D51E070" w14:textId="77777777" w:rsidR="00EE106C" w:rsidRPr="00381B8F" w:rsidRDefault="00EE106C" w:rsidP="00525F3E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381B8F">
              <w:rPr>
                <w:rFonts w:ascii="Times New Roman" w:hAnsi="Times New Roman" w:cs="Times New Roman"/>
                <w:color w:val="auto"/>
              </w:rPr>
              <w:t>(3.515)</w:t>
            </w:r>
          </w:p>
        </w:tc>
      </w:tr>
    </w:tbl>
    <w:p w14:paraId="6E04FB7A" w14:textId="77777777" w:rsidR="00EE106C" w:rsidRPr="00381B8F" w:rsidRDefault="00EE106C" w:rsidP="00EE106C">
      <w:pPr>
        <w:widowControl w:val="0"/>
        <w:autoSpaceDE w:val="0"/>
        <w:autoSpaceDN w:val="0"/>
        <w:adjustRightInd w:val="0"/>
        <w:spacing w:line="360" w:lineRule="auto"/>
        <w:ind w:left="480" w:hanging="480"/>
        <w:rPr>
          <w:rFonts w:ascii="Times New Roman" w:hAnsi="Times New Roman" w:cs="Times New Roman"/>
          <w:b/>
          <w:bCs/>
        </w:rPr>
      </w:pPr>
    </w:p>
    <w:p w14:paraId="5030707B" w14:textId="77777777" w:rsidR="00EE106C" w:rsidRPr="00381B8F" w:rsidRDefault="00EE106C" w:rsidP="00EE106C">
      <w:pPr>
        <w:widowControl w:val="0"/>
        <w:autoSpaceDE w:val="0"/>
        <w:autoSpaceDN w:val="0"/>
        <w:adjustRightInd w:val="0"/>
        <w:spacing w:line="360" w:lineRule="auto"/>
        <w:ind w:left="480" w:hanging="480"/>
        <w:rPr>
          <w:rFonts w:ascii="Times New Roman" w:hAnsi="Times New Roman" w:cs="Times New Roman"/>
          <w:b/>
          <w:bCs/>
        </w:rPr>
      </w:pPr>
    </w:p>
    <w:p w14:paraId="6D57ED95" w14:textId="77777777" w:rsidR="00EE106C" w:rsidRPr="00381B8F" w:rsidRDefault="00EE106C" w:rsidP="00EE106C">
      <w:pPr>
        <w:widowControl w:val="0"/>
        <w:autoSpaceDE w:val="0"/>
        <w:autoSpaceDN w:val="0"/>
        <w:adjustRightInd w:val="0"/>
        <w:spacing w:line="360" w:lineRule="auto"/>
        <w:ind w:left="480" w:hanging="480"/>
        <w:rPr>
          <w:rFonts w:ascii="Times New Roman" w:hAnsi="Times New Roman" w:cs="Times New Roman"/>
          <w:b/>
          <w:bCs/>
        </w:rPr>
      </w:pPr>
    </w:p>
    <w:p w14:paraId="3AC0B2CC" w14:textId="77777777" w:rsidR="00755780" w:rsidRDefault="00755780"/>
    <w:sectPr w:rsidR="00755780" w:rsidSect="00E44A8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06C"/>
    <w:rsid w:val="00755780"/>
    <w:rsid w:val="00EE1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A07332"/>
  <w15:chartTrackingRefBased/>
  <w15:docId w15:val="{E0C6FE86-3219-4F4B-8B7B-6CF6E3A68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10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6Colorful">
    <w:name w:val="List Table 6 Colorful"/>
    <w:basedOn w:val="TableNormal"/>
    <w:uiPriority w:val="51"/>
    <w:rsid w:val="00EE106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</Words>
  <Characters>868</Characters>
  <Application>Microsoft Office Word</Application>
  <DocSecurity>0</DocSecurity>
  <Lines>7</Lines>
  <Paragraphs>2</Paragraphs>
  <ScaleCrop>false</ScaleCrop>
  <Company>Springer Nature</Company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2023-01-11T15:12:00Z</dcterms:created>
  <dcterms:modified xsi:type="dcterms:W3CDTF">2023-01-11T15:12:00Z</dcterms:modified>
</cp:coreProperties>
</file>