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Table 2: </w:t>
      </w:r>
      <w:r>
        <w:rPr>
          <w:rFonts w:ascii="Times New Roman" w:hAnsi="Times New Roman"/>
          <w:outline w:val="0"/>
          <w:color w:val="000000"/>
          <w:sz w:val="29"/>
          <w:szCs w:val="29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 xml:space="preserve">The </w:t>
      </w:r>
      <w:r>
        <w:rPr>
          <w:rFonts w:ascii="Times New Roman" w:hAnsi="Times New Roman"/>
          <w:outline w:val="0"/>
          <w:color w:val="222222"/>
          <w:sz w:val="32"/>
          <w:szCs w:val="3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Reason for the Blood Investigation leading to a Diagnosis of Diabetes</w:t>
      </w: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10"/>
        <w:gridCol w:w="1832"/>
        <w:gridCol w:w="2196"/>
      </w:tblGrid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Common reported reasons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Number (n)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Percentage (%)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Lightheadedness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77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49.3%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On regular health checkup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22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14.1%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Peripheral neuropathy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8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5.1%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Cataract / decreased vision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3.2%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Non-healing wound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5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3.2%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Incidental finding while on treatment for other disease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6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3.9%</w:t>
            </w:r>
          </w:p>
        </w:tc>
      </w:tr>
      <w:tr>
        <w:tblPrEx>
          <w:shd w:val="clear" w:color="auto" w:fill="auto"/>
        </w:tblPrEx>
        <w:trPr>
          <w:trHeight w:val="335" w:hRule="atLeast"/>
        </w:trPr>
        <w:tc>
          <w:tcPr>
            <w:tcW w:type="dxa" w:w="56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able Style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222222"/>
                <w:sz w:val="29"/>
                <w:szCs w:val="29"/>
                <w:rtl w:val="0"/>
                <w14:textFill>
                  <w14:solidFill>
                    <w14:srgbClr w14:val="222222"/>
                  </w14:solidFill>
                </w14:textFill>
              </w:rPr>
              <w:t>Other reason</w:t>
            </w:r>
          </w:p>
        </w:tc>
        <w:tc>
          <w:tcPr>
            <w:tcW w:type="dxa" w:w="18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33</w:t>
            </w:r>
          </w:p>
        </w:tc>
        <w:tc>
          <w:tcPr>
            <w:tcW w:type="dxa" w:w="21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22222"/>
                <w:spacing w:val="0"/>
                <w:kern w:val="0"/>
                <w:position w:val="0"/>
                <w:sz w:val="29"/>
                <w:szCs w:val="29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222222"/>
                  </w14:solidFill>
                </w14:textFill>
              </w:rPr>
              <w:t>21.2%</w:t>
            </w:r>
          </w:p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