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812B0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  <w:r w:rsidRPr="0045547F">
        <w:rPr>
          <w:rFonts w:asciiTheme="minorHAnsi" w:hAnsiTheme="minorHAnsi" w:cstheme="minorHAnsi"/>
          <w:b/>
          <w:bCs/>
          <w:color w:val="1A1A1A"/>
        </w:rPr>
        <w:t>Supplementary Data</w:t>
      </w:r>
      <w:r>
        <w:rPr>
          <w:rFonts w:asciiTheme="minorHAnsi" w:hAnsiTheme="minorHAnsi" w:cstheme="minorHAnsi"/>
          <w:b/>
          <w:bCs/>
          <w:color w:val="1A1A1A"/>
        </w:rPr>
        <w:t xml:space="preserve"> </w:t>
      </w:r>
      <w:r w:rsidRPr="00111D55">
        <w:rPr>
          <w:rFonts w:asciiTheme="minorHAnsi" w:hAnsiTheme="minorHAnsi" w:cstheme="minorHAnsi"/>
          <w:b/>
          <w:bCs/>
          <w:color w:val="1A1A1A"/>
        </w:rPr>
        <w:t xml:space="preserve">- </w:t>
      </w:r>
      <w:r w:rsidRPr="0045547F">
        <w:rPr>
          <w:rFonts w:asciiTheme="minorHAnsi" w:hAnsiTheme="minorHAnsi" w:cstheme="minorHAnsi"/>
          <w:b/>
          <w:bCs/>
          <w:color w:val="1A1A1A"/>
        </w:rPr>
        <w:t>Definitions of EX-test, FIB-test and TPA-tests</w:t>
      </w:r>
    </w:p>
    <w:p w14:paraId="68D1CBF1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</w:p>
    <w:p w14:paraId="5389CCDE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  <w:r w:rsidRPr="0045547F">
        <w:rPr>
          <w:rFonts w:asciiTheme="minorHAnsi" w:hAnsiTheme="minorHAnsi" w:cstheme="minorHAnsi"/>
          <w:b/>
          <w:bCs/>
          <w:color w:val="1A1A1A"/>
        </w:rPr>
        <w:t>EX-Test:</w:t>
      </w:r>
      <w:r>
        <w:rPr>
          <w:rFonts w:asciiTheme="minorHAnsi" w:hAnsiTheme="minorHAnsi" w:cstheme="minorHAnsi"/>
          <w:color w:val="1A1A1A"/>
        </w:rPr>
        <w:t xml:space="preserve"> Whole blood coagulation in response to activation with tissue factor. A heparin inhibitor is included in the assay.</w:t>
      </w:r>
    </w:p>
    <w:p w14:paraId="68854533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</w:p>
    <w:p w14:paraId="5BBCAC96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  <w:r w:rsidRPr="0045547F">
        <w:rPr>
          <w:rFonts w:asciiTheme="minorHAnsi" w:hAnsiTheme="minorHAnsi" w:cstheme="minorHAnsi"/>
          <w:b/>
          <w:bCs/>
          <w:color w:val="1A1A1A"/>
        </w:rPr>
        <w:t>FIB-test:</w:t>
      </w:r>
      <w:r>
        <w:rPr>
          <w:rFonts w:asciiTheme="minorHAnsi" w:hAnsiTheme="minorHAnsi" w:cstheme="minorHAnsi"/>
          <w:color w:val="1A1A1A"/>
        </w:rPr>
        <w:t xml:space="preserve"> Plasma coagulation in response to activation with tissue factor. A heparin inhibitor and two platelet inhibitors are included in the assay.</w:t>
      </w:r>
    </w:p>
    <w:p w14:paraId="7035E861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</w:p>
    <w:p w14:paraId="5F20D509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  <w:r w:rsidRPr="0045547F">
        <w:rPr>
          <w:rFonts w:asciiTheme="minorHAnsi" w:hAnsiTheme="minorHAnsi" w:cstheme="minorHAnsi"/>
          <w:b/>
          <w:bCs/>
          <w:color w:val="1A1A1A"/>
        </w:rPr>
        <w:t>TPA-test:</w:t>
      </w:r>
      <w:r>
        <w:rPr>
          <w:rFonts w:asciiTheme="minorHAnsi" w:hAnsiTheme="minorHAnsi" w:cstheme="minorHAnsi"/>
          <w:color w:val="1A1A1A"/>
        </w:rPr>
        <w:t xml:space="preserve"> Whole blood coagulation in response to activation with tissue factor and in the presence of tissue plasminogen activator (t-PA). A heparin inhibitor is included in the assay.</w:t>
      </w:r>
    </w:p>
    <w:p w14:paraId="0999A798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color w:val="1A1A1A"/>
        </w:rPr>
      </w:pPr>
    </w:p>
    <w:p w14:paraId="66BF2638" w14:textId="77777777" w:rsidR="00CA22D4" w:rsidRPr="0045547F" w:rsidRDefault="00CA22D4" w:rsidP="00CA22D4">
      <w:pPr>
        <w:spacing w:line="480" w:lineRule="auto"/>
        <w:jc w:val="both"/>
        <w:rPr>
          <w:rFonts w:asciiTheme="minorHAnsi" w:hAnsiTheme="minorHAnsi" w:cstheme="minorHAnsi"/>
          <w:b/>
          <w:bCs/>
          <w:color w:val="1A1A1A"/>
        </w:rPr>
      </w:pPr>
    </w:p>
    <w:p w14:paraId="4E2A0E6E" w14:textId="77777777" w:rsidR="00CA22D4" w:rsidRDefault="00CA22D4" w:rsidP="00CA22D4">
      <w:pPr>
        <w:spacing w:line="480" w:lineRule="auto"/>
        <w:rPr>
          <w:rFonts w:asciiTheme="minorHAnsi" w:hAnsiTheme="minorHAnsi" w:cstheme="minorHAnsi"/>
          <w:color w:val="1A1A1A"/>
        </w:rPr>
      </w:pPr>
      <w:r>
        <w:rPr>
          <w:rFonts w:asciiTheme="minorHAnsi" w:hAnsiTheme="minorHAnsi" w:cstheme="minorHAnsi"/>
          <w:color w:val="1A1A1A"/>
        </w:rPr>
        <w:br w:type="page"/>
      </w:r>
    </w:p>
    <w:p w14:paraId="3E7874DE" w14:textId="77777777" w:rsidR="00CA22D4" w:rsidRPr="00884E3E" w:rsidRDefault="00CA22D4" w:rsidP="00CA22D4">
      <w:pPr>
        <w:spacing w:line="480" w:lineRule="auto"/>
        <w:jc w:val="both"/>
        <w:rPr>
          <w:rFonts w:asciiTheme="minorHAnsi" w:hAnsiTheme="minorHAnsi" w:cstheme="minorHAnsi"/>
          <w:b/>
          <w:bCs/>
          <w:color w:val="1A1A1A"/>
        </w:rPr>
      </w:pPr>
    </w:p>
    <w:p w14:paraId="2E28397F" w14:textId="77777777" w:rsidR="00CA22D4" w:rsidRDefault="00CA22D4" w:rsidP="00CA22D4">
      <w:pPr>
        <w:spacing w:line="480" w:lineRule="auto"/>
        <w:jc w:val="center"/>
        <w:rPr>
          <w:rFonts w:asciiTheme="minorHAnsi" w:hAnsiTheme="minorHAnsi" w:cstheme="minorHAnsi"/>
          <w:b/>
          <w:bCs/>
          <w:color w:val="1A1A1A"/>
        </w:rPr>
      </w:pPr>
      <w:r>
        <w:rPr>
          <w:rFonts w:asciiTheme="minorHAnsi" w:hAnsiTheme="minorHAnsi" w:cstheme="minorHAnsi"/>
          <w:b/>
          <w:bCs/>
          <w:noProof/>
          <w:color w:val="1A1A1A"/>
        </w:rPr>
        <w:drawing>
          <wp:inline distT="0" distB="0" distL="0" distR="0" wp14:anchorId="425F554C" wp14:editId="5E582AA9">
            <wp:extent cx="3463820" cy="3264531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803" cy="3315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2969A" w14:textId="77777777" w:rsidR="00CA22D4" w:rsidRDefault="00CA22D4" w:rsidP="00CA22D4">
      <w:pPr>
        <w:spacing w:line="480" w:lineRule="auto"/>
        <w:jc w:val="both"/>
        <w:rPr>
          <w:rFonts w:asciiTheme="minorHAnsi" w:hAnsiTheme="minorHAnsi" w:cstheme="minorHAnsi"/>
          <w:b/>
          <w:bCs/>
          <w:color w:val="1A1A1A"/>
        </w:rPr>
      </w:pPr>
      <w:r w:rsidRPr="00884E3E">
        <w:rPr>
          <w:rFonts w:asciiTheme="minorHAnsi" w:hAnsiTheme="minorHAnsi" w:cstheme="minorHAnsi"/>
          <w:b/>
          <w:bCs/>
          <w:color w:val="1A1A1A"/>
        </w:rPr>
        <w:t>Supplementary Figure 1</w:t>
      </w:r>
      <w:r>
        <w:rPr>
          <w:rFonts w:asciiTheme="minorHAnsi" w:hAnsiTheme="minorHAnsi" w:cstheme="minorHAnsi"/>
          <w:b/>
          <w:bCs/>
          <w:color w:val="1A1A1A"/>
        </w:rPr>
        <w:t xml:space="preserve">: </w:t>
      </w:r>
      <w:r w:rsidRPr="0045547F">
        <w:rPr>
          <w:rFonts w:asciiTheme="minorHAnsi" w:hAnsiTheme="minorHAnsi" w:cstheme="minorHAnsi"/>
          <w:b/>
          <w:bCs/>
          <w:color w:val="1A1A1A"/>
        </w:rPr>
        <w:t>Strong correlation between Fib-Test A10 and TPA-test lysis time in critically ill</w:t>
      </w:r>
      <w:r>
        <w:rPr>
          <w:rFonts w:asciiTheme="minorHAnsi" w:hAnsiTheme="minorHAnsi" w:cstheme="minorHAnsi"/>
          <w:b/>
          <w:bCs/>
          <w:color w:val="1A1A1A"/>
        </w:rPr>
        <w:t xml:space="preserve"> </w:t>
      </w:r>
      <w:r w:rsidRPr="0045547F">
        <w:rPr>
          <w:rFonts w:asciiTheme="minorHAnsi" w:hAnsiTheme="minorHAnsi" w:cstheme="minorHAnsi"/>
          <w:b/>
          <w:bCs/>
          <w:color w:val="1A1A1A"/>
        </w:rPr>
        <w:t xml:space="preserve">patients </w:t>
      </w:r>
      <w:r>
        <w:rPr>
          <w:rFonts w:asciiTheme="minorHAnsi" w:hAnsiTheme="minorHAnsi" w:cstheme="minorHAnsi"/>
          <w:b/>
          <w:bCs/>
          <w:color w:val="1A1A1A"/>
        </w:rPr>
        <w:t>with a TPA-test LT &lt;300 sec and in healthy controls</w:t>
      </w:r>
      <w:r w:rsidRPr="0045547F">
        <w:rPr>
          <w:rFonts w:asciiTheme="minorHAnsi" w:hAnsiTheme="minorHAnsi" w:cstheme="minorHAnsi"/>
          <w:b/>
          <w:bCs/>
          <w:color w:val="1A1A1A"/>
        </w:rPr>
        <w:t>.</w:t>
      </w:r>
    </w:p>
    <w:p w14:paraId="27C86724" w14:textId="77777777" w:rsidR="00CA22D4" w:rsidRDefault="00CA22D4" w:rsidP="00CA22D4">
      <w:pPr>
        <w:spacing w:line="480" w:lineRule="auto"/>
        <w:jc w:val="both"/>
        <w:rPr>
          <w:rStyle w:val="s1"/>
          <w:rFonts w:asciiTheme="minorHAnsi" w:hAnsiTheme="minorHAnsi" w:cstheme="minorHAnsi"/>
          <w:color w:val="000000"/>
          <w:spacing w:val="-3"/>
        </w:rPr>
      </w:pPr>
      <w:r w:rsidRPr="00AF54FF">
        <w:rPr>
          <w:rStyle w:val="s1"/>
          <w:rFonts w:asciiTheme="minorHAnsi" w:hAnsiTheme="minorHAnsi" w:cstheme="minorHAnsi"/>
          <w:color w:val="000000"/>
          <w:spacing w:val="-3"/>
        </w:rPr>
        <w:t xml:space="preserve">Correlation between Fib-test A10 and TPA-test lysis time </w:t>
      </w:r>
      <w:r>
        <w:rPr>
          <w:rStyle w:val="s1"/>
          <w:rFonts w:asciiTheme="minorHAnsi" w:hAnsiTheme="minorHAnsi" w:cstheme="minorHAnsi"/>
          <w:color w:val="000000"/>
          <w:spacing w:val="-3"/>
        </w:rPr>
        <w:t xml:space="preserve">(LT) </w:t>
      </w:r>
      <w:r w:rsidRPr="00AF54FF">
        <w:rPr>
          <w:rStyle w:val="s1"/>
          <w:rFonts w:asciiTheme="minorHAnsi" w:hAnsiTheme="minorHAnsi" w:cstheme="minorHAnsi"/>
          <w:color w:val="000000"/>
          <w:spacing w:val="-3"/>
        </w:rPr>
        <w:t>with the normal range for the Fib-test A10 shown between red dotted lines</w:t>
      </w:r>
      <w:r>
        <w:rPr>
          <w:rStyle w:val="s1"/>
          <w:rFonts w:asciiTheme="minorHAnsi" w:hAnsiTheme="minorHAnsi" w:cstheme="minorHAnsi"/>
          <w:color w:val="000000"/>
          <w:spacing w:val="-3"/>
        </w:rPr>
        <w:t>. Spearman’s correlation analysis (rho)</w:t>
      </w:r>
      <w:r w:rsidRPr="00AF54FF">
        <w:rPr>
          <w:rStyle w:val="s1"/>
          <w:rFonts w:asciiTheme="minorHAnsi" w:hAnsiTheme="minorHAnsi" w:cstheme="minorHAnsi"/>
          <w:color w:val="000000"/>
          <w:spacing w:val="-3"/>
        </w:rPr>
        <w:t>.</w:t>
      </w:r>
    </w:p>
    <w:p w14:paraId="4E2997B6" w14:textId="77777777" w:rsidR="00CA22D4" w:rsidRDefault="00CA22D4" w:rsidP="00CA22D4">
      <w:pPr>
        <w:spacing w:line="480" w:lineRule="auto"/>
        <w:ind w:left="1440"/>
        <w:rPr>
          <w:rStyle w:val="s1"/>
          <w:rFonts w:asciiTheme="minorHAnsi" w:hAnsiTheme="minorHAnsi" w:cstheme="minorHAnsi"/>
          <w:color w:val="000000"/>
          <w:spacing w:val="-3"/>
        </w:rPr>
      </w:pPr>
    </w:p>
    <w:p w14:paraId="2CADED78" w14:textId="77777777" w:rsidR="00CA22D4" w:rsidRDefault="00CA22D4" w:rsidP="00CA22D4">
      <w:pPr>
        <w:spacing w:line="480" w:lineRule="auto"/>
        <w:rPr>
          <w:rStyle w:val="s1"/>
          <w:rFonts w:asciiTheme="minorHAnsi" w:hAnsiTheme="minorHAnsi" w:cstheme="minorHAnsi"/>
          <w:color w:val="000000"/>
          <w:spacing w:val="-3"/>
        </w:rPr>
      </w:pPr>
      <w:r>
        <w:rPr>
          <w:rStyle w:val="s1"/>
          <w:rFonts w:asciiTheme="minorHAnsi" w:hAnsiTheme="minorHAnsi" w:cstheme="minorHAnsi"/>
          <w:color w:val="000000"/>
          <w:spacing w:val="-3"/>
        </w:rPr>
        <w:br w:type="page"/>
      </w:r>
    </w:p>
    <w:p w14:paraId="277BF1F5" w14:textId="77777777" w:rsidR="00CA22D4" w:rsidRDefault="00CA22D4" w:rsidP="00CA22D4">
      <w:pPr>
        <w:spacing w:line="480" w:lineRule="auto"/>
        <w:jc w:val="center"/>
        <w:rPr>
          <w:rFonts w:asciiTheme="minorHAnsi" w:hAnsiTheme="minorHAnsi" w:cstheme="minorHAnsi"/>
          <w:b/>
          <w:bCs/>
          <w:color w:val="1A1A1A"/>
        </w:rPr>
      </w:pPr>
      <w:r>
        <w:rPr>
          <w:rFonts w:asciiTheme="minorHAnsi" w:hAnsiTheme="minorHAnsi" w:cstheme="minorHAnsi"/>
          <w:b/>
          <w:bCs/>
          <w:noProof/>
          <w:color w:val="1A1A1A"/>
        </w:rPr>
        <w:lastRenderedPageBreak/>
        <w:drawing>
          <wp:inline distT="0" distB="0" distL="0" distR="0" wp14:anchorId="77697E5E" wp14:editId="2521C859">
            <wp:extent cx="2757032" cy="2338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440" cy="23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E03EB" w14:textId="77777777" w:rsidR="00CA22D4" w:rsidRPr="004C2400" w:rsidRDefault="00CA22D4" w:rsidP="00CA22D4">
      <w:pPr>
        <w:spacing w:line="480" w:lineRule="auto"/>
        <w:jc w:val="both"/>
        <w:rPr>
          <w:rFonts w:asciiTheme="minorHAnsi" w:hAnsiTheme="minorHAnsi" w:cstheme="minorHAnsi"/>
          <w:b/>
          <w:bCs/>
          <w:color w:val="1A1A1A"/>
        </w:rPr>
      </w:pPr>
      <w:r>
        <w:rPr>
          <w:rFonts w:asciiTheme="minorHAnsi" w:hAnsiTheme="minorHAnsi" w:cstheme="minorHAnsi"/>
          <w:b/>
          <w:bCs/>
          <w:color w:val="1A1A1A"/>
        </w:rPr>
        <w:t xml:space="preserve">Supplementary </w:t>
      </w:r>
      <w:r w:rsidRPr="006F52E9">
        <w:rPr>
          <w:rFonts w:asciiTheme="minorHAnsi" w:hAnsiTheme="minorHAnsi" w:cstheme="minorHAnsi"/>
          <w:b/>
          <w:bCs/>
          <w:color w:val="1A1A1A"/>
        </w:rPr>
        <w:t xml:space="preserve">Figure </w:t>
      </w:r>
      <w:r>
        <w:rPr>
          <w:rFonts w:asciiTheme="minorHAnsi" w:hAnsiTheme="minorHAnsi" w:cstheme="minorHAnsi"/>
          <w:b/>
          <w:bCs/>
          <w:color w:val="1A1A1A"/>
        </w:rPr>
        <w:t>2</w:t>
      </w:r>
      <w:r w:rsidRPr="006F52E9">
        <w:rPr>
          <w:rFonts w:asciiTheme="minorHAnsi" w:hAnsiTheme="minorHAnsi" w:cstheme="minorHAnsi"/>
          <w:b/>
          <w:bCs/>
          <w:color w:val="1A1A1A"/>
        </w:rPr>
        <w:t>:</w:t>
      </w:r>
      <w:r>
        <w:rPr>
          <w:rFonts w:asciiTheme="minorHAnsi" w:hAnsiTheme="minorHAnsi" w:cstheme="minorHAnsi"/>
          <w:b/>
          <w:bCs/>
          <w:color w:val="1A1A1A"/>
        </w:rPr>
        <w:t xml:space="preserve"> E</w:t>
      </w:r>
      <w:r w:rsidRPr="006F52E9">
        <w:rPr>
          <w:rFonts w:asciiTheme="minorHAnsi" w:hAnsiTheme="minorHAnsi" w:cstheme="minorHAnsi"/>
          <w:b/>
          <w:bCs/>
          <w:color w:val="1A1A1A"/>
        </w:rPr>
        <w:t xml:space="preserve">ffect of plasminogen supplementation on TPA-test lysis time is dependent upon </w:t>
      </w:r>
      <w:r>
        <w:rPr>
          <w:rFonts w:asciiTheme="minorHAnsi" w:hAnsiTheme="minorHAnsi" w:cstheme="minorHAnsi"/>
          <w:b/>
          <w:bCs/>
          <w:color w:val="1A1A1A"/>
        </w:rPr>
        <w:t xml:space="preserve">the degree </w:t>
      </w:r>
      <w:r w:rsidRPr="006F52E9">
        <w:rPr>
          <w:rFonts w:asciiTheme="minorHAnsi" w:hAnsiTheme="minorHAnsi" w:cstheme="minorHAnsi"/>
          <w:b/>
          <w:bCs/>
          <w:color w:val="1A1A1A"/>
        </w:rPr>
        <w:t>of hypofibrinolysis</w:t>
      </w:r>
      <w:r>
        <w:rPr>
          <w:rFonts w:asciiTheme="minorHAnsi" w:hAnsiTheme="minorHAnsi" w:cstheme="minorHAnsi"/>
          <w:b/>
          <w:bCs/>
          <w:color w:val="1A1A1A"/>
        </w:rPr>
        <w:t xml:space="preserve"> present, as reflected in the baseline TPA-test LT</w:t>
      </w:r>
      <w:r>
        <w:rPr>
          <w:rFonts w:asciiTheme="minorHAnsi" w:hAnsiTheme="minorHAnsi" w:cstheme="minorHAnsi"/>
          <w:color w:val="1A1A1A"/>
        </w:rPr>
        <w:t xml:space="preserve">. A comparison was made of the effect of plasminogen supplementation on the TPA-test lysis time (LT) between patients who had a baseline TPA-test LT of &lt;1000 seconds (s) (n=12) and patients who had a baseline TPA-test LT of &gt;1000 s (n=7). The difference between the baseline TPA-test LT and the plasminogen supplemented TPA-test LT is expressed as % change with a negative value indicating a shortening of the lysis time. </w:t>
      </w:r>
      <w:r w:rsidRPr="00AF54FF">
        <w:rPr>
          <w:rStyle w:val="s1"/>
          <w:rFonts w:asciiTheme="minorHAnsi" w:hAnsiTheme="minorHAnsi" w:cstheme="minorHAnsi"/>
          <w:color w:val="000000"/>
          <w:spacing w:val="-3"/>
        </w:rPr>
        <w:t xml:space="preserve">Individual data points </w:t>
      </w:r>
      <w:r>
        <w:rPr>
          <w:rStyle w:val="s1"/>
          <w:rFonts w:asciiTheme="minorHAnsi" w:hAnsiTheme="minorHAnsi" w:cstheme="minorHAnsi"/>
          <w:color w:val="000000"/>
          <w:spacing w:val="-3"/>
        </w:rPr>
        <w:t>presented, bars represent median and 95% CI</w:t>
      </w:r>
      <w:r w:rsidRPr="00AF54FF">
        <w:rPr>
          <w:rStyle w:val="s1"/>
          <w:rFonts w:asciiTheme="minorHAnsi" w:hAnsiTheme="minorHAnsi" w:cstheme="minorHAnsi"/>
          <w:color w:val="000000"/>
          <w:spacing w:val="-3"/>
        </w:rPr>
        <w:t xml:space="preserve">. </w:t>
      </w:r>
    </w:p>
    <w:p w14:paraId="23E925E4" w14:textId="77777777" w:rsidR="00CA22D4" w:rsidRPr="0045547F" w:rsidRDefault="00CA22D4" w:rsidP="00CA22D4">
      <w:pPr>
        <w:spacing w:line="480" w:lineRule="auto"/>
        <w:ind w:left="1440"/>
        <w:rPr>
          <w:rFonts w:asciiTheme="minorHAnsi" w:hAnsiTheme="minorHAnsi" w:cstheme="minorHAnsi"/>
          <w:b/>
          <w:bCs/>
          <w:color w:val="1A1A1A"/>
        </w:rPr>
      </w:pPr>
    </w:p>
    <w:p w14:paraId="59B1D15F" w14:textId="77777777" w:rsidR="00000F57" w:rsidRDefault="00CA22D4"/>
    <w:sectPr w:rsidR="00000F57" w:rsidSect="00746FA6">
      <w:pgSz w:w="11900" w:h="16820"/>
      <w:pgMar w:top="1440" w:right="1440" w:bottom="1440" w:left="90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2D4"/>
    <w:rsid w:val="0007695B"/>
    <w:rsid w:val="005615C6"/>
    <w:rsid w:val="005E078B"/>
    <w:rsid w:val="00781D71"/>
    <w:rsid w:val="007D4061"/>
    <w:rsid w:val="008B4EED"/>
    <w:rsid w:val="00B03778"/>
    <w:rsid w:val="00CA22D4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7780D"/>
  <w15:chartTrackingRefBased/>
  <w15:docId w15:val="{21BFA33E-58CF-4AD6-A7F4-F5924A75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1">
    <w:name w:val="s1"/>
    <w:basedOn w:val="DefaultParagraphFont"/>
    <w:rsid w:val="00CA22D4"/>
  </w:style>
  <w:style w:type="character" w:styleId="LineNumber">
    <w:name w:val="line number"/>
    <w:basedOn w:val="DefaultParagraphFont"/>
    <w:uiPriority w:val="99"/>
    <w:semiHidden/>
    <w:unhideWhenUsed/>
    <w:rsid w:val="00CA2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1330</Characters>
  <Application>Microsoft Office Word</Application>
  <DocSecurity>0</DocSecurity>
  <Lines>11</Lines>
  <Paragraphs>3</Paragraphs>
  <ScaleCrop>false</ScaleCrop>
  <Company>Springer Nature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2022-11-04T11:51:00Z</dcterms:created>
  <dcterms:modified xsi:type="dcterms:W3CDTF">2022-11-04T11:51:00Z</dcterms:modified>
</cp:coreProperties>
</file>