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92A86C" w14:textId="3F9E03BD" w:rsidR="009B454A" w:rsidRPr="009B454A" w:rsidRDefault="005159E8" w:rsidP="00A80DCF">
      <w:pPr>
        <w:pStyle w:val="Title"/>
        <w:pBdr>
          <w:bottom w:val="single" w:sz="4" w:space="1" w:color="auto"/>
        </w:pBdr>
        <w:spacing w:line="276" w:lineRule="auto"/>
        <w:rPr>
          <w:sz w:val="36"/>
          <w:szCs w:val="36"/>
          <w:lang w:val="en-US"/>
        </w:rPr>
      </w:pPr>
      <w:r w:rsidRPr="009B454A">
        <w:rPr>
          <w:sz w:val="36"/>
          <w:szCs w:val="36"/>
          <w:lang w:val="en-US"/>
        </w:rPr>
        <w:t xml:space="preserve">Additional file </w:t>
      </w:r>
      <w:r w:rsidR="006852D4">
        <w:rPr>
          <w:sz w:val="36"/>
          <w:szCs w:val="36"/>
          <w:lang w:val="en-US"/>
        </w:rPr>
        <w:t>2</w:t>
      </w:r>
      <w:r w:rsidR="00FA4020">
        <w:rPr>
          <w:sz w:val="36"/>
          <w:szCs w:val="36"/>
          <w:lang w:val="en-US"/>
        </w:rPr>
        <w:t>:</w:t>
      </w:r>
    </w:p>
    <w:p w14:paraId="16FA0A99" w14:textId="3B8464DA" w:rsidR="003227B0" w:rsidRPr="00D32697" w:rsidRDefault="00A23602" w:rsidP="00A80DCF">
      <w:pPr>
        <w:pStyle w:val="Title"/>
        <w:pBdr>
          <w:bottom w:val="single" w:sz="4" w:space="1" w:color="auto"/>
        </w:pBdr>
        <w:spacing w:line="276" w:lineRule="auto"/>
        <w:rPr>
          <w:b/>
          <w:bCs/>
          <w:lang w:val="en-US"/>
        </w:rPr>
      </w:pPr>
      <w:r w:rsidRPr="00D32697">
        <w:rPr>
          <w:b/>
          <w:bCs/>
          <w:lang w:val="en-US"/>
        </w:rPr>
        <w:t>Lameness Locator</w:t>
      </w:r>
      <w:r w:rsidR="003E42D2">
        <w:rPr>
          <w:b/>
          <w:bCs/>
          <w:lang w:val="en-US"/>
        </w:rPr>
        <w:t xml:space="preserve"> data</w:t>
      </w:r>
    </w:p>
    <w:p w14:paraId="105DD89A" w14:textId="7B4B3EE5" w:rsidR="00A23602" w:rsidRPr="009B454A" w:rsidRDefault="00A23602" w:rsidP="00A80DCF">
      <w:pPr>
        <w:spacing w:line="276" w:lineRule="auto"/>
        <w:rPr>
          <w:lang w:val="en-US"/>
        </w:rPr>
      </w:pPr>
    </w:p>
    <w:p w14:paraId="65CCD496" w14:textId="6DA9CA63" w:rsidR="00A23602" w:rsidRPr="00190D72" w:rsidRDefault="00A23602" w:rsidP="00A80DCF">
      <w:pPr>
        <w:spacing w:line="276" w:lineRule="auto"/>
        <w:rPr>
          <w:rFonts w:cstheme="minorHAnsi"/>
          <w:b/>
          <w:bCs/>
          <w:i/>
          <w:iCs/>
          <w:lang w:val="en-US"/>
        </w:rPr>
      </w:pPr>
      <w:r w:rsidRPr="00190D72">
        <w:rPr>
          <w:rFonts w:cstheme="minorHAnsi"/>
          <w:b/>
          <w:bCs/>
          <w:i/>
          <w:iCs/>
          <w:lang w:val="en-US"/>
        </w:rPr>
        <w:t>Materials and Methods</w:t>
      </w:r>
    </w:p>
    <w:p w14:paraId="10B8C4D1" w14:textId="4EAF1BE0" w:rsidR="00A23602" w:rsidRDefault="00A23602" w:rsidP="00A80DCF">
      <w:pPr>
        <w:spacing w:line="276" w:lineRule="auto"/>
        <w:rPr>
          <w:rFonts w:cstheme="minorHAnsi"/>
          <w:lang w:val="en-US"/>
        </w:rPr>
      </w:pPr>
      <w:r w:rsidRPr="00787125">
        <w:rPr>
          <w:rFonts w:cstheme="minorHAnsi"/>
          <w:lang w:val="en-US"/>
        </w:rPr>
        <w:t>The horses were</w:t>
      </w:r>
      <w:r>
        <w:rPr>
          <w:rFonts w:cstheme="minorHAnsi"/>
          <w:lang w:val="en-US"/>
        </w:rPr>
        <w:t xml:space="preserve"> assessed for lameness objectively on a concrete surface using a sensor</w:t>
      </w:r>
      <w:r w:rsidR="003E42D2">
        <w:rPr>
          <w:rFonts w:cstheme="minorHAnsi"/>
          <w:lang w:val="en-US"/>
        </w:rPr>
        <w:t>-</w:t>
      </w:r>
      <w:r>
        <w:rPr>
          <w:rFonts w:cstheme="minorHAnsi"/>
          <w:lang w:val="en-US"/>
        </w:rPr>
        <w:t xml:space="preserve">based movement analysis system </w:t>
      </w:r>
      <w:r w:rsidRPr="00787125">
        <w:rPr>
          <w:rFonts w:cstheme="minorHAnsi"/>
          <w:lang w:val="en-US"/>
        </w:rPr>
        <w:t xml:space="preserve">(Lameness Locator® by </w:t>
      </w:r>
      <w:proofErr w:type="spellStart"/>
      <w:r w:rsidRPr="00787125">
        <w:rPr>
          <w:rFonts w:cstheme="minorHAnsi"/>
          <w:lang w:val="en-US"/>
        </w:rPr>
        <w:t>Equinosis</w:t>
      </w:r>
      <w:proofErr w:type="spellEnd"/>
      <w:r w:rsidRPr="00787125">
        <w:rPr>
          <w:rFonts w:cstheme="minorHAnsi"/>
          <w:lang w:val="en-US"/>
        </w:rPr>
        <w:t xml:space="preserve"> LLC)</w:t>
      </w:r>
      <w:r>
        <w:rPr>
          <w:rFonts w:cstheme="minorHAnsi"/>
          <w:lang w:val="en-US"/>
        </w:rPr>
        <w:t xml:space="preserve"> with sensors placed on the head, right front limb, and </w:t>
      </w:r>
      <w:proofErr w:type="spellStart"/>
      <w:r>
        <w:rPr>
          <w:rFonts w:cstheme="minorHAnsi"/>
          <w:lang w:val="en-US"/>
        </w:rPr>
        <w:t>tubera</w:t>
      </w:r>
      <w:proofErr w:type="spellEnd"/>
      <w:r>
        <w:rPr>
          <w:rFonts w:cstheme="minorHAnsi"/>
          <w:lang w:val="en-US"/>
        </w:rPr>
        <w:t xml:space="preserve"> </w:t>
      </w:r>
      <w:proofErr w:type="spellStart"/>
      <w:r>
        <w:rPr>
          <w:rFonts w:cstheme="minorHAnsi"/>
          <w:lang w:val="en-US"/>
        </w:rPr>
        <w:t>sacrale</w:t>
      </w:r>
      <w:proofErr w:type="spellEnd"/>
      <w:r>
        <w:rPr>
          <w:rFonts w:cstheme="minorHAnsi"/>
          <w:lang w:val="en-US"/>
        </w:rPr>
        <w:t>.</w:t>
      </w:r>
      <w:r w:rsidR="00971BB0">
        <w:rPr>
          <w:rFonts w:cstheme="minorHAnsi"/>
          <w:lang w:val="en-US"/>
        </w:rPr>
        <w:t xml:space="preserve"> </w:t>
      </w:r>
      <w:r w:rsidR="00971BB0">
        <w:rPr>
          <w:lang w:val="en-US"/>
        </w:rPr>
        <w:t>Outliers were automatically removed by the installed software using default settings.</w:t>
      </w:r>
    </w:p>
    <w:p w14:paraId="21928DAE" w14:textId="0E52206F" w:rsidR="00A23602" w:rsidRDefault="00A23602" w:rsidP="00A80DCF">
      <w:pPr>
        <w:spacing w:line="276" w:lineRule="auto"/>
        <w:rPr>
          <w:rFonts w:cstheme="minorHAnsi"/>
          <w:lang w:val="en-US"/>
        </w:rPr>
      </w:pPr>
    </w:p>
    <w:p w14:paraId="107E0049" w14:textId="6F0CF602" w:rsidR="00A23602" w:rsidRPr="00190D72" w:rsidRDefault="00A23602" w:rsidP="00A80DCF">
      <w:pPr>
        <w:spacing w:line="276" w:lineRule="auto"/>
        <w:rPr>
          <w:rFonts w:cstheme="minorHAnsi"/>
          <w:b/>
          <w:bCs/>
          <w:i/>
          <w:iCs/>
          <w:lang w:val="en-US"/>
        </w:rPr>
      </w:pPr>
      <w:r w:rsidRPr="00190D72">
        <w:rPr>
          <w:rFonts w:cstheme="minorHAnsi"/>
          <w:b/>
          <w:bCs/>
          <w:i/>
          <w:iCs/>
          <w:lang w:val="en-US"/>
        </w:rPr>
        <w:t>Results</w:t>
      </w:r>
    </w:p>
    <w:p w14:paraId="4CDDA2CC" w14:textId="0048C241" w:rsidR="00A23602" w:rsidRPr="00787125" w:rsidRDefault="00A23602" w:rsidP="00A80DCF">
      <w:pPr>
        <w:spacing w:line="276" w:lineRule="auto"/>
        <w:rPr>
          <w:rFonts w:cstheme="minorHAnsi"/>
          <w:lang w:val="en-US"/>
        </w:rPr>
      </w:pPr>
      <w:r w:rsidRPr="00787125">
        <w:rPr>
          <w:rFonts w:cstheme="minorHAnsi"/>
          <w:lang w:val="en-US"/>
        </w:rPr>
        <w:t xml:space="preserve">Lameness Locator Vector Sum </w:t>
      </w:r>
      <w:r>
        <w:rPr>
          <w:rFonts w:cstheme="minorHAnsi"/>
          <w:lang w:val="en-US"/>
        </w:rPr>
        <w:t xml:space="preserve">did not differ between groups prior to OA induction </w:t>
      </w:r>
      <w:r w:rsidR="00201DF8" w:rsidRPr="00787125">
        <w:rPr>
          <w:rFonts w:cstheme="minorHAnsi"/>
          <w:lang w:val="en-US"/>
        </w:rPr>
        <w:t>(p = 0.2756)</w:t>
      </w:r>
      <w:r w:rsidR="00201DF8">
        <w:rPr>
          <w:rFonts w:cstheme="minorHAnsi"/>
          <w:lang w:val="en-US"/>
        </w:rPr>
        <w:t xml:space="preserve"> </w:t>
      </w:r>
      <w:r>
        <w:rPr>
          <w:rFonts w:cstheme="minorHAnsi"/>
          <w:lang w:val="en-US"/>
        </w:rPr>
        <w:t xml:space="preserve">or prior to treatment on day </w:t>
      </w:r>
      <w:r w:rsidR="00201DF8">
        <w:rPr>
          <w:rFonts w:cstheme="minorHAnsi"/>
          <w:lang w:val="en-US"/>
        </w:rPr>
        <w:t>0</w:t>
      </w:r>
      <w:r>
        <w:rPr>
          <w:rFonts w:cstheme="minorHAnsi"/>
          <w:lang w:val="en-US"/>
        </w:rPr>
        <w:t xml:space="preserve"> </w:t>
      </w:r>
      <w:r w:rsidRPr="00787125">
        <w:rPr>
          <w:rFonts w:cstheme="minorHAnsi"/>
          <w:lang w:val="en-US"/>
        </w:rPr>
        <w:t xml:space="preserve">(p = 0.9497). </w:t>
      </w:r>
    </w:p>
    <w:p w14:paraId="7FB2FC17" w14:textId="4B6ECF3F" w:rsidR="00A23602" w:rsidRDefault="00A23602" w:rsidP="00A80DCF">
      <w:pPr>
        <w:spacing w:line="276" w:lineRule="auto"/>
        <w:rPr>
          <w:lang w:val="en-US"/>
        </w:rPr>
      </w:pPr>
    </w:p>
    <w:p w14:paraId="5AB2FFD8" w14:textId="540A7DF2" w:rsidR="00B636C2" w:rsidRDefault="00A23602" w:rsidP="00A80DCF">
      <w:pPr>
        <w:spacing w:line="276" w:lineRule="auto"/>
        <w:rPr>
          <w:rFonts w:cstheme="minorHAnsi"/>
          <w:lang w:val="en-US"/>
        </w:rPr>
      </w:pPr>
      <w:r w:rsidRPr="00787125">
        <w:rPr>
          <w:rFonts w:cstheme="minorHAnsi"/>
          <w:lang w:val="en-US"/>
        </w:rPr>
        <w:t xml:space="preserve">There was no significant difference in vector sum between groups at any time before or after MSC treatment. </w:t>
      </w:r>
      <w:r>
        <w:rPr>
          <w:rFonts w:cstheme="minorHAnsi"/>
          <w:lang w:val="en-US"/>
        </w:rPr>
        <w:t xml:space="preserve">However, the untreated group developed </w:t>
      </w:r>
      <w:r w:rsidRPr="00787125">
        <w:rPr>
          <w:rFonts w:cstheme="minorHAnsi"/>
          <w:lang w:val="en-US"/>
        </w:rPr>
        <w:t>right front limb (</w:t>
      </w:r>
      <w:r w:rsidR="00F56B7D">
        <w:rPr>
          <w:rFonts w:cstheme="minorHAnsi"/>
          <w:lang w:val="en-US"/>
        </w:rPr>
        <w:t>C</w:t>
      </w:r>
      <w:r w:rsidRPr="00787125">
        <w:rPr>
          <w:rFonts w:cstheme="minorHAnsi"/>
          <w:lang w:val="en-US"/>
        </w:rPr>
        <w:t>ontro</w:t>
      </w:r>
      <w:r w:rsidR="00F56B7D">
        <w:rPr>
          <w:rFonts w:cstheme="minorHAnsi"/>
          <w:lang w:val="en-US"/>
        </w:rPr>
        <w:t>l-leg</w:t>
      </w:r>
      <w:r w:rsidRPr="00787125">
        <w:rPr>
          <w:rFonts w:cstheme="minorHAnsi"/>
          <w:lang w:val="en-US"/>
        </w:rPr>
        <w:t xml:space="preserve">) lameness </w:t>
      </w:r>
      <w:r>
        <w:rPr>
          <w:rFonts w:cstheme="minorHAnsi"/>
          <w:lang w:val="en-US"/>
        </w:rPr>
        <w:t>(positive average vector sum days</w:t>
      </w:r>
      <w:r w:rsidRPr="00787125">
        <w:rPr>
          <w:rFonts w:cstheme="minorHAnsi"/>
          <w:lang w:val="en-US"/>
        </w:rPr>
        <w:t xml:space="preserve"> </w:t>
      </w:r>
      <w:r w:rsidR="00201DF8">
        <w:rPr>
          <w:rFonts w:cstheme="minorHAnsi"/>
          <w:lang w:val="en-US"/>
        </w:rPr>
        <w:t>24</w:t>
      </w:r>
      <w:r w:rsidRPr="00787125">
        <w:rPr>
          <w:rFonts w:cstheme="minorHAnsi"/>
          <w:lang w:val="en-US"/>
        </w:rPr>
        <w:t xml:space="preserve"> – </w:t>
      </w:r>
      <w:r w:rsidR="00201DF8">
        <w:rPr>
          <w:rFonts w:cstheme="minorHAnsi"/>
          <w:lang w:val="en-US"/>
        </w:rPr>
        <w:t>38</w:t>
      </w:r>
      <w:r>
        <w:rPr>
          <w:rFonts w:cstheme="minorHAnsi"/>
          <w:lang w:val="en-US"/>
        </w:rPr>
        <w:t xml:space="preserve">), obscuring comparison between groups </w:t>
      </w:r>
      <w:r w:rsidRPr="00787125">
        <w:rPr>
          <w:rFonts w:cstheme="minorHAnsi"/>
          <w:lang w:val="en-US"/>
        </w:rPr>
        <w:t>(</w:t>
      </w:r>
      <w:r w:rsidR="00B636C2">
        <w:rPr>
          <w:rFonts w:cstheme="minorHAnsi"/>
          <w:b/>
          <w:bCs/>
          <w:lang w:val="en-US"/>
        </w:rPr>
        <w:t>Supplementary Figure 1</w:t>
      </w:r>
      <w:r w:rsidRPr="00787125">
        <w:rPr>
          <w:rFonts w:cstheme="minorHAnsi"/>
          <w:lang w:val="en-US"/>
        </w:rPr>
        <w:t>).</w:t>
      </w:r>
    </w:p>
    <w:p w14:paraId="516C174C" w14:textId="77777777" w:rsidR="00B636C2" w:rsidRDefault="00B636C2" w:rsidP="00A80DCF">
      <w:pPr>
        <w:spacing w:line="276" w:lineRule="auto"/>
        <w:rPr>
          <w:rFonts w:cstheme="minorHAnsi"/>
          <w:lang w:val="en-US"/>
        </w:rPr>
      </w:pPr>
    </w:p>
    <w:p w14:paraId="3AE31C50" w14:textId="25778755" w:rsidR="00A23602" w:rsidRDefault="00A23602" w:rsidP="00A80DCF">
      <w:pPr>
        <w:spacing w:line="276" w:lineRule="auto"/>
        <w:rPr>
          <w:rFonts w:cstheme="minorHAnsi"/>
          <w:lang w:val="en-US"/>
        </w:rPr>
      </w:pPr>
      <w:r w:rsidRPr="00787125">
        <w:rPr>
          <w:rFonts w:cstheme="minorHAnsi"/>
          <w:lang w:val="en-US"/>
        </w:rPr>
        <w:lastRenderedPageBreak/>
        <w:t xml:space="preserve"> </w:t>
      </w:r>
      <w:r w:rsidR="00C137E6">
        <w:rPr>
          <w:rFonts w:cstheme="minorHAnsi"/>
          <w:noProof/>
          <w:lang w:val="en-US"/>
        </w:rPr>
        <w:drawing>
          <wp:inline distT="0" distB="0" distL="0" distR="0" wp14:anchorId="72468C91" wp14:editId="1E04492A">
            <wp:extent cx="6120130" cy="5972810"/>
            <wp:effectExtent l="0" t="0" r="381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20130" cy="5972810"/>
                    </a:xfrm>
                    <a:prstGeom prst="rect">
                      <a:avLst/>
                    </a:prstGeom>
                  </pic:spPr>
                </pic:pic>
              </a:graphicData>
            </a:graphic>
          </wp:inline>
        </w:drawing>
      </w:r>
    </w:p>
    <w:p w14:paraId="758F8EC2" w14:textId="54496A59" w:rsidR="00C137E6" w:rsidRPr="00444BE4" w:rsidRDefault="00C137E6" w:rsidP="00444BE4">
      <w:pPr>
        <w:spacing w:line="276" w:lineRule="auto"/>
        <w:jc w:val="both"/>
        <w:rPr>
          <w:rFonts w:cstheme="minorHAnsi"/>
          <w:color w:val="44546A" w:themeColor="text2"/>
          <w:sz w:val="22"/>
          <w:szCs w:val="22"/>
          <w:lang w:val="en-US"/>
        </w:rPr>
      </w:pPr>
      <w:r w:rsidRPr="00444BE4">
        <w:rPr>
          <w:rFonts w:cstheme="minorHAnsi"/>
          <w:b/>
          <w:bCs/>
          <w:color w:val="000000" w:themeColor="text1"/>
          <w:sz w:val="22"/>
          <w:szCs w:val="22"/>
          <w:lang w:val="en-US"/>
        </w:rPr>
        <w:t>Supplementary Figure 1</w:t>
      </w:r>
      <w:r w:rsidRPr="00444BE4">
        <w:rPr>
          <w:rFonts w:cstheme="minorHAnsi"/>
          <w:color w:val="000000" w:themeColor="text1"/>
          <w:sz w:val="22"/>
          <w:szCs w:val="22"/>
          <w:lang w:val="en-US"/>
        </w:rPr>
        <w:t>:</w:t>
      </w:r>
      <w:r w:rsidR="00444BE4" w:rsidRPr="00444BE4">
        <w:rPr>
          <w:color w:val="000000" w:themeColor="text1"/>
          <w:sz w:val="22"/>
          <w:szCs w:val="22"/>
          <w:lang w:val="en-US"/>
        </w:rPr>
        <w:t xml:space="preserve"> </w:t>
      </w:r>
      <w:r w:rsidR="00444BE4" w:rsidRPr="00444BE4">
        <w:rPr>
          <w:color w:val="44546A" w:themeColor="text2"/>
          <w:sz w:val="22"/>
          <w:szCs w:val="22"/>
          <w:lang w:val="en-US"/>
        </w:rPr>
        <w:t xml:space="preserve">Lameness Locator Vector Sum (VS) (objective lameness assessment) during the study period in the treated (blue) and untreated (pink) group. Both groups have no/mild front limb lameness at baseline (day -18). On day -4 both groups have a negative VS, indicating left front limb (OA-leg) lameness. The lameness of the treated group returns towards baseline during the study period. Some horses of the untreated group develop right front limb (Control-leg) lameness seen as a positive VS during the time of the study. The VS is a measure of the difference in lameness between front limbs. Category intervals were defined by </w:t>
      </w:r>
      <w:proofErr w:type="spellStart"/>
      <w:r w:rsidR="00444BE4" w:rsidRPr="00444BE4">
        <w:rPr>
          <w:color w:val="44546A" w:themeColor="text2"/>
          <w:sz w:val="22"/>
          <w:szCs w:val="22"/>
          <w:lang w:val="en-US"/>
        </w:rPr>
        <w:t>Kallerud</w:t>
      </w:r>
      <w:proofErr w:type="spellEnd"/>
      <w:r w:rsidR="00444BE4" w:rsidRPr="00444BE4">
        <w:rPr>
          <w:color w:val="44546A" w:themeColor="text2"/>
          <w:sz w:val="22"/>
          <w:szCs w:val="22"/>
          <w:lang w:val="en-US"/>
        </w:rPr>
        <w:t xml:space="preserve"> et al.</w:t>
      </w:r>
      <w:r w:rsidR="00444BE4" w:rsidRPr="00444BE4">
        <w:rPr>
          <w:color w:val="44546A" w:themeColor="text2"/>
          <w:sz w:val="22"/>
          <w:szCs w:val="22"/>
          <w:lang w:val="en-US"/>
        </w:rPr>
        <w:fldChar w:fldCharType="begin" w:fldLock="1"/>
      </w:r>
      <w:r w:rsidR="00444BE4" w:rsidRPr="00444BE4">
        <w:rPr>
          <w:color w:val="44546A" w:themeColor="text2"/>
          <w:sz w:val="22"/>
          <w:szCs w:val="22"/>
          <w:lang w:val="en-US"/>
        </w:rPr>
        <w:instrText>ADDIN CSL_CITATION {"citationItems":[{"id":"ITEM-1","itemData":{"DOI":"10.1111/evj.13302","ISSN":"20423306","PMID":"32558997","abstract":"Background: Lameness evaluation of Standardbred trotters can be challenging due to discrepancies in observed movement asymmetry between in-hand and track exercise, and between different trotting speeds. There are few studies on objective measurement of movement in Standardbreds, and little knowledge regarding biological variation and clinical significance of measured movement asymmetry in this breed. Objectives: To quantify the prevalence and magnitude of objectively measured movement asymmetry in young Standardbred trotters, and identify associations with trainer, sex, height, track type and in-hand measurement prior to or after track trials. Study design: Cross-sectional, observational study. Methods: A total of 114 Standardbred yearlings were evaluated with a wireless inertial sensor system during trot in-hand and when driven on a track. After exclusions relating to lameness or technical difficulties, 103 horses were included in the study; 77 were evaluated in-hand and on the track, 24 only in-hand and 2 only on the track. Results: Front and/or hindlimb parameters were above asymmetry thresholds previously established for other breeds during in-hand trials for 94 (93%) horses and during track trials for 74 (94%) horses. Most horses showed mild asymmetry. A minority of horses (20%) switched side of the asymmetry for one or more parameters between in-hand and track trials. Mixed model analyses revealed no significant effects of trial mode (in-hand or track trial, in-hand trial pre- or post-track trial, straight or oval track), trainer or horse height. Females had a significant but small reduction in asymmetry in one front limb parameter (HDmax) compared with males (1.7 mm, 95% CI 0.18-3.28, P =.03). Main limitations: High data variability, reflected in large trial standard deviations, relating mainly to a lack of horse compliance. Conclusions: A high proportion of Standardbred yearlings showed movement asymmetries. There was no group-level effect between in-hand and track trials, however, considerable individual variation was observed.","author":[{"dropping-particle":"","family":"Kallerud","given":"Anne S.","non-dropping-particle":"","parse-names":false,"suffix":""},{"dropping-particle":"","family":"Fjordbakk","given":"Cathrine T.","non-dropping-particle":"","parse-names":false,"suffix":""},{"dropping-particle":"","family":"Hendrickson","given":"Eli H.S.","non-dropping-particle":"","parse-names":false,"suffix":""},{"dropping-particle":"","family":"Persson-Sjodin","given":"Emma","non-dropping-particle":"","parse-names":false,"suffix":""},{"dropping-particle":"","family":"Hammarberg","given":"Marie","non-dropping-particle":"","parse-names":false,"suffix":""},{"dropping-particle":"","family":"Rhodin","given":"Marie","non-dropping-particle":"","parse-names":false,"suffix":""},{"dropping-particle":"","family":"Hernlund","given":"Elin","non-dropping-particle":"","parse-names":false,"suffix":""}],"container-title":"Equine Veterinary Journal","id":"ITEM-1","issue":"May","issued":{"date-parts":[["2020"]]},"page":"1-10","title":"Objectively measured movement asymmetry in yearling Standardbred trotters","type":"article-journal"},"uris":["http://www.mendeley.com/documents/?uuid=3e326e8d-33ee-4223-ba8f-1da069a8e00c"]}],"mendeley":{"formattedCitation":"&lt;sup&gt;1&lt;/sup&gt;","plainTextFormattedCitation":"1","previouslyFormattedCitation":"(1)"},"properties":{"noteIndex":0},"schema":"https://github.com/citation-style-language/schema/raw/master/csl-citation.json"}</w:instrText>
      </w:r>
      <w:r w:rsidR="00444BE4" w:rsidRPr="00444BE4">
        <w:rPr>
          <w:color w:val="44546A" w:themeColor="text2"/>
          <w:sz w:val="22"/>
          <w:szCs w:val="22"/>
          <w:lang w:val="en-US"/>
        </w:rPr>
        <w:fldChar w:fldCharType="separate"/>
      </w:r>
      <w:r w:rsidR="00444BE4" w:rsidRPr="00444BE4">
        <w:rPr>
          <w:noProof/>
          <w:color w:val="44546A" w:themeColor="text2"/>
          <w:sz w:val="22"/>
          <w:szCs w:val="22"/>
          <w:vertAlign w:val="superscript"/>
          <w:lang w:val="en-US"/>
        </w:rPr>
        <w:t>1</w:t>
      </w:r>
      <w:r w:rsidR="00444BE4" w:rsidRPr="00444BE4">
        <w:rPr>
          <w:color w:val="44546A" w:themeColor="text2"/>
          <w:sz w:val="22"/>
          <w:szCs w:val="22"/>
          <w:lang w:val="en-US"/>
        </w:rPr>
        <w:fldChar w:fldCharType="end"/>
      </w:r>
      <w:r w:rsidR="00444BE4" w:rsidRPr="00444BE4">
        <w:rPr>
          <w:color w:val="44546A" w:themeColor="text2"/>
          <w:sz w:val="22"/>
          <w:szCs w:val="22"/>
          <w:lang w:val="en-US"/>
        </w:rPr>
        <w:t>.</w:t>
      </w:r>
    </w:p>
    <w:p w14:paraId="75117C86" w14:textId="6D4CBCBA" w:rsidR="00A23602" w:rsidRDefault="00A23602" w:rsidP="00A80DCF">
      <w:pPr>
        <w:spacing w:line="276" w:lineRule="auto"/>
        <w:rPr>
          <w:lang w:val="en-US"/>
        </w:rPr>
      </w:pPr>
    </w:p>
    <w:p w14:paraId="146694B9" w14:textId="10B7BABB" w:rsidR="00A23602" w:rsidRPr="00190D72" w:rsidRDefault="00A23602" w:rsidP="00A80DCF">
      <w:pPr>
        <w:spacing w:line="276" w:lineRule="auto"/>
        <w:rPr>
          <w:b/>
          <w:bCs/>
          <w:i/>
          <w:iCs/>
          <w:lang w:val="en-US"/>
        </w:rPr>
      </w:pPr>
      <w:r w:rsidRPr="00190D72">
        <w:rPr>
          <w:b/>
          <w:bCs/>
          <w:i/>
          <w:iCs/>
          <w:lang w:val="en-US"/>
        </w:rPr>
        <w:t>Discussion</w:t>
      </w:r>
    </w:p>
    <w:p w14:paraId="43EDA570" w14:textId="14B97219" w:rsidR="00971BB0" w:rsidRDefault="00A23602" w:rsidP="00A80DCF">
      <w:pPr>
        <w:spacing w:line="276" w:lineRule="auto"/>
        <w:rPr>
          <w:rFonts w:cstheme="minorHAnsi"/>
          <w:lang w:val="en-US"/>
        </w:rPr>
      </w:pPr>
      <w:r w:rsidRPr="00787125">
        <w:rPr>
          <w:rFonts w:cstheme="minorHAnsi"/>
          <w:lang w:val="en-US"/>
        </w:rPr>
        <w:t xml:space="preserve">In our study, objectively measured Lameness Locator Vector Sum (VS) confirmed </w:t>
      </w:r>
      <w:r>
        <w:rPr>
          <w:rFonts w:cstheme="minorHAnsi"/>
          <w:lang w:val="en-US"/>
        </w:rPr>
        <w:t>the</w:t>
      </w:r>
      <w:r w:rsidRPr="00787125">
        <w:rPr>
          <w:rFonts w:cstheme="minorHAnsi"/>
          <w:lang w:val="en-US"/>
        </w:rPr>
        <w:t xml:space="preserve"> trajectory of the lameness</w:t>
      </w:r>
      <w:r>
        <w:rPr>
          <w:rFonts w:cstheme="minorHAnsi"/>
          <w:lang w:val="en-US"/>
        </w:rPr>
        <w:t xml:space="preserve"> evaluated by the AAEP scale</w:t>
      </w:r>
      <w:r w:rsidRPr="00787125">
        <w:rPr>
          <w:rFonts w:cstheme="minorHAnsi"/>
          <w:lang w:val="en-US"/>
        </w:rPr>
        <w:t xml:space="preserve"> in the treated group, but not the untreated group. The </w:t>
      </w:r>
      <w:r w:rsidRPr="00787125">
        <w:rPr>
          <w:rFonts w:cstheme="minorHAnsi"/>
          <w:lang w:val="en-US"/>
        </w:rPr>
        <w:lastRenderedPageBreak/>
        <w:t xml:space="preserve">reason for this is that the untreated horses developed contra-lateral front limb lameness from day 21 </w:t>
      </w:r>
      <w:r>
        <w:rPr>
          <w:rFonts w:cstheme="minorHAnsi"/>
          <w:lang w:val="en-US"/>
        </w:rPr>
        <w:t>onwards</w:t>
      </w:r>
      <w:r w:rsidRPr="00787125">
        <w:rPr>
          <w:rFonts w:cstheme="minorHAnsi"/>
          <w:lang w:val="en-US"/>
        </w:rPr>
        <w:t xml:space="preserve">. </w:t>
      </w:r>
      <w:r w:rsidR="000046D4">
        <w:rPr>
          <w:lang w:val="en-US"/>
        </w:rPr>
        <w:t>In the Lameness Locator software, the difference in</w:t>
      </w:r>
      <w:r w:rsidR="000046D4" w:rsidRPr="008D3125">
        <w:rPr>
          <w:lang w:val="en-US"/>
        </w:rPr>
        <w:t xml:space="preserve"> head minimum</w:t>
      </w:r>
      <w:r w:rsidR="000046D4">
        <w:rPr>
          <w:lang w:val="en-US"/>
        </w:rPr>
        <w:t>/lowest</w:t>
      </w:r>
      <w:r w:rsidR="000046D4" w:rsidRPr="008D3125">
        <w:rPr>
          <w:lang w:val="en-US"/>
        </w:rPr>
        <w:t xml:space="preserve"> positions between right and left portions of the stride</w:t>
      </w:r>
      <w:r w:rsidR="000046D4">
        <w:rPr>
          <w:lang w:val="en-US"/>
        </w:rPr>
        <w:t xml:space="preserve"> is assigned </w:t>
      </w:r>
      <w:proofErr w:type="spellStart"/>
      <w:r w:rsidR="000046D4">
        <w:rPr>
          <w:lang w:val="en-US"/>
        </w:rPr>
        <w:t>HDmin</w:t>
      </w:r>
      <w:proofErr w:type="spellEnd"/>
      <w:r w:rsidR="000046D4">
        <w:rPr>
          <w:lang w:val="en-US"/>
        </w:rPr>
        <w:t xml:space="preserve"> and the maximum/highest head position is assigned </w:t>
      </w:r>
      <w:proofErr w:type="spellStart"/>
      <w:r w:rsidR="000046D4">
        <w:rPr>
          <w:lang w:val="en-US"/>
        </w:rPr>
        <w:t>HDmax</w:t>
      </w:r>
      <w:proofErr w:type="spellEnd"/>
      <w:r w:rsidR="000046D4">
        <w:rPr>
          <w:lang w:val="en-US"/>
        </w:rPr>
        <w:t xml:space="preserve">, while the hind limb equivalent is assigned </w:t>
      </w:r>
      <w:proofErr w:type="spellStart"/>
      <w:r w:rsidR="000046D4">
        <w:rPr>
          <w:lang w:val="en-US"/>
        </w:rPr>
        <w:t>PDmin</w:t>
      </w:r>
      <w:proofErr w:type="spellEnd"/>
      <w:r w:rsidR="000046D4">
        <w:rPr>
          <w:lang w:val="en-US"/>
        </w:rPr>
        <w:t xml:space="preserve"> and </w:t>
      </w:r>
      <w:proofErr w:type="spellStart"/>
      <w:r w:rsidR="000046D4">
        <w:rPr>
          <w:lang w:val="en-US"/>
        </w:rPr>
        <w:t>PDmax</w:t>
      </w:r>
      <w:proofErr w:type="spellEnd"/>
      <w:r w:rsidR="000046D4">
        <w:rPr>
          <w:lang w:val="en-US"/>
        </w:rPr>
        <w:t xml:space="preserve">. The Vector Sum is automatically calculated by the Lameness Locator Software using the </w:t>
      </w:r>
      <w:r w:rsidR="000046D4" w:rsidRPr="00AE423B">
        <w:rPr>
          <w:lang w:val="en-US"/>
        </w:rPr>
        <w:t>﻿Pythagorean Theorem</w:t>
      </w:r>
      <w:r w:rsidR="000046D4">
        <w:rPr>
          <w:lang w:val="en-US"/>
        </w:rPr>
        <w:t xml:space="preserve"> as the </w:t>
      </w:r>
      <w:r w:rsidR="000046D4" w:rsidRPr="00AE423B">
        <w:rPr>
          <w:lang w:val="en-US"/>
        </w:rPr>
        <w:t>﻿hypotenuse</w:t>
      </w:r>
      <w:r w:rsidR="000046D4">
        <w:rPr>
          <w:lang w:val="en-US"/>
        </w:rPr>
        <w:t xml:space="preserve"> of the difference in maximum and minimum head position during one stride cycle</w:t>
      </w:r>
      <w:r w:rsidR="000046D4">
        <w:rPr>
          <w:lang w:val="en-US"/>
        </w:rPr>
        <w:fldChar w:fldCharType="begin" w:fldLock="1"/>
      </w:r>
      <w:r w:rsidR="00444BE4">
        <w:rPr>
          <w:lang w:val="en-US"/>
        </w:rPr>
        <w:instrText>ADDIN CSL_CITATION {"citationItems":[{"id":"ITEM-1","itemData":{"container-title":"6","id":"ITEM-1","issued":{"date-parts":[["2019"]]},"title":"Equinosis User Manual Lameness Locator Touch 1.0 version 1.0","type":"legal_case"},"uris":["http://www.mendeley.com/documents/?uuid=f9dd9ef7-b348-443f-b779-8854f332c89a"]}],"mendeley":{"formattedCitation":"&lt;sup&gt;2&lt;/sup&gt;","plainTextFormattedCitation":"2","previouslyFormattedCitation":"(2)"},"properties":{"noteIndex":0},"schema":"https://github.com/citation-style-language/schema/raw/master/csl-citation.json"}</w:instrText>
      </w:r>
      <w:r w:rsidR="000046D4">
        <w:rPr>
          <w:lang w:val="en-US"/>
        </w:rPr>
        <w:fldChar w:fldCharType="separate"/>
      </w:r>
      <w:r w:rsidR="00444BE4" w:rsidRPr="00444BE4">
        <w:rPr>
          <w:noProof/>
          <w:vertAlign w:val="superscript"/>
          <w:lang w:val="en-US"/>
        </w:rPr>
        <w:t>2</w:t>
      </w:r>
      <w:r w:rsidR="000046D4">
        <w:rPr>
          <w:lang w:val="en-US"/>
        </w:rPr>
        <w:fldChar w:fldCharType="end"/>
      </w:r>
      <w:r w:rsidR="000046D4">
        <w:rPr>
          <w:lang w:val="en-US"/>
        </w:rPr>
        <w:t>.</w:t>
      </w:r>
      <w:r w:rsidR="00DE57C3">
        <w:rPr>
          <w:rFonts w:cstheme="minorHAnsi"/>
          <w:lang w:val="en-US"/>
        </w:rPr>
        <w:t>T</w:t>
      </w:r>
      <w:r w:rsidR="000046D4">
        <w:rPr>
          <w:rFonts w:cstheme="minorHAnsi"/>
          <w:lang w:val="en-US"/>
        </w:rPr>
        <w:t>hat means that t</w:t>
      </w:r>
      <w:r w:rsidR="00DE57C3">
        <w:rPr>
          <w:rFonts w:cstheme="minorHAnsi"/>
          <w:lang w:val="en-US"/>
        </w:rPr>
        <w:t xml:space="preserve">he Vector Sum of the Lameness Locator represents the difference in asymmetry between legs, while lameness on each leg can be subjectively assessed with the AAEP scale. </w:t>
      </w:r>
      <w:r w:rsidRPr="00787125">
        <w:rPr>
          <w:rFonts w:cstheme="minorHAnsi"/>
          <w:lang w:val="en-US"/>
        </w:rPr>
        <w:t xml:space="preserve">Lameness </w:t>
      </w:r>
      <w:r>
        <w:rPr>
          <w:rFonts w:cstheme="minorHAnsi"/>
          <w:lang w:val="en-US"/>
        </w:rPr>
        <w:t>shifting</w:t>
      </w:r>
      <w:r w:rsidRPr="00787125">
        <w:rPr>
          <w:rFonts w:cstheme="minorHAnsi"/>
          <w:lang w:val="en-US"/>
        </w:rPr>
        <w:t xml:space="preserve"> between the OA-limb and the control limb has been </w:t>
      </w:r>
      <w:r>
        <w:rPr>
          <w:rFonts w:cstheme="minorHAnsi"/>
          <w:lang w:val="en-US"/>
        </w:rPr>
        <w:t>reported</w:t>
      </w:r>
      <w:r w:rsidRPr="00787125">
        <w:rPr>
          <w:rFonts w:cstheme="minorHAnsi"/>
          <w:lang w:val="en-US"/>
        </w:rPr>
        <w:t xml:space="preserve"> previously</w:t>
      </w:r>
      <w:r>
        <w:rPr>
          <w:rFonts w:cstheme="minorHAnsi"/>
          <w:lang w:val="en-US"/>
        </w:rPr>
        <w:t xml:space="preserve"> in a study using</w:t>
      </w:r>
      <w:r w:rsidRPr="00787125">
        <w:rPr>
          <w:rFonts w:cstheme="minorHAnsi"/>
          <w:lang w:val="en-US"/>
        </w:rPr>
        <w:t xml:space="preserve"> the equine carpal osteochondral fragment model</w:t>
      </w:r>
      <w:r w:rsidRPr="00787125">
        <w:rPr>
          <w:rFonts w:cstheme="minorHAnsi"/>
          <w:lang w:val="en-US"/>
        </w:rPr>
        <w:fldChar w:fldCharType="begin" w:fldLock="1"/>
      </w:r>
      <w:r w:rsidR="00444BE4">
        <w:rPr>
          <w:rFonts w:cstheme="minorHAnsi"/>
          <w:lang w:val="en-US"/>
        </w:rPr>
        <w:instrText>ADDIN CSL_CITATION {"citationItems":[{"id":"ITEM-1","itemData":{"DOI":"10.1016/j.tvjl.2015.08.004","ISSN":"15322971","PMID":"26361749","abstract":"When mild lameness exists, agreement between clinicians is often controversial due to its subjective nature. The goal of the study was to compare subjective and objective methods to identify the presence of mild lameness using an established model of osteoarthritis (OA) in which OA was induced by creating a unilateral carpal osteochondral fragment (OCF) in the middle carpal joint of 16 horses. Subjective lameness evaluations (blinded and unblinded), force platforms (FP), and an inertial-sensor system (ISS) were used to detect forelimb lameness at four time points. Limbs identified as lame by each method were compared as well as compared with the OCF limb at each time point. Spearman correlations were calculated between all outcome parameters.Independent of time, blinded subjective evaluation (54%) and the ISS (60%) identified a higher percentage of horses as lame in the OCF limb compared to FP (40%). Blinded subjective evaluation and the ISS agreed which forelimb was lame more often (50%) compared with blinded subjective evaluation and the FP (38%). Induction of mild lameness within the OCF limb was supported by an increase in the frequency of horses considered lame by both subjective evaluations the ISS and a decrease (3.6%) in mean (among all horses) peak vertical force from baseline to post OCF induction. The percentage of horses identified as lame in the OCF limb, independent of time, was highest with the ISS (60%) followed by blinded subjective evaluation (51%) and the FP (42%). It was concluded that the best agreement was between subjective evaluation and the inertial-sensor system.","author":[{"dropping-particle":"","family":"Donnell","given":"J. R.","non-dropping-particle":"","parse-names":false,"suffix":""},{"dropping-particle":"","family":"Frisbie","given":"D. D.","non-dropping-particle":"","parse-names":false,"suffix":""},{"dropping-particle":"","family":"King","given":"M. R.","non-dropping-particle":"","parse-names":false,"suffix":""},{"dropping-particle":"","family":"Goodrich","given":"L. R.","non-dropping-particle":"","parse-names":false,"suffix":""},{"dropping-particle":"","family":"Haussler","given":"K. K.","non-dropping-particle":"","parse-names":false,"suffix":""}],"container-title":"Veterinary Journal","id":"ITEM-1","issue":"2","issued":{"date-parts":[["2015"]]},"page":"136-142","publisher":"Elsevier Ltd","title":"Comparison of subjective lameness evaluation, force platforms and an inertial-sensor system to identify mild lameness in an equine osteoarthritis model","type":"article-journal","volume":"206"},"uris":["http://www.mendeley.com/documents/?uuid=9cd2e001-7f0b-42a9-adbc-83e45d41d001"]}],"mendeley":{"formattedCitation":"&lt;sup&gt;3&lt;/sup&gt;","plainTextFormattedCitation":"3","previouslyFormattedCitation":"(3)"},"properties":{"noteIndex":0},"schema":"https://github.com/citation-style-language/schema/raw/master/csl-citation.json"}</w:instrText>
      </w:r>
      <w:r w:rsidRPr="00787125">
        <w:rPr>
          <w:rFonts w:cstheme="minorHAnsi"/>
          <w:lang w:val="en-US"/>
        </w:rPr>
        <w:fldChar w:fldCharType="separate"/>
      </w:r>
      <w:r w:rsidR="00444BE4" w:rsidRPr="00444BE4">
        <w:rPr>
          <w:rFonts w:cstheme="minorHAnsi"/>
          <w:noProof/>
          <w:vertAlign w:val="superscript"/>
          <w:lang w:val="en-US"/>
        </w:rPr>
        <w:t>3</w:t>
      </w:r>
      <w:r w:rsidRPr="00787125">
        <w:rPr>
          <w:rFonts w:cstheme="minorHAnsi"/>
          <w:lang w:val="en-US"/>
        </w:rPr>
        <w:fldChar w:fldCharType="end"/>
      </w:r>
      <w:r w:rsidRPr="00787125">
        <w:rPr>
          <w:rFonts w:cstheme="minorHAnsi"/>
          <w:lang w:val="en-US"/>
        </w:rPr>
        <w:t>.</w:t>
      </w:r>
      <w:r>
        <w:rPr>
          <w:rFonts w:cstheme="minorHAnsi"/>
          <w:lang w:val="en-US"/>
        </w:rPr>
        <w:t xml:space="preserve"> The reason for development of contralateral front limb lameness was not determined in this study. </w:t>
      </w:r>
      <w:r w:rsidRPr="00787125">
        <w:rPr>
          <w:rFonts w:cstheme="minorHAnsi"/>
          <w:lang w:val="en-US"/>
        </w:rPr>
        <w:t>Sometimes</w:t>
      </w:r>
      <w:r>
        <w:rPr>
          <w:rFonts w:cstheme="minorHAnsi"/>
          <w:lang w:val="en-US"/>
        </w:rPr>
        <w:t>,</w:t>
      </w:r>
      <w:r w:rsidRPr="00787125">
        <w:rPr>
          <w:rFonts w:cstheme="minorHAnsi"/>
          <w:lang w:val="en-US"/>
        </w:rPr>
        <w:t xml:space="preserve"> multi-limb lameness is caused by an immediate compensatory movement pattern, with the purpose of relieving pain on the lame limb</w:t>
      </w:r>
      <w:r>
        <w:rPr>
          <w:rFonts w:cstheme="minorHAnsi"/>
          <w:lang w:val="en-US"/>
        </w:rPr>
        <w:fldChar w:fldCharType="begin" w:fldLock="1"/>
      </w:r>
      <w:r w:rsidR="00444BE4">
        <w:rPr>
          <w:rFonts w:cstheme="minorHAnsi"/>
          <w:lang w:val="en-US"/>
        </w:rPr>
        <w:instrText>ADDIN CSL_CITATION {"citationItems":[{"id":"ITEM-1","itemData":{"DOI":"10.1016/j.tvjl.2004.09.004","ISSN":"10900233","PMID":"15974567","abstract":"The study was performed to obtain a detailed insight into the load and time shifting mechanisms of horses with unilateral weight-bearing forelimb lameness. Reversible lameness was induced in 11 clinically sound horses by applying a solar pressure model. Three degrees of lameness (subtle, mild and moderate) were induced and compared with sound control measurements. Vertical ground reaction force-time histories of all four limbs were recorded simultaneously on an instrumented treadmill. Four compensatory mechanisms could be identified that served to seduce structural stress, i.e. peak vertical force on the affected limb; (1) with increasing lameness, horses reduced the total vertical impulse per stride; (2) the diagonal impulse decreased selectively in the lame diagonal; (3) the impulse was shifted within the lame diagonl to the hindlimb and in the sound diagonal to the forelimb; (4) the rate of loading nd the peak forces were reduced by prolonging the stance duration. Except in the diagonal hindlimb, where peak vertical forces increased slightly in the moderate lameness condition, no equivalent compensatory overload situation was observed in the other limbs. Specific force and the time information of all four limbs allow the unequivocal of the affected limb. © 2004 Elsevier Ltd. All rights reserved.","author":[{"dropping-particle":"","family":"Weishaupt","given":"Michael A.","non-dropping-particle":"","parse-names":false,"suffix":""},{"dropping-particle":"","family":"Wiestner","given":"Thomas","non-dropping-particle":"","parse-names":false,"suffix":""},{"dropping-particle":"","family":"Hogg","given":"Hermann P.","non-dropping-particle":"","parse-names":false,"suffix":""},{"dropping-particle":"","family":"Jordan","given":"Patrick","non-dropping-particle":"","parse-names":false,"suffix":""},{"dropping-particle":"","family":"Auer","given":"Jörg A.","non-dropping-particle":"","parse-names":false,"suffix":""}],"container-title":"Veterinary Journal","id":"ITEM-1","issue":"1","issued":{"date-parts":[["2006"]]},"page":"135-146","title":"Compensatory load redistribution of horses with induced weight-bearing forelimb lameness trotting on a treadmill","type":"article-journal","volume":"171"},"uris":["http://www.mendeley.com/documents/?uuid=5a14c1f6-f164-44c7-8649-fa6f283a5060"]}],"mendeley":{"formattedCitation":"&lt;sup&gt;4&lt;/sup&gt;","plainTextFormattedCitation":"4","previouslyFormattedCitation":"(4)"},"properties":{"noteIndex":0},"schema":"https://github.com/citation-style-language/schema/raw/master/csl-citation.json"}</w:instrText>
      </w:r>
      <w:r>
        <w:rPr>
          <w:rFonts w:cstheme="minorHAnsi"/>
          <w:lang w:val="en-US"/>
        </w:rPr>
        <w:fldChar w:fldCharType="separate"/>
      </w:r>
      <w:r w:rsidR="00444BE4" w:rsidRPr="00444BE4">
        <w:rPr>
          <w:rFonts w:cstheme="minorHAnsi"/>
          <w:noProof/>
          <w:vertAlign w:val="superscript"/>
          <w:lang w:val="en-US"/>
        </w:rPr>
        <w:t>4</w:t>
      </w:r>
      <w:r>
        <w:rPr>
          <w:rFonts w:cstheme="minorHAnsi"/>
          <w:lang w:val="en-US"/>
        </w:rPr>
        <w:fldChar w:fldCharType="end"/>
      </w:r>
      <w:r w:rsidRPr="00787125">
        <w:rPr>
          <w:rFonts w:cstheme="minorHAnsi"/>
          <w:lang w:val="en-US"/>
        </w:rPr>
        <w:t>. Over time, the horse may also develop secondary lameness</w:t>
      </w:r>
      <w:r>
        <w:rPr>
          <w:rFonts w:cstheme="minorHAnsi"/>
          <w:lang w:val="en-US"/>
        </w:rPr>
        <w:t xml:space="preserve"> </w:t>
      </w:r>
      <w:r w:rsidRPr="00787125">
        <w:rPr>
          <w:rFonts w:cstheme="minorHAnsi"/>
          <w:lang w:val="en-US"/>
        </w:rPr>
        <w:t xml:space="preserve">as a result of long-term alterations in movement, which </w:t>
      </w:r>
      <w:r>
        <w:rPr>
          <w:rFonts w:cstheme="minorHAnsi"/>
          <w:lang w:val="en-US"/>
        </w:rPr>
        <w:t xml:space="preserve">subsequently </w:t>
      </w:r>
      <w:r w:rsidRPr="00787125">
        <w:rPr>
          <w:rFonts w:cstheme="minorHAnsi"/>
          <w:lang w:val="en-US"/>
        </w:rPr>
        <w:t>results in chronic overload and eventually pathology in the contralateral limb</w:t>
      </w:r>
      <w:r w:rsidRPr="00787125">
        <w:rPr>
          <w:rFonts w:cstheme="minorHAnsi"/>
          <w:lang w:val="en-US"/>
        </w:rPr>
        <w:fldChar w:fldCharType="begin" w:fldLock="1"/>
      </w:r>
      <w:r w:rsidR="00444BE4">
        <w:rPr>
          <w:rFonts w:cstheme="minorHAnsi"/>
          <w:lang w:val="en-US"/>
        </w:rPr>
        <w:instrText>ADDIN CSL_CITATION {"citationItems":[{"id":"ITEM-1","itemData":{"DOI":"10.2460/ajvr.2005.66.646","ISSN":"00029645","PMID":"15900946","abstract":"Objective - To characterize compensatory movements of the head and pelvis that resemble lameness in horses. Animals - 17 adult horses. Procedure - Kinematic evaluations were performed while horses trotted on a treadmill before and after shoe-induced lameness. Lameness was quantified and the affected limb determined by algorithms that measured asymmetry in vertical movement of the head and pelvis. Induced primary lameness and compensatory movements resembling lameness were assessed by the Friedman test. Association between induced lameness and compensatory movements was examined by regression analysis. Results - Compensatory movements resembling lameness in the ipsilateral forelimb were seen with induced lameness of a hind limb. There was less downward and less upward head movement during and after the stance phase of the ipsilateral forelimb. Doubling the severity of lameness in the hind limb increased severity of the compensatory movements in the ipsilateral forelimb by 50%. Compensatory movements resembling lameness of the hind limb were seen after induced lameness in a forelimb. There was less upward movement of the pelvis after the stance phase of the contralateral hind limb and, to a lesser extent, less downward movement of the pelvis during the stance phase of the ipsilateral hind limb. Doubling the severity of lameness in the forelimb increased compensatory movements of the contralateral hind limb by 5%. Conclusions and clinical relevance - Induced lameness in a hind limb causes prominent compensatory movements resembling lameness in the ipsilateral forelimb. Induced lameness in a forelimb causes slight compensatory movements resembling lameness in the ipsilateral and contralateral hind limbs.","author":[{"dropping-particle":"","family":"Kelmer","given":"Gal","non-dropping-particle":"","parse-names":false,"suffix":""},{"dropping-particle":"","family":"Keegen","given":"Kevin G.","non-dropping-particle":"","parse-names":false,"suffix":""},{"dropping-particle":"","family":"Kramer","given":"Joanne","non-dropping-particle":"","parse-names":false,"suffix":""},{"dropping-particle":"","family":"Wilson","given":"David A.","non-dropping-particle":"","parse-names":false,"suffix":""},{"dropping-particle":"","family":"Pai","given":"Frank P.","non-dropping-particle":"","parse-names":false,"suffix":""},{"dropping-particle":"","family":"Singh","given":"Prableen","non-dropping-particle":"","parse-names":false,"suffix":""}],"container-title":"American Journal of Veterinary Research","id":"ITEM-1","issue":"4","issued":{"date-parts":[["2005"]]},"page":"646-655","title":"Computer-assisted kinematic evaluation of induced compensatory movements resembling lameness in horses trotting on a treadmill","type":"article-journal","volume":"66"},"uris":["http://www.mendeley.com/documents/?uuid=d0e8732a-4d53-43cc-bfb1-b6c15106c78e"]}],"mendeley":{"formattedCitation":"&lt;sup&gt;5&lt;/sup&gt;","plainTextFormattedCitation":"5","previouslyFormattedCitation":"(5)"},"properties":{"noteIndex":0},"schema":"https://github.com/citation-style-language/schema/raw/master/csl-citation.json"}</w:instrText>
      </w:r>
      <w:r w:rsidRPr="00787125">
        <w:rPr>
          <w:rFonts w:cstheme="minorHAnsi"/>
          <w:lang w:val="en-US"/>
        </w:rPr>
        <w:fldChar w:fldCharType="separate"/>
      </w:r>
      <w:r w:rsidR="00444BE4" w:rsidRPr="00444BE4">
        <w:rPr>
          <w:rFonts w:cstheme="minorHAnsi"/>
          <w:noProof/>
          <w:vertAlign w:val="superscript"/>
          <w:lang w:val="en-US"/>
        </w:rPr>
        <w:t>5</w:t>
      </w:r>
      <w:r w:rsidRPr="00787125">
        <w:rPr>
          <w:rFonts w:cstheme="minorHAnsi"/>
          <w:lang w:val="en-US"/>
        </w:rPr>
        <w:fldChar w:fldCharType="end"/>
      </w:r>
      <w:r w:rsidRPr="00787125">
        <w:rPr>
          <w:rFonts w:cstheme="minorHAnsi"/>
          <w:lang w:val="en-US"/>
        </w:rPr>
        <w:t xml:space="preserve">. </w:t>
      </w:r>
      <w:r>
        <w:rPr>
          <w:rFonts w:cstheme="minorHAnsi"/>
          <w:lang w:val="en-US"/>
        </w:rPr>
        <w:t>This could potentially be the explanation for control limb lameness in our untreated horses. These control joints had</w:t>
      </w:r>
      <w:r w:rsidRPr="00787125">
        <w:rPr>
          <w:rFonts w:cstheme="minorHAnsi"/>
          <w:lang w:val="en-US"/>
        </w:rPr>
        <w:t xml:space="preserve"> </w:t>
      </w:r>
      <w:r>
        <w:rPr>
          <w:rFonts w:cstheme="minorHAnsi"/>
          <w:lang w:val="en-US"/>
        </w:rPr>
        <w:t>generally higher</w:t>
      </w:r>
      <w:r w:rsidRPr="00787125">
        <w:rPr>
          <w:rFonts w:cstheme="minorHAnsi"/>
          <w:lang w:val="en-US"/>
        </w:rPr>
        <w:t xml:space="preserve"> macroscopic pathology</w:t>
      </w:r>
      <w:r>
        <w:rPr>
          <w:rFonts w:cstheme="minorHAnsi"/>
          <w:lang w:val="en-US"/>
        </w:rPr>
        <w:t xml:space="preserve"> score (although not significant) along with significantly more histologic pathology in the synovial membrane</w:t>
      </w:r>
      <w:r w:rsidRPr="00787125">
        <w:rPr>
          <w:rFonts w:cstheme="minorHAnsi"/>
          <w:lang w:val="en-US"/>
        </w:rPr>
        <w:t xml:space="preserve"> </w:t>
      </w:r>
      <w:r>
        <w:rPr>
          <w:rFonts w:cstheme="minorHAnsi"/>
          <w:lang w:val="en-US"/>
        </w:rPr>
        <w:t xml:space="preserve">compared to </w:t>
      </w:r>
      <w:r w:rsidRPr="00787125">
        <w:rPr>
          <w:rFonts w:cstheme="minorHAnsi"/>
          <w:lang w:val="en-US"/>
        </w:rPr>
        <w:t>control joints</w:t>
      </w:r>
      <w:r>
        <w:rPr>
          <w:rFonts w:cstheme="minorHAnsi"/>
          <w:lang w:val="en-US"/>
        </w:rPr>
        <w:t xml:space="preserve"> in the treated horses.</w:t>
      </w:r>
      <w:r w:rsidRPr="00787125" w:rsidDel="008F4B7D">
        <w:rPr>
          <w:rFonts w:cstheme="minorHAnsi"/>
          <w:lang w:val="en-US"/>
        </w:rPr>
        <w:t xml:space="preserve"> </w:t>
      </w:r>
      <w:r>
        <w:rPr>
          <w:rFonts w:cstheme="minorHAnsi"/>
          <w:lang w:val="en-US"/>
        </w:rPr>
        <w:t xml:space="preserve"> </w:t>
      </w:r>
    </w:p>
    <w:p w14:paraId="40E4F65C" w14:textId="77777777" w:rsidR="00971BB0" w:rsidRDefault="00971BB0" w:rsidP="00A80DCF">
      <w:pPr>
        <w:spacing w:line="276" w:lineRule="auto"/>
        <w:rPr>
          <w:rFonts w:cstheme="minorHAnsi"/>
          <w:lang w:val="en-US"/>
        </w:rPr>
      </w:pPr>
    </w:p>
    <w:p w14:paraId="76B26931" w14:textId="71A89631" w:rsidR="00971BB0" w:rsidRPr="00885EF6" w:rsidRDefault="00971BB0" w:rsidP="00A80DCF">
      <w:pPr>
        <w:spacing w:line="276" w:lineRule="auto"/>
        <w:rPr>
          <w:lang w:val="en-US"/>
        </w:rPr>
      </w:pPr>
      <w:r>
        <w:rPr>
          <w:lang w:val="en-US"/>
        </w:rPr>
        <w:t xml:space="preserve">When analyzing the Lameness Locator data, </w:t>
      </w:r>
      <w:r w:rsidR="00885EF6">
        <w:rPr>
          <w:lang w:val="en-US"/>
        </w:rPr>
        <w:t>the</w:t>
      </w:r>
      <w:r>
        <w:rPr>
          <w:lang w:val="en-US"/>
        </w:rPr>
        <w:t xml:space="preserve"> recommendations for use of the system</w:t>
      </w:r>
      <w:r w:rsidR="00885EF6">
        <w:rPr>
          <w:lang w:val="en-US"/>
        </w:rPr>
        <w:t xml:space="preserve"> involves </w:t>
      </w:r>
      <w:r w:rsidR="00AE423B">
        <w:rPr>
          <w:lang w:val="en-US"/>
        </w:rPr>
        <w:t>excluding</w:t>
      </w:r>
      <w:r w:rsidR="00885EF6">
        <w:rPr>
          <w:lang w:val="en-US"/>
        </w:rPr>
        <w:t xml:space="preserve"> </w:t>
      </w:r>
      <w:r>
        <w:rPr>
          <w:lang w:val="en-US"/>
        </w:rPr>
        <w:t xml:space="preserve">measurements with “weak” evidence of asymmetry equivalent to a SD of more than 120% of </w:t>
      </w:r>
      <w:proofErr w:type="spellStart"/>
      <w:r>
        <w:rPr>
          <w:lang w:val="en-US"/>
        </w:rPr>
        <w:t>HDmin</w:t>
      </w:r>
      <w:proofErr w:type="spellEnd"/>
      <w:r>
        <w:rPr>
          <w:lang w:val="en-US"/>
        </w:rPr>
        <w:t xml:space="preserve"> and obvious hindlimb lameness that could interfere with front limb movement corresponding to a </w:t>
      </w:r>
      <w:proofErr w:type="spellStart"/>
      <w:r>
        <w:rPr>
          <w:lang w:val="en-US"/>
        </w:rPr>
        <w:t>PDmin</w:t>
      </w:r>
      <w:proofErr w:type="spellEnd"/>
      <w:r>
        <w:rPr>
          <w:lang w:val="en-US"/>
        </w:rPr>
        <w:t xml:space="preserve"> of &gt; +/- 15mm</w:t>
      </w:r>
      <w:r>
        <w:rPr>
          <w:lang w:val="en-US"/>
        </w:rPr>
        <w:fldChar w:fldCharType="begin" w:fldLock="1"/>
      </w:r>
      <w:r w:rsidR="00444BE4">
        <w:rPr>
          <w:lang w:val="en-US"/>
        </w:rPr>
        <w:instrText>ADDIN CSL_CITATION {"citationItems":[{"id":"ITEM-1","itemData":{"abstract":"Objective—To determine repeatability of a wireless, inertial sensor–based lameness evalu- ation system in horses. Animals—236 horses. Procedures—Horses were from 2 to 29 years of age and of various breeds and lameness disposition. All horses were instrumented with a wireless, inertial sensor–based motion analysis system on the head (accelerometer), pelvis (midline croup region [accelerometer]), and right forelimb (gyroscope) before evaluation in 2 consecutive trials, approximately 5 minutes apart, as the horse was trotted in a straight line. Signal-processing algorithms generated overall trial asymmetry measures for vertical head and pelvic movement and stride-by-stride differences in head and pelvic maximum and minimum positions between right and left sides of each stride. Repeatability was determined, and trial difference was determined for groups of horses with various numbers of strides for which data were col- lected per trial. Results—Inertial sensor–based measures of torso movement asymmetry were repeat- able. Repeatability for measures of torso asymmetry for determination of hind limb lame- ness was slightly greater than that for forelimb lameness. Collecting large numbers of strides degraded stride-to-stride repeatability but did not degrade intertrial repeatability. Conclusions and Clinical Relevance—The inertial sensor system used to measure asym- metry of head and pelvic movement as an aid in the detection and evaluation of lameness in horses trotting in a straight line was sufficiently repeatable to investigate for clinical use.","author":[{"dropping-particle":"","family":"Keegan","given":"Kevin G","non-dropping-particle":"","parse-names":false,"suffix":""},{"dropping-particle":"","family":"Kramer","given":"Joanne","non-dropping-particle":"","parse-names":false,"suffix":""},{"dropping-particle":"","family":"Yonezawa","given":"Yoshiharu","non-dropping-particle":"","parse-names":false,"suffix":""},{"dropping-particle":"","family":"Maki","given":"Hiromitchi","non-dropping-particle":"","parse-names":false,"suffix":""},{"dropping-particle":"","family":"Pai","given":"P Frank","non-dropping-particle":"","parse-names":false,"suffix":""},{"dropping-particle":"V","family":"Dent","given":"Eric","non-dropping-particle":"","parse-names":false,"suffix":""},{"dropping-particle":"","family":"Kellerman","given":"Thomas E","non-dropping-particle":"","parse-names":false,"suffix":""},{"dropping-particle":"","family":"Wilson","given":"David a","non-dropping-particle":"","parse-names":false,"suffix":""},{"dropping-particle":"","family":"Reed","given":"Shannon K","non-dropping-particle":"","parse-names":false,"suffix":""}],"container-title":"American Journal of Veterinary Research","id":"ITEM-1","issue":"9","issued":{"date-parts":[["2011"]]},"page":"1156-63","title":"Assessment of repeatability of a wireless, inertial sensor–based lameness evaluation system for horses","type":"article-journal","volume":"72"},"uris":["http://www.mendeley.com/documents/?uuid=2f645538-7741-49d6-b91f-b21557feb4d6"]},{"id":"ITEM-2","itemData":{"DOI":"10.3390/ani10010095","ISSN":"20762615","abstract":"Recent studies have reported significant alterations in horse physiological and gait parameters when exposed to increased rider weight during moderate to high intensity exercise. This study aimed to evaluate the effect of increased rider weight (+15% and +25% of the regular rider’s bodyweight) on horse behavioral, physiological and gait symmetry parameters during a standard dressage test. Twenty rider-horse equipages performed the same test three times in a randomized, crossover design. Salivary cortisol (SC), heart rate (HR), heart rate variability (HRV), behavior and gait symmetry (GS) were measured. SC concentrations increased from baseline (p &lt; 0.001), but there was no significant treatment effect (difference from baseline (ng/mL): Control: 0.21 ± 0.1; +15%: 0.37 ± 0.1; +25%: 0.45 ± 0.2, p = 0.52). Similarly, there were no overall treatment effects on HR or HRV variables (avg HR across treatments (bpm): 105.3 ± 1.3), nor on GS parameters. There was large individual variation in conflict behavior but no effect of weight treatment. We conclude that increasing the weight of the regular rider by 15% and 25% did not result in significant short-term alterations in the measured parameters. Maximum rider:horse weight ratios were 15–23% and the exercise intensity was relatively low; thus the results should not be extrapolated to other weight ratios and exercise intensities.","author":[{"dropping-particle":"","family":"Christensen","given":"Janne Winther","non-dropping-particle":"","parse-names":false,"suffix":""},{"dropping-particle":"","family":"Bathellier","given":"Suzie","non-dropping-particle":"","parse-names":false,"suffix":""},{"dropping-particle":"","family":"Rhodin","given":"Marie","non-dropping-particle":"","parse-names":false,"suffix":""},{"dropping-particle":"","family":"Palme","given":"Rupert","non-dropping-particle":"","parse-names":false,"suffix":""},{"dropping-particle":"","family":"Uldahl","given":"Mette","non-dropping-particle":"","parse-names":false,"suffix":""}],"container-title":"Animals","id":"ITEM-2","issue":"1","issued":{"date-parts":[["2020"]]},"title":"Increased rider weight did not induce changes in behavior and physiological parameters in horses","type":"article-journal","volume":"10"},"uris":["http://www.mendeley.com/documents/?uuid=fca7c61a-6995-48ef-b20e-919357755dc8"]},{"id":"ITEM-3","itemData":{"DOI":"10.1111/evj.13302","ISSN":"20423306","PMID":"32558997","abstract":"Background: Lameness evaluation of Standardbred trotters can be challenging due to discrepancies in observed movement asymmetry between in-hand and track exercise, and between different trotting speeds. There are few studies on objective measurement of movement in Standardbreds, and little knowledge regarding biological variation and clinical significance of measured movement asymmetry in this breed. Objectives: To quantify the prevalence and magnitude of objectively measured movement asymmetry in young Standardbred trotters, and identify associations with trainer, sex, height, track type and in-hand measurement prior to or after track trials. Study design: Cross-sectional, observational study. Methods: A total of 114 Standardbred yearlings were evaluated with a wireless inertial sensor system during trot in-hand and when driven on a track. After exclusions relating to lameness or technical difficulties, 103 horses were included in the study; 77 were evaluated in-hand and on the track, 24 only in-hand and 2 only on the track. Results: Front and/or hindlimb parameters were above asymmetry thresholds previously established for other breeds during in-hand trials for 94 (93%) horses and during track trials for 74 (94%) horses. Most horses showed mild asymmetry. A minority of horses (20%) switched side of the asymmetry for one or more parameters between in-hand and track trials. Mixed model analyses revealed no significant effects of trial mode (in-hand or track trial, in-hand trial pre- or post-track trial, straight or oval track), trainer or horse height. Females had a significant but small reduction in asymmetry in one front limb parameter (HDmax) compared with males (1.7 mm, 95% CI 0.18-3.28, P =.03). Main limitations: High data variability, reflected in large trial standard deviations, relating mainly to a lack of horse compliance. Conclusions: A high proportion of Standardbred yearlings showed movement asymmetries. There was no group-level effect between in-hand and track trials, however, considerable individual variation was observed.","author":[{"dropping-particle":"","family":"Kallerud","given":"Anne S.","non-dropping-particle":"","parse-names":false,"suffix":""},{"dropping-particle":"","family":"Fjordbakk","given":"Cathrine T.","non-dropping-particle":"","parse-names":false,"suffix":""},{"dropping-particle":"","family":"Hendrickson","given":"Eli H.S.","non-dropping-particle":"","parse-names":false,"suffix":""},{"dropping-particle":"","family":"Persson-Sjodin","given":"Emma","non-dropping-particle":"","parse-names":false,"suffix":""},{"dropping-particle":"","family":"Hammarberg","given":"Marie","non-dropping-particle":"","parse-names":false,"suffix":""},{"dropping-particle":"","family":"Rhodin","given":"Marie","non-dropping-particle":"","parse-names":false,"suffix":""},{"dropping-particle":"","family":"Hernlund","given":"Elin","non-dropping-particle":"","parse-names":false,"suffix":""}],"container-title":"Equine Veterinary Journal","id":"ITEM-3","issue":"May","issued":{"date-parts":[["2020"]]},"page":"1-10","title":"Objectively measured movement asymmetry in yearling Standardbred trotters","type":"article-journal"},"uris":["http://www.mendeley.com/documents/?uuid=3e326e8d-33ee-4223-ba8f-1da069a8e00c"]},{"id":"ITEM-4","itemData":{"container-title":"6","id":"ITEM-4","issued":{"date-parts":[["2019"]]},"title":"Equinosis User Manual Lameness Locator Touch 1.0 version 1.0","type":"legal_case"},"uris":["http://www.mendeley.com/documents/?uuid=f9dd9ef7-b348-443f-b779-8854f332c89a"]}],"mendeley":{"formattedCitation":"&lt;sup&gt;1,2,6,7&lt;/sup&gt;","plainTextFormattedCitation":"1,2,6,7","previouslyFormattedCitation":"(1,2,6,7)"},"properties":{"noteIndex":0},"schema":"https://github.com/citation-style-language/schema/raw/master/csl-citation.json"}</w:instrText>
      </w:r>
      <w:r>
        <w:rPr>
          <w:lang w:val="en-US"/>
        </w:rPr>
        <w:fldChar w:fldCharType="separate"/>
      </w:r>
      <w:r w:rsidR="00444BE4" w:rsidRPr="00444BE4">
        <w:rPr>
          <w:noProof/>
          <w:vertAlign w:val="superscript"/>
          <w:lang w:val="en-US"/>
        </w:rPr>
        <w:t>1,2,6,7</w:t>
      </w:r>
      <w:r>
        <w:rPr>
          <w:lang w:val="en-US"/>
        </w:rPr>
        <w:fldChar w:fldCharType="end"/>
      </w:r>
      <w:r>
        <w:rPr>
          <w:lang w:val="en-US"/>
        </w:rPr>
        <w:t xml:space="preserve">. </w:t>
      </w:r>
      <w:r w:rsidR="00885EF6">
        <w:rPr>
          <w:lang w:val="en-US"/>
        </w:rPr>
        <w:t>S</w:t>
      </w:r>
      <w:r>
        <w:rPr>
          <w:rFonts w:cstheme="minorHAnsi"/>
          <w:lang w:val="en-US"/>
        </w:rPr>
        <w:t>tandardbred trotters are known to have a</w:t>
      </w:r>
      <w:r w:rsidR="00AE423B">
        <w:rPr>
          <w:rFonts w:cstheme="minorHAnsi"/>
          <w:lang w:val="en-US"/>
        </w:rPr>
        <w:t xml:space="preserve"> somewhat</w:t>
      </w:r>
      <w:r>
        <w:rPr>
          <w:rFonts w:cstheme="minorHAnsi"/>
          <w:lang w:val="en-US"/>
        </w:rPr>
        <w:t xml:space="preserve"> asymmetric movement pattern</w:t>
      </w:r>
      <w:r>
        <w:rPr>
          <w:rFonts w:cstheme="minorHAnsi"/>
          <w:lang w:val="en-US"/>
        </w:rPr>
        <w:fldChar w:fldCharType="begin" w:fldLock="1"/>
      </w:r>
      <w:r w:rsidR="00444BE4">
        <w:rPr>
          <w:rFonts w:cstheme="minorHAnsi"/>
          <w:lang w:val="en-US"/>
        </w:rPr>
        <w:instrText>ADDIN CSL_CITATION {"citationItems":[{"id":"ITEM-1","itemData":{"DOI":"10.1111/evj.13302","ISSN":"20423306","PMID":"32558997","abstract":"Background: Lameness evaluation of Standardbred trotters can be challenging due to discrepancies in observed movement asymmetry between in-hand and track exercise, and between different trotting speeds. There are few studies on objective measurement of movement in Standardbreds, and little knowledge regarding biological variation and clinical significance of measured movement asymmetry in this breed. Objectives: To quantify the prevalence and magnitude of objectively measured movement asymmetry in young Standardbred trotters, and identify associations with trainer, sex, height, track type and in-hand measurement prior to or after track trials. Study design: Cross-sectional, observational study. Methods: A total of 114 Standardbred yearlings were evaluated with a wireless inertial sensor system during trot in-hand and when driven on a track. After exclusions relating to lameness or technical difficulties, 103 horses were included in the study; 77 were evaluated in-hand and on the track, 24 only in-hand and 2 only on the track. Results: Front and/or hindlimb parameters were above asymmetry thresholds previously established for other breeds during in-hand trials for 94 (93%) horses and during track trials for 74 (94%) horses. Most horses showed mild asymmetry. A minority of horses (20%) switched side of the asymmetry for one or more parameters between in-hand and track trials. Mixed model analyses revealed no significant effects of trial mode (in-hand or track trial, in-hand trial pre- or post-track trial, straight or oval track), trainer or horse height. Females had a significant but small reduction in asymmetry in one front limb parameter (HDmax) compared with males (1.7 mm, 95% CI 0.18-3.28, P =.03). Main limitations: High data variability, reflected in large trial standard deviations, relating mainly to a lack of horse compliance. Conclusions: A high proportion of Standardbred yearlings showed movement asymmetries. There was no group-level effect between in-hand and track trials, however, considerable individual variation was observed.","author":[{"dropping-particle":"","family":"Kallerud","given":"Anne S.","non-dropping-particle":"","parse-names":false,"suffix":""},{"dropping-particle":"","family":"Fjordbakk","given":"Cathrine T.","non-dropping-particle":"","parse-names":false,"suffix":""},{"dropping-particle":"","family":"Hendrickson","given":"Eli H.S.","non-dropping-particle":"","parse-names":false,"suffix":""},{"dropping-particle":"","family":"Persson-Sjodin","given":"Emma","non-dropping-particle":"","parse-names":false,"suffix":""},{"dropping-particle":"","family":"Hammarberg","given":"Marie","non-dropping-particle":"","parse-names":false,"suffix":""},{"dropping-particle":"","family":"Rhodin","given":"Marie","non-dropping-particle":"","parse-names":false,"suffix":""},{"dropping-particle":"","family":"Hernlund","given":"Elin","non-dropping-particle":"","parse-names":false,"suffix":""}],"container-title":"Equine Veterinary Journal","id":"ITEM-1","issue":"May","issued":{"date-parts":[["2020"]]},"page":"1-10","title":"Objectively measured movement asymmetry in yearling Standardbred trotters","type":"article-journal"},"uris":["http://www.mendeley.com/documents/?uuid=3e326e8d-33ee-4223-ba8f-1da069a8e00c"]},{"id":"ITEM-2","itemData":{"abstract":"Examensarbete/Självständigt arbete • (15 hp) Sveriges lantbruksuniversitet, SLU Fakulteten för Veterinärmedicin och husdjursvetenskap, Institutionen för anatomi, fysiologi och biokemi Enheten för hippologutbildning, Wången Examensarbete på kandidatnivå, nr K119 Uppsala 2020","author":[{"dropping-particle":"","family":"Petersson","given":"Evelina","non-dropping-particle":"","parse-names":false,"suffix":""}],"id":"ITEM-2","issued":{"date-parts":[["2020"]]},"title":"Skillnader i rörelsesymmetri i olika tempo hos travhästar (Differences in movement symmetry in Standardbred trotters), Masters thesis, Sveriges lantbruksuniversitet, SLU.","type":"thesis"},"uris":["http://www.mendeley.com/documents/?uuid=49d1e9bb-75a1-42ac-beae-af4580eb64de"]}],"mendeley":{"formattedCitation":"&lt;sup&gt;1,8&lt;/sup&gt;","plainTextFormattedCitation":"1,8","previouslyFormattedCitation":"(1,8)"},"properties":{"noteIndex":0},"schema":"https://github.com/citation-style-language/schema/raw/master/csl-citation.json"}</w:instrText>
      </w:r>
      <w:r>
        <w:rPr>
          <w:rFonts w:cstheme="minorHAnsi"/>
          <w:lang w:val="en-US"/>
        </w:rPr>
        <w:fldChar w:fldCharType="separate"/>
      </w:r>
      <w:r w:rsidR="00444BE4" w:rsidRPr="00444BE4">
        <w:rPr>
          <w:rFonts w:cstheme="minorHAnsi"/>
          <w:noProof/>
          <w:vertAlign w:val="superscript"/>
          <w:lang w:val="en-US"/>
        </w:rPr>
        <w:t>1,8</w:t>
      </w:r>
      <w:r>
        <w:rPr>
          <w:rFonts w:cstheme="minorHAnsi"/>
          <w:lang w:val="en-US"/>
        </w:rPr>
        <w:fldChar w:fldCharType="end"/>
      </w:r>
      <w:r w:rsidR="00AE423B">
        <w:rPr>
          <w:rFonts w:cstheme="minorHAnsi"/>
          <w:lang w:val="en-US"/>
        </w:rPr>
        <w:t xml:space="preserve">. The same was seen in our study population. When measurements with a SD </w:t>
      </w:r>
      <w:r w:rsidR="00AE423B">
        <w:rPr>
          <w:lang w:val="en-US"/>
        </w:rPr>
        <w:t xml:space="preserve">of more than 120% of </w:t>
      </w:r>
      <w:proofErr w:type="spellStart"/>
      <w:r w:rsidR="00AE423B">
        <w:rPr>
          <w:lang w:val="en-US"/>
        </w:rPr>
        <w:t>HDmin</w:t>
      </w:r>
      <w:proofErr w:type="spellEnd"/>
      <w:r w:rsidR="00AE423B">
        <w:rPr>
          <w:lang w:val="en-US"/>
        </w:rPr>
        <w:t xml:space="preserve"> and obvious hindlimb lameness of &gt; +/- 15mm were excluded, very few datapoints were </w:t>
      </w:r>
      <w:r w:rsidR="005D7A93">
        <w:rPr>
          <w:lang w:val="en-US"/>
        </w:rPr>
        <w:t>remained. Therefore, we put very little emphasis on these data.</w:t>
      </w:r>
    </w:p>
    <w:p w14:paraId="081DAADF" w14:textId="7530D864" w:rsidR="00A23602" w:rsidRDefault="00A23602" w:rsidP="00A80DCF">
      <w:pPr>
        <w:spacing w:line="276" w:lineRule="auto"/>
        <w:rPr>
          <w:rFonts w:cstheme="minorHAnsi"/>
          <w:lang w:val="en-US"/>
        </w:rPr>
      </w:pPr>
    </w:p>
    <w:p w14:paraId="6DEA7B0C" w14:textId="19B1ECE7" w:rsidR="00A23602" w:rsidRPr="00190D72" w:rsidRDefault="00A23602" w:rsidP="00A80DCF">
      <w:pPr>
        <w:spacing w:line="276" w:lineRule="auto"/>
        <w:rPr>
          <w:rFonts w:cstheme="minorHAnsi"/>
          <w:b/>
          <w:bCs/>
          <w:i/>
          <w:iCs/>
          <w:lang w:val="en-US"/>
        </w:rPr>
      </w:pPr>
      <w:r w:rsidRPr="00190D72">
        <w:rPr>
          <w:rFonts w:cstheme="minorHAnsi"/>
          <w:b/>
          <w:bCs/>
          <w:i/>
          <w:iCs/>
          <w:lang w:val="en-US"/>
        </w:rPr>
        <w:t>Conclusion</w:t>
      </w:r>
    </w:p>
    <w:p w14:paraId="49BD3FE3" w14:textId="13C98D35" w:rsidR="00A23602" w:rsidRDefault="005D7A93" w:rsidP="00A80DCF">
      <w:pPr>
        <w:spacing w:line="276" w:lineRule="auto"/>
        <w:rPr>
          <w:rFonts w:cstheme="minorHAnsi"/>
          <w:lang w:val="en-US"/>
        </w:rPr>
      </w:pPr>
      <w:r>
        <w:rPr>
          <w:rFonts w:cstheme="minorHAnsi"/>
          <w:lang w:val="en-US"/>
        </w:rPr>
        <w:t xml:space="preserve">The </w:t>
      </w:r>
      <w:proofErr w:type="spellStart"/>
      <w:r>
        <w:rPr>
          <w:rFonts w:cstheme="minorHAnsi"/>
          <w:lang w:val="en-US"/>
        </w:rPr>
        <w:t>Equinosis</w:t>
      </w:r>
      <w:proofErr w:type="spellEnd"/>
      <w:r>
        <w:rPr>
          <w:rFonts w:cstheme="minorHAnsi"/>
          <w:lang w:val="en-US"/>
        </w:rPr>
        <w:t xml:space="preserve"> Lameness Locator measurements confirmed the lameness results subjectively assessed by the AAEP scale in the treated group, while the </w:t>
      </w:r>
      <w:r w:rsidR="000046D4">
        <w:rPr>
          <w:rFonts w:cstheme="minorHAnsi"/>
          <w:lang w:val="en-US"/>
        </w:rPr>
        <w:t>measurements</w:t>
      </w:r>
      <w:r w:rsidR="00A80DCF">
        <w:rPr>
          <w:rFonts w:cstheme="minorHAnsi"/>
          <w:lang w:val="en-US"/>
        </w:rPr>
        <w:t xml:space="preserve"> of the untreated group were </w:t>
      </w:r>
      <w:r w:rsidR="00DE57C3">
        <w:rPr>
          <w:rFonts w:cstheme="minorHAnsi"/>
          <w:lang w:val="en-US"/>
        </w:rPr>
        <w:t xml:space="preserve">obscured </w:t>
      </w:r>
      <w:r w:rsidR="000046D4">
        <w:rPr>
          <w:rFonts w:cstheme="minorHAnsi"/>
          <w:lang w:val="en-US"/>
        </w:rPr>
        <w:t>by the development of contralateral limb lameness. Therefore, we do not place much emphasis on these data.</w:t>
      </w:r>
    </w:p>
    <w:p w14:paraId="5DA025BC" w14:textId="77777777" w:rsidR="005D7A93" w:rsidRDefault="005D7A93" w:rsidP="00A80DCF">
      <w:pPr>
        <w:spacing w:line="276" w:lineRule="auto"/>
        <w:rPr>
          <w:rFonts w:cstheme="minorHAnsi"/>
          <w:lang w:val="en-US"/>
        </w:rPr>
      </w:pPr>
    </w:p>
    <w:p w14:paraId="108843DA" w14:textId="4EDEAA02" w:rsidR="00A23602" w:rsidRPr="00201DF8" w:rsidRDefault="00A23602" w:rsidP="00A80DCF">
      <w:pPr>
        <w:spacing w:line="276" w:lineRule="auto"/>
        <w:rPr>
          <w:rFonts w:cstheme="minorHAnsi"/>
          <w:b/>
          <w:bCs/>
          <w:i/>
          <w:iCs/>
        </w:rPr>
      </w:pPr>
      <w:r w:rsidRPr="00201DF8">
        <w:rPr>
          <w:rFonts w:cstheme="minorHAnsi"/>
          <w:b/>
          <w:bCs/>
          <w:i/>
          <w:iCs/>
        </w:rPr>
        <w:t>References</w:t>
      </w:r>
    </w:p>
    <w:p w14:paraId="2B9A0128" w14:textId="227C53D7" w:rsidR="00444BE4" w:rsidRPr="00444BE4" w:rsidRDefault="00A23602" w:rsidP="00444BE4">
      <w:pPr>
        <w:widowControl w:val="0"/>
        <w:autoSpaceDE w:val="0"/>
        <w:autoSpaceDN w:val="0"/>
        <w:adjustRightInd w:val="0"/>
        <w:ind w:left="640" w:hanging="640"/>
        <w:rPr>
          <w:rFonts w:ascii="Calibri" w:hAnsi="Calibri" w:cs="Calibri"/>
          <w:noProof/>
          <w:lang w:val="en-GB"/>
        </w:rPr>
      </w:pPr>
      <w:r>
        <w:rPr>
          <w:rFonts w:cstheme="minorHAnsi"/>
          <w:lang w:val="en-US"/>
        </w:rPr>
        <w:fldChar w:fldCharType="begin" w:fldLock="1"/>
      </w:r>
      <w:r w:rsidRPr="00201DF8">
        <w:rPr>
          <w:rFonts w:cstheme="minorHAnsi"/>
        </w:rPr>
        <w:instrText xml:space="preserve">ADDIN Mendeley Bibliography CSL_BIBLIOGRAPHY </w:instrText>
      </w:r>
      <w:r>
        <w:rPr>
          <w:rFonts w:cstheme="minorHAnsi"/>
          <w:lang w:val="en-US"/>
        </w:rPr>
        <w:fldChar w:fldCharType="separate"/>
      </w:r>
      <w:r w:rsidR="00444BE4" w:rsidRPr="00201DF8">
        <w:rPr>
          <w:rFonts w:ascii="Calibri" w:hAnsi="Calibri" w:cs="Calibri"/>
          <w:noProof/>
        </w:rPr>
        <w:t>1.</w:t>
      </w:r>
      <w:r w:rsidR="00444BE4" w:rsidRPr="00201DF8">
        <w:rPr>
          <w:rFonts w:ascii="Calibri" w:hAnsi="Calibri" w:cs="Calibri"/>
          <w:noProof/>
        </w:rPr>
        <w:tab/>
        <w:t xml:space="preserve">Kallerud, A. S. </w:t>
      </w:r>
      <w:r w:rsidR="00444BE4" w:rsidRPr="00201DF8">
        <w:rPr>
          <w:rFonts w:ascii="Calibri" w:hAnsi="Calibri" w:cs="Calibri"/>
          <w:i/>
          <w:iCs/>
          <w:noProof/>
        </w:rPr>
        <w:t>et al.</w:t>
      </w:r>
      <w:r w:rsidR="00444BE4" w:rsidRPr="00201DF8">
        <w:rPr>
          <w:rFonts w:ascii="Calibri" w:hAnsi="Calibri" w:cs="Calibri"/>
          <w:noProof/>
        </w:rPr>
        <w:t xml:space="preserve"> </w:t>
      </w:r>
      <w:r w:rsidR="00444BE4" w:rsidRPr="00444BE4">
        <w:rPr>
          <w:rFonts w:ascii="Calibri" w:hAnsi="Calibri" w:cs="Calibri"/>
          <w:noProof/>
          <w:lang w:val="en-GB"/>
        </w:rPr>
        <w:t xml:space="preserve">Objectively measured movement asymmetry in yearling Standardbred trotters. </w:t>
      </w:r>
      <w:r w:rsidR="00444BE4" w:rsidRPr="00444BE4">
        <w:rPr>
          <w:rFonts w:ascii="Calibri" w:hAnsi="Calibri" w:cs="Calibri"/>
          <w:i/>
          <w:iCs/>
          <w:noProof/>
          <w:lang w:val="en-GB"/>
        </w:rPr>
        <w:t>Equine Vet. J.</w:t>
      </w:r>
      <w:r w:rsidR="00444BE4" w:rsidRPr="00444BE4">
        <w:rPr>
          <w:rFonts w:ascii="Calibri" w:hAnsi="Calibri" w:cs="Calibri"/>
          <w:noProof/>
          <w:lang w:val="en-GB"/>
        </w:rPr>
        <w:t xml:space="preserve"> 1–10 (2020). doi:10.1111/evj.13302</w:t>
      </w:r>
    </w:p>
    <w:p w14:paraId="4E2B1779" w14:textId="77777777" w:rsidR="00444BE4" w:rsidRPr="00444BE4" w:rsidRDefault="00444BE4" w:rsidP="00444BE4">
      <w:pPr>
        <w:widowControl w:val="0"/>
        <w:autoSpaceDE w:val="0"/>
        <w:autoSpaceDN w:val="0"/>
        <w:adjustRightInd w:val="0"/>
        <w:ind w:left="640" w:hanging="640"/>
        <w:rPr>
          <w:rFonts w:ascii="Calibri" w:hAnsi="Calibri" w:cs="Calibri"/>
          <w:noProof/>
          <w:lang w:val="en-GB"/>
        </w:rPr>
      </w:pPr>
      <w:r w:rsidRPr="00444BE4">
        <w:rPr>
          <w:rFonts w:ascii="Calibri" w:hAnsi="Calibri" w:cs="Calibri"/>
          <w:noProof/>
          <w:lang w:val="en-GB"/>
        </w:rPr>
        <w:t>2.</w:t>
      </w:r>
      <w:r w:rsidRPr="00444BE4">
        <w:rPr>
          <w:rFonts w:ascii="Calibri" w:hAnsi="Calibri" w:cs="Calibri"/>
          <w:noProof/>
          <w:lang w:val="en-GB"/>
        </w:rPr>
        <w:tab/>
      </w:r>
      <w:r w:rsidRPr="00444BE4">
        <w:rPr>
          <w:rFonts w:ascii="Calibri" w:hAnsi="Calibri" w:cs="Calibri"/>
          <w:i/>
          <w:iCs/>
          <w:noProof/>
          <w:lang w:val="en-GB"/>
        </w:rPr>
        <w:t>Equinosis User Manual Lameness Locator Touch 1.0 version 1.0</w:t>
      </w:r>
      <w:r w:rsidRPr="00444BE4">
        <w:rPr>
          <w:rFonts w:ascii="Calibri" w:hAnsi="Calibri" w:cs="Calibri"/>
          <w:noProof/>
          <w:lang w:val="en-GB"/>
        </w:rPr>
        <w:t xml:space="preserve">. </w:t>
      </w:r>
      <w:r w:rsidRPr="00444BE4">
        <w:rPr>
          <w:rFonts w:ascii="Calibri" w:hAnsi="Calibri" w:cs="Calibri"/>
          <w:i/>
          <w:iCs/>
          <w:noProof/>
          <w:lang w:val="en-GB"/>
        </w:rPr>
        <w:t>6</w:t>
      </w:r>
      <w:r w:rsidRPr="00444BE4">
        <w:rPr>
          <w:rFonts w:ascii="Calibri" w:hAnsi="Calibri" w:cs="Calibri"/>
          <w:noProof/>
          <w:lang w:val="en-GB"/>
        </w:rPr>
        <w:t xml:space="preserve"> (2019).</w:t>
      </w:r>
    </w:p>
    <w:p w14:paraId="663062C8" w14:textId="77777777" w:rsidR="00444BE4" w:rsidRPr="00444BE4" w:rsidRDefault="00444BE4" w:rsidP="00444BE4">
      <w:pPr>
        <w:widowControl w:val="0"/>
        <w:autoSpaceDE w:val="0"/>
        <w:autoSpaceDN w:val="0"/>
        <w:adjustRightInd w:val="0"/>
        <w:ind w:left="640" w:hanging="640"/>
        <w:rPr>
          <w:rFonts w:ascii="Calibri" w:hAnsi="Calibri" w:cs="Calibri"/>
          <w:noProof/>
          <w:lang w:val="en-GB"/>
        </w:rPr>
      </w:pPr>
      <w:r w:rsidRPr="00444BE4">
        <w:rPr>
          <w:rFonts w:ascii="Calibri" w:hAnsi="Calibri" w:cs="Calibri"/>
          <w:noProof/>
          <w:lang w:val="en-GB"/>
        </w:rPr>
        <w:t>3.</w:t>
      </w:r>
      <w:r w:rsidRPr="00444BE4">
        <w:rPr>
          <w:rFonts w:ascii="Calibri" w:hAnsi="Calibri" w:cs="Calibri"/>
          <w:noProof/>
          <w:lang w:val="en-GB"/>
        </w:rPr>
        <w:tab/>
        <w:t xml:space="preserve">Donnell, J. R., Frisbie, D. D., King, M. R., Goodrich, L. R. &amp; Haussler, K. K. Comparison of subjective lameness evaluation, force platforms and an inertial-sensor system to identify </w:t>
      </w:r>
      <w:r w:rsidRPr="00444BE4">
        <w:rPr>
          <w:rFonts w:ascii="Calibri" w:hAnsi="Calibri" w:cs="Calibri"/>
          <w:noProof/>
          <w:lang w:val="en-GB"/>
        </w:rPr>
        <w:lastRenderedPageBreak/>
        <w:t xml:space="preserve">mild lameness in an equine osteoarthritis model. </w:t>
      </w:r>
      <w:r w:rsidRPr="00444BE4">
        <w:rPr>
          <w:rFonts w:ascii="Calibri" w:hAnsi="Calibri" w:cs="Calibri"/>
          <w:i/>
          <w:iCs/>
          <w:noProof/>
          <w:lang w:val="en-GB"/>
        </w:rPr>
        <w:t>Vet. J.</w:t>
      </w:r>
      <w:r w:rsidRPr="00444BE4">
        <w:rPr>
          <w:rFonts w:ascii="Calibri" w:hAnsi="Calibri" w:cs="Calibri"/>
          <w:noProof/>
          <w:lang w:val="en-GB"/>
        </w:rPr>
        <w:t xml:space="preserve"> </w:t>
      </w:r>
      <w:r w:rsidRPr="00444BE4">
        <w:rPr>
          <w:rFonts w:ascii="Calibri" w:hAnsi="Calibri" w:cs="Calibri"/>
          <w:b/>
          <w:bCs/>
          <w:noProof/>
          <w:lang w:val="en-GB"/>
        </w:rPr>
        <w:t>206</w:t>
      </w:r>
      <w:r w:rsidRPr="00444BE4">
        <w:rPr>
          <w:rFonts w:ascii="Calibri" w:hAnsi="Calibri" w:cs="Calibri"/>
          <w:noProof/>
          <w:lang w:val="en-GB"/>
        </w:rPr>
        <w:t>, 136–142 (2015).</w:t>
      </w:r>
    </w:p>
    <w:p w14:paraId="694A8D16" w14:textId="77777777" w:rsidR="00444BE4" w:rsidRPr="00444BE4" w:rsidRDefault="00444BE4" w:rsidP="00444BE4">
      <w:pPr>
        <w:widowControl w:val="0"/>
        <w:autoSpaceDE w:val="0"/>
        <w:autoSpaceDN w:val="0"/>
        <w:adjustRightInd w:val="0"/>
        <w:ind w:left="640" w:hanging="640"/>
        <w:rPr>
          <w:rFonts w:ascii="Calibri" w:hAnsi="Calibri" w:cs="Calibri"/>
          <w:noProof/>
          <w:lang w:val="en-GB"/>
        </w:rPr>
      </w:pPr>
      <w:r w:rsidRPr="00444BE4">
        <w:rPr>
          <w:rFonts w:ascii="Calibri" w:hAnsi="Calibri" w:cs="Calibri"/>
          <w:noProof/>
          <w:lang w:val="en-GB"/>
        </w:rPr>
        <w:t>4.</w:t>
      </w:r>
      <w:r w:rsidRPr="00444BE4">
        <w:rPr>
          <w:rFonts w:ascii="Calibri" w:hAnsi="Calibri" w:cs="Calibri"/>
          <w:noProof/>
          <w:lang w:val="en-GB"/>
        </w:rPr>
        <w:tab/>
        <w:t xml:space="preserve">Weishaupt, M. A., Wiestner, T., Hogg, H. P., Jordan, P. &amp; Auer, J. A. Compensatory load redistribution of horses with induced weight-bearing forelimb lameness trotting on a treadmill. </w:t>
      </w:r>
      <w:r w:rsidRPr="00444BE4">
        <w:rPr>
          <w:rFonts w:ascii="Calibri" w:hAnsi="Calibri" w:cs="Calibri"/>
          <w:i/>
          <w:iCs/>
          <w:noProof/>
          <w:lang w:val="en-GB"/>
        </w:rPr>
        <w:t>Vet. J.</w:t>
      </w:r>
      <w:r w:rsidRPr="00444BE4">
        <w:rPr>
          <w:rFonts w:ascii="Calibri" w:hAnsi="Calibri" w:cs="Calibri"/>
          <w:noProof/>
          <w:lang w:val="en-GB"/>
        </w:rPr>
        <w:t xml:space="preserve"> </w:t>
      </w:r>
      <w:r w:rsidRPr="00444BE4">
        <w:rPr>
          <w:rFonts w:ascii="Calibri" w:hAnsi="Calibri" w:cs="Calibri"/>
          <w:b/>
          <w:bCs/>
          <w:noProof/>
          <w:lang w:val="en-GB"/>
        </w:rPr>
        <w:t>171</w:t>
      </w:r>
      <w:r w:rsidRPr="00444BE4">
        <w:rPr>
          <w:rFonts w:ascii="Calibri" w:hAnsi="Calibri" w:cs="Calibri"/>
          <w:noProof/>
          <w:lang w:val="en-GB"/>
        </w:rPr>
        <w:t>, 135–146 (2006).</w:t>
      </w:r>
    </w:p>
    <w:p w14:paraId="6C137D8D" w14:textId="77777777" w:rsidR="00444BE4" w:rsidRPr="00444BE4" w:rsidRDefault="00444BE4" w:rsidP="00444BE4">
      <w:pPr>
        <w:widowControl w:val="0"/>
        <w:autoSpaceDE w:val="0"/>
        <w:autoSpaceDN w:val="0"/>
        <w:adjustRightInd w:val="0"/>
        <w:ind w:left="640" w:hanging="640"/>
        <w:rPr>
          <w:rFonts w:ascii="Calibri" w:hAnsi="Calibri" w:cs="Calibri"/>
          <w:noProof/>
          <w:lang w:val="en-GB"/>
        </w:rPr>
      </w:pPr>
      <w:r w:rsidRPr="00444BE4">
        <w:rPr>
          <w:rFonts w:ascii="Calibri" w:hAnsi="Calibri" w:cs="Calibri"/>
          <w:noProof/>
          <w:lang w:val="en-GB"/>
        </w:rPr>
        <w:t>5.</w:t>
      </w:r>
      <w:r w:rsidRPr="00444BE4">
        <w:rPr>
          <w:rFonts w:ascii="Calibri" w:hAnsi="Calibri" w:cs="Calibri"/>
          <w:noProof/>
          <w:lang w:val="en-GB"/>
        </w:rPr>
        <w:tab/>
        <w:t xml:space="preserve">Kelmer, G. </w:t>
      </w:r>
      <w:r w:rsidRPr="00444BE4">
        <w:rPr>
          <w:rFonts w:ascii="Calibri" w:hAnsi="Calibri" w:cs="Calibri"/>
          <w:i/>
          <w:iCs/>
          <w:noProof/>
          <w:lang w:val="en-GB"/>
        </w:rPr>
        <w:t>et al.</w:t>
      </w:r>
      <w:r w:rsidRPr="00444BE4">
        <w:rPr>
          <w:rFonts w:ascii="Calibri" w:hAnsi="Calibri" w:cs="Calibri"/>
          <w:noProof/>
          <w:lang w:val="en-GB"/>
        </w:rPr>
        <w:t xml:space="preserve"> Computer-assisted kinematic evaluation of induced compensatory movements resembling lameness in horses trotting on a treadmill. </w:t>
      </w:r>
      <w:r w:rsidRPr="00444BE4">
        <w:rPr>
          <w:rFonts w:ascii="Calibri" w:hAnsi="Calibri" w:cs="Calibri"/>
          <w:i/>
          <w:iCs/>
          <w:noProof/>
          <w:lang w:val="en-GB"/>
        </w:rPr>
        <w:t>Am. J. Vet. Res.</w:t>
      </w:r>
      <w:r w:rsidRPr="00444BE4">
        <w:rPr>
          <w:rFonts w:ascii="Calibri" w:hAnsi="Calibri" w:cs="Calibri"/>
          <w:noProof/>
          <w:lang w:val="en-GB"/>
        </w:rPr>
        <w:t xml:space="preserve"> </w:t>
      </w:r>
      <w:r w:rsidRPr="00444BE4">
        <w:rPr>
          <w:rFonts w:ascii="Calibri" w:hAnsi="Calibri" w:cs="Calibri"/>
          <w:b/>
          <w:bCs/>
          <w:noProof/>
          <w:lang w:val="en-GB"/>
        </w:rPr>
        <w:t>66</w:t>
      </w:r>
      <w:r w:rsidRPr="00444BE4">
        <w:rPr>
          <w:rFonts w:ascii="Calibri" w:hAnsi="Calibri" w:cs="Calibri"/>
          <w:noProof/>
          <w:lang w:val="en-GB"/>
        </w:rPr>
        <w:t>, 646–655 (2005).</w:t>
      </w:r>
    </w:p>
    <w:p w14:paraId="42C46E07" w14:textId="77777777" w:rsidR="00444BE4" w:rsidRPr="00444BE4" w:rsidRDefault="00444BE4" w:rsidP="00444BE4">
      <w:pPr>
        <w:widowControl w:val="0"/>
        <w:autoSpaceDE w:val="0"/>
        <w:autoSpaceDN w:val="0"/>
        <w:adjustRightInd w:val="0"/>
        <w:ind w:left="640" w:hanging="640"/>
        <w:rPr>
          <w:rFonts w:ascii="Calibri" w:hAnsi="Calibri" w:cs="Calibri"/>
          <w:noProof/>
          <w:lang w:val="en-GB"/>
        </w:rPr>
      </w:pPr>
      <w:r w:rsidRPr="00444BE4">
        <w:rPr>
          <w:rFonts w:ascii="Calibri" w:hAnsi="Calibri" w:cs="Calibri"/>
          <w:noProof/>
          <w:lang w:val="en-GB"/>
        </w:rPr>
        <w:t>6.</w:t>
      </w:r>
      <w:r w:rsidRPr="00444BE4">
        <w:rPr>
          <w:rFonts w:ascii="Calibri" w:hAnsi="Calibri" w:cs="Calibri"/>
          <w:noProof/>
          <w:lang w:val="en-GB"/>
        </w:rPr>
        <w:tab/>
        <w:t xml:space="preserve">Keegan, K. G. </w:t>
      </w:r>
      <w:r w:rsidRPr="00444BE4">
        <w:rPr>
          <w:rFonts w:ascii="Calibri" w:hAnsi="Calibri" w:cs="Calibri"/>
          <w:i/>
          <w:iCs/>
          <w:noProof/>
          <w:lang w:val="en-GB"/>
        </w:rPr>
        <w:t>et al.</w:t>
      </w:r>
      <w:r w:rsidRPr="00444BE4">
        <w:rPr>
          <w:rFonts w:ascii="Calibri" w:hAnsi="Calibri" w:cs="Calibri"/>
          <w:noProof/>
          <w:lang w:val="en-GB"/>
        </w:rPr>
        <w:t xml:space="preserve"> Assessment of repeatability of a wireless, inertial sensor–based lameness evaluation system for horses. </w:t>
      </w:r>
      <w:r w:rsidRPr="00444BE4">
        <w:rPr>
          <w:rFonts w:ascii="Calibri" w:hAnsi="Calibri" w:cs="Calibri"/>
          <w:i/>
          <w:iCs/>
          <w:noProof/>
          <w:lang w:val="en-GB"/>
        </w:rPr>
        <w:t>Am. J. Vet. Res.</w:t>
      </w:r>
      <w:r w:rsidRPr="00444BE4">
        <w:rPr>
          <w:rFonts w:ascii="Calibri" w:hAnsi="Calibri" w:cs="Calibri"/>
          <w:noProof/>
          <w:lang w:val="en-GB"/>
        </w:rPr>
        <w:t xml:space="preserve"> </w:t>
      </w:r>
      <w:r w:rsidRPr="00444BE4">
        <w:rPr>
          <w:rFonts w:ascii="Calibri" w:hAnsi="Calibri" w:cs="Calibri"/>
          <w:b/>
          <w:bCs/>
          <w:noProof/>
          <w:lang w:val="en-GB"/>
        </w:rPr>
        <w:t>72</w:t>
      </w:r>
      <w:r w:rsidRPr="00444BE4">
        <w:rPr>
          <w:rFonts w:ascii="Calibri" w:hAnsi="Calibri" w:cs="Calibri"/>
          <w:noProof/>
          <w:lang w:val="en-GB"/>
        </w:rPr>
        <w:t>, 1156–63 (2011).</w:t>
      </w:r>
    </w:p>
    <w:p w14:paraId="04BDDA4A" w14:textId="77777777" w:rsidR="00444BE4" w:rsidRPr="00444BE4" w:rsidRDefault="00444BE4" w:rsidP="00444BE4">
      <w:pPr>
        <w:widowControl w:val="0"/>
        <w:autoSpaceDE w:val="0"/>
        <w:autoSpaceDN w:val="0"/>
        <w:adjustRightInd w:val="0"/>
        <w:ind w:left="640" w:hanging="640"/>
        <w:rPr>
          <w:rFonts w:ascii="Calibri" w:hAnsi="Calibri" w:cs="Calibri"/>
          <w:noProof/>
          <w:lang w:val="en-GB"/>
        </w:rPr>
      </w:pPr>
      <w:r w:rsidRPr="00444BE4">
        <w:rPr>
          <w:rFonts w:ascii="Calibri" w:hAnsi="Calibri" w:cs="Calibri"/>
          <w:noProof/>
          <w:lang w:val="en-GB"/>
        </w:rPr>
        <w:t>7.</w:t>
      </w:r>
      <w:r w:rsidRPr="00444BE4">
        <w:rPr>
          <w:rFonts w:ascii="Calibri" w:hAnsi="Calibri" w:cs="Calibri"/>
          <w:noProof/>
          <w:lang w:val="en-GB"/>
        </w:rPr>
        <w:tab/>
        <w:t xml:space="preserve">Christensen, J. W., Bathellier, S., Rhodin, M., Palme, R. &amp; Uldahl, M. Increased rider weight did not induce changes in behavior and physiological parameters in horses. </w:t>
      </w:r>
      <w:r w:rsidRPr="00444BE4">
        <w:rPr>
          <w:rFonts w:ascii="Calibri" w:hAnsi="Calibri" w:cs="Calibri"/>
          <w:i/>
          <w:iCs/>
          <w:noProof/>
          <w:lang w:val="en-GB"/>
        </w:rPr>
        <w:t>Animals</w:t>
      </w:r>
      <w:r w:rsidRPr="00444BE4">
        <w:rPr>
          <w:rFonts w:ascii="Calibri" w:hAnsi="Calibri" w:cs="Calibri"/>
          <w:noProof/>
          <w:lang w:val="en-GB"/>
        </w:rPr>
        <w:t xml:space="preserve"> </w:t>
      </w:r>
      <w:r w:rsidRPr="00444BE4">
        <w:rPr>
          <w:rFonts w:ascii="Calibri" w:hAnsi="Calibri" w:cs="Calibri"/>
          <w:b/>
          <w:bCs/>
          <w:noProof/>
          <w:lang w:val="en-GB"/>
        </w:rPr>
        <w:t>10</w:t>
      </w:r>
      <w:r w:rsidRPr="00444BE4">
        <w:rPr>
          <w:rFonts w:ascii="Calibri" w:hAnsi="Calibri" w:cs="Calibri"/>
          <w:noProof/>
          <w:lang w:val="en-GB"/>
        </w:rPr>
        <w:t>, (2020).</w:t>
      </w:r>
    </w:p>
    <w:p w14:paraId="026BF0E6" w14:textId="77777777" w:rsidR="00444BE4" w:rsidRPr="00444BE4" w:rsidRDefault="00444BE4" w:rsidP="00444BE4">
      <w:pPr>
        <w:widowControl w:val="0"/>
        <w:autoSpaceDE w:val="0"/>
        <w:autoSpaceDN w:val="0"/>
        <w:adjustRightInd w:val="0"/>
        <w:ind w:left="640" w:hanging="640"/>
        <w:rPr>
          <w:rFonts w:ascii="Calibri" w:hAnsi="Calibri" w:cs="Calibri"/>
          <w:noProof/>
        </w:rPr>
      </w:pPr>
      <w:r w:rsidRPr="00444BE4">
        <w:rPr>
          <w:rFonts w:ascii="Calibri" w:hAnsi="Calibri" w:cs="Calibri"/>
          <w:noProof/>
          <w:lang w:val="en-GB"/>
        </w:rPr>
        <w:t>8.</w:t>
      </w:r>
      <w:r w:rsidRPr="00444BE4">
        <w:rPr>
          <w:rFonts w:ascii="Calibri" w:hAnsi="Calibri" w:cs="Calibri"/>
          <w:noProof/>
          <w:lang w:val="en-GB"/>
        </w:rPr>
        <w:tab/>
        <w:t>Petersson, E. Skillnader i rörelsesymmetri i olika tempo hos travhästar (Differences in movement symmetry in Standardbred trotters), Masters thesis, Sveriges lantbruksuniversitet, SLU. (2020).</w:t>
      </w:r>
    </w:p>
    <w:p w14:paraId="4F2CFE12" w14:textId="02055AE2" w:rsidR="00A23602" w:rsidRDefault="00A23602" w:rsidP="00444BE4">
      <w:pPr>
        <w:widowControl w:val="0"/>
        <w:autoSpaceDE w:val="0"/>
        <w:autoSpaceDN w:val="0"/>
        <w:adjustRightInd w:val="0"/>
        <w:ind w:left="640" w:hanging="640"/>
        <w:rPr>
          <w:rFonts w:cstheme="minorHAnsi"/>
          <w:lang w:val="en-US"/>
        </w:rPr>
      </w:pPr>
      <w:r>
        <w:rPr>
          <w:rFonts w:cstheme="minorHAnsi"/>
          <w:lang w:val="en-US"/>
        </w:rPr>
        <w:fldChar w:fldCharType="end"/>
      </w:r>
    </w:p>
    <w:p w14:paraId="24D1D991" w14:textId="77777777" w:rsidR="00A23602" w:rsidRPr="00A23602" w:rsidRDefault="00A23602" w:rsidP="00A80DCF">
      <w:pPr>
        <w:spacing w:line="276" w:lineRule="auto"/>
        <w:rPr>
          <w:lang w:val="en-US"/>
        </w:rPr>
      </w:pPr>
    </w:p>
    <w:sectPr w:rsidR="00A23602" w:rsidRPr="00A23602" w:rsidSect="00D32697">
      <w:footerReference w:type="even" r:id="rId8"/>
      <w:footerReference w:type="default" r:id="rId9"/>
      <w:pgSz w:w="11906" w:h="16838"/>
      <w:pgMar w:top="1701" w:right="1134" w:bottom="1701" w:left="1134" w:header="708" w:footer="708" w:gutter="0"/>
      <w:pgNumType w:fmt="lowerRoman"/>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A8D39A" w14:textId="77777777" w:rsidR="004634B0" w:rsidRDefault="004634B0" w:rsidP="00D32697">
      <w:r>
        <w:separator/>
      </w:r>
    </w:p>
  </w:endnote>
  <w:endnote w:type="continuationSeparator" w:id="0">
    <w:p w14:paraId="59C2D1C6" w14:textId="77777777" w:rsidR="004634B0" w:rsidRDefault="004634B0" w:rsidP="00D326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491922"/>
      <w:docPartObj>
        <w:docPartGallery w:val="Page Numbers (Bottom of Page)"/>
        <w:docPartUnique/>
      </w:docPartObj>
    </w:sdtPr>
    <w:sdtContent>
      <w:p w14:paraId="3B840E60" w14:textId="56BCEEE0" w:rsidR="00D32697" w:rsidRDefault="00D32697" w:rsidP="00DD292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3E42D2">
          <w:rPr>
            <w:rStyle w:val="PageNumber"/>
            <w:noProof/>
          </w:rPr>
          <w:t>i</w:t>
        </w:r>
        <w:r>
          <w:rPr>
            <w:rStyle w:val="PageNumber"/>
          </w:rPr>
          <w:fldChar w:fldCharType="end"/>
        </w:r>
      </w:p>
    </w:sdtContent>
  </w:sdt>
  <w:p w14:paraId="0F39E7F3" w14:textId="77777777" w:rsidR="00D32697" w:rsidRDefault="00D326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2590046"/>
      <w:docPartObj>
        <w:docPartGallery w:val="Page Numbers (Bottom of Page)"/>
        <w:docPartUnique/>
      </w:docPartObj>
    </w:sdtPr>
    <w:sdtContent>
      <w:p w14:paraId="34DC5DCE" w14:textId="1A7C6F1B" w:rsidR="00D32697" w:rsidRDefault="00D32697" w:rsidP="00DD292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p>
    </w:sdtContent>
  </w:sdt>
  <w:p w14:paraId="16CF96E4" w14:textId="77777777" w:rsidR="00D32697" w:rsidRDefault="00D326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8EDEF2" w14:textId="77777777" w:rsidR="004634B0" w:rsidRDefault="004634B0" w:rsidP="00D32697">
      <w:r>
        <w:separator/>
      </w:r>
    </w:p>
  </w:footnote>
  <w:footnote w:type="continuationSeparator" w:id="0">
    <w:p w14:paraId="16B2BF35" w14:textId="77777777" w:rsidR="004634B0" w:rsidRDefault="004634B0" w:rsidP="00D326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602"/>
    <w:rsid w:val="000046D4"/>
    <w:rsid w:val="0008302D"/>
    <w:rsid w:val="000869F2"/>
    <w:rsid w:val="000D784C"/>
    <w:rsid w:val="000F23CF"/>
    <w:rsid w:val="00102ECC"/>
    <w:rsid w:val="00190D72"/>
    <w:rsid w:val="001E6282"/>
    <w:rsid w:val="0020025C"/>
    <w:rsid w:val="00201DF8"/>
    <w:rsid w:val="00224166"/>
    <w:rsid w:val="002356C8"/>
    <w:rsid w:val="002641A8"/>
    <w:rsid w:val="00284A8A"/>
    <w:rsid w:val="002D4802"/>
    <w:rsid w:val="002F5773"/>
    <w:rsid w:val="0030568E"/>
    <w:rsid w:val="00314D3B"/>
    <w:rsid w:val="003227B0"/>
    <w:rsid w:val="003570DA"/>
    <w:rsid w:val="00373332"/>
    <w:rsid w:val="003A573D"/>
    <w:rsid w:val="003C3606"/>
    <w:rsid w:val="003E42D2"/>
    <w:rsid w:val="00405102"/>
    <w:rsid w:val="00421A45"/>
    <w:rsid w:val="00444BE4"/>
    <w:rsid w:val="004634B0"/>
    <w:rsid w:val="004A0F62"/>
    <w:rsid w:val="00514B74"/>
    <w:rsid w:val="005159E8"/>
    <w:rsid w:val="00557768"/>
    <w:rsid w:val="00587BDF"/>
    <w:rsid w:val="005D08ED"/>
    <w:rsid w:val="005D7A93"/>
    <w:rsid w:val="0067309F"/>
    <w:rsid w:val="006852D4"/>
    <w:rsid w:val="006F5C71"/>
    <w:rsid w:val="0070643A"/>
    <w:rsid w:val="007154E4"/>
    <w:rsid w:val="007B4D47"/>
    <w:rsid w:val="007C6AF5"/>
    <w:rsid w:val="0081649B"/>
    <w:rsid w:val="008352B4"/>
    <w:rsid w:val="00885EF6"/>
    <w:rsid w:val="008B12C8"/>
    <w:rsid w:val="00910F07"/>
    <w:rsid w:val="00944031"/>
    <w:rsid w:val="00952A5A"/>
    <w:rsid w:val="00956D3F"/>
    <w:rsid w:val="00967630"/>
    <w:rsid w:val="00971BB0"/>
    <w:rsid w:val="009B454A"/>
    <w:rsid w:val="009C4797"/>
    <w:rsid w:val="00A04B86"/>
    <w:rsid w:val="00A23602"/>
    <w:rsid w:val="00A31592"/>
    <w:rsid w:val="00A351C1"/>
    <w:rsid w:val="00A80DCF"/>
    <w:rsid w:val="00AB0069"/>
    <w:rsid w:val="00AD41D7"/>
    <w:rsid w:val="00AE423B"/>
    <w:rsid w:val="00B07F4D"/>
    <w:rsid w:val="00B1516C"/>
    <w:rsid w:val="00B41652"/>
    <w:rsid w:val="00B636C2"/>
    <w:rsid w:val="00B726BB"/>
    <w:rsid w:val="00C05651"/>
    <w:rsid w:val="00C137E6"/>
    <w:rsid w:val="00C14EC3"/>
    <w:rsid w:val="00C45C85"/>
    <w:rsid w:val="00C864CC"/>
    <w:rsid w:val="00C96F04"/>
    <w:rsid w:val="00CC7239"/>
    <w:rsid w:val="00D12349"/>
    <w:rsid w:val="00D169E6"/>
    <w:rsid w:val="00D32697"/>
    <w:rsid w:val="00D458B9"/>
    <w:rsid w:val="00D645C9"/>
    <w:rsid w:val="00D6733F"/>
    <w:rsid w:val="00DD12D2"/>
    <w:rsid w:val="00DE57C3"/>
    <w:rsid w:val="00E16EEF"/>
    <w:rsid w:val="00E65D51"/>
    <w:rsid w:val="00E66D0A"/>
    <w:rsid w:val="00E73132"/>
    <w:rsid w:val="00EA1479"/>
    <w:rsid w:val="00EA61F5"/>
    <w:rsid w:val="00EE23C8"/>
    <w:rsid w:val="00F00584"/>
    <w:rsid w:val="00F56B7D"/>
    <w:rsid w:val="00F63473"/>
    <w:rsid w:val="00F74ABF"/>
    <w:rsid w:val="00F91E8C"/>
    <w:rsid w:val="00F92A21"/>
    <w:rsid w:val="00FA4020"/>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95468"/>
  <w15:chartTrackingRefBased/>
  <w15:docId w15:val="{C138FBAA-D171-334C-BD19-A78A153D3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2360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3602"/>
    <w:rPr>
      <w:rFonts w:asciiTheme="majorHAnsi" w:eastAsiaTheme="majorEastAsia" w:hAnsiTheme="majorHAnsi" w:cstheme="majorBidi"/>
      <w:spacing w:val="-10"/>
      <w:kern w:val="28"/>
      <w:sz w:val="56"/>
      <w:szCs w:val="56"/>
    </w:rPr>
  </w:style>
  <w:style w:type="paragraph" w:styleId="Footer">
    <w:name w:val="footer"/>
    <w:basedOn w:val="Normal"/>
    <w:link w:val="FooterChar"/>
    <w:uiPriority w:val="99"/>
    <w:unhideWhenUsed/>
    <w:rsid w:val="00D32697"/>
    <w:pPr>
      <w:tabs>
        <w:tab w:val="center" w:pos="4819"/>
        <w:tab w:val="right" w:pos="9638"/>
      </w:tabs>
    </w:pPr>
  </w:style>
  <w:style w:type="character" w:customStyle="1" w:styleId="FooterChar">
    <w:name w:val="Footer Char"/>
    <w:basedOn w:val="DefaultParagraphFont"/>
    <w:link w:val="Footer"/>
    <w:uiPriority w:val="99"/>
    <w:rsid w:val="00D32697"/>
  </w:style>
  <w:style w:type="character" w:styleId="PageNumber">
    <w:name w:val="page number"/>
    <w:basedOn w:val="DefaultParagraphFont"/>
    <w:uiPriority w:val="99"/>
    <w:semiHidden/>
    <w:unhideWhenUsed/>
    <w:rsid w:val="00D32697"/>
  </w:style>
  <w:style w:type="paragraph" w:styleId="Header">
    <w:name w:val="header"/>
    <w:basedOn w:val="Normal"/>
    <w:link w:val="HeaderChar"/>
    <w:uiPriority w:val="99"/>
    <w:unhideWhenUsed/>
    <w:rsid w:val="00190D72"/>
    <w:pPr>
      <w:tabs>
        <w:tab w:val="center" w:pos="4819"/>
        <w:tab w:val="right" w:pos="9638"/>
      </w:tabs>
    </w:pPr>
  </w:style>
  <w:style w:type="character" w:customStyle="1" w:styleId="HeaderChar">
    <w:name w:val="Header Char"/>
    <w:basedOn w:val="DefaultParagraphFont"/>
    <w:link w:val="Header"/>
    <w:uiPriority w:val="99"/>
    <w:rsid w:val="00190D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Sorteret efter titel" Version="2003"/>
</file>

<file path=customXml/itemProps1.xml><?xml version="1.0" encoding="utf-8"?>
<ds:datastoreItem xmlns:ds="http://schemas.openxmlformats.org/officeDocument/2006/customXml" ds:itemID="{97CD0054-FFA5-AB45-BB35-B8F6CCE8BB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Pages>
  <Words>4911</Words>
  <Characters>27996</Characters>
  <Application>Microsoft Office Word</Application>
  <DocSecurity>0</DocSecurity>
  <Lines>233</Lines>
  <Paragraphs>65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Paper II</vt:lpstr>
      <vt:lpstr/>
    </vt:vector>
  </TitlesOfParts>
  <Company/>
  <LinksUpToDate>false</LinksUpToDate>
  <CharactersWithSpaces>32842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II</dc:title>
  <dc:subject/>
  <dc:creator>Additional file 1</dc:creator>
  <cp:keywords/>
  <dc:description/>
  <cp:lastModifiedBy>Camilla Andersen</cp:lastModifiedBy>
  <cp:revision>6</cp:revision>
  <dcterms:created xsi:type="dcterms:W3CDTF">2022-05-23T13:35:00Z</dcterms:created>
  <dcterms:modified xsi:type="dcterms:W3CDTF">2022-08-16T09:08:00Z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ba879ccd-7ba2-3f8a-a169-7f9cd99b3b8c</vt:lpwstr>
  </property>
  <property fmtid="{D5CDD505-2E9C-101B-9397-08002B2CF9AE}" pid="4" name="Mendeley Citation Style_1">
    <vt:lpwstr>http://www.zotero.org/styles/nature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