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950499" w14:textId="77777777" w:rsidR="003A53DD" w:rsidRPr="00175AD6" w:rsidRDefault="003A53DD" w:rsidP="003A53DD">
      <w:pPr>
        <w:bidi w:val="0"/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175AD6">
        <w:rPr>
          <w:rFonts w:asciiTheme="majorBidi" w:hAnsiTheme="majorBidi" w:cstheme="majorBidi"/>
          <w:b/>
          <w:bCs/>
          <w:sz w:val="24"/>
          <w:szCs w:val="24"/>
        </w:rPr>
        <w:t>Supplementary Data:</w:t>
      </w:r>
    </w:p>
    <w:p w14:paraId="63DE05B3" w14:textId="77777777" w:rsidR="003A53DD" w:rsidRPr="00175AD6" w:rsidRDefault="003A53DD" w:rsidP="003A53DD">
      <w:pPr>
        <w:bidi w:val="0"/>
        <w:spacing w:before="120" w:after="120" w:line="240" w:lineRule="auto"/>
      </w:pPr>
    </w:p>
    <w:p w14:paraId="578D83A0" w14:textId="77777777" w:rsidR="003A53DD" w:rsidRPr="00175AD6" w:rsidRDefault="003A53DD" w:rsidP="003A53DD">
      <w:pPr>
        <w:adjustRightInd w:val="0"/>
        <w:spacing w:before="10" w:after="10"/>
        <w:jc w:val="center"/>
        <w:rPr>
          <w:rFonts w:ascii="Times" w:hAnsi="Times" w:cs="Times"/>
          <w:b/>
          <w:bCs/>
          <w:i/>
          <w:iCs/>
          <w:color w:val="000000"/>
          <w:sz w:val="26"/>
          <w:szCs w:val="26"/>
          <w:rtl/>
        </w:rPr>
      </w:pPr>
      <w:r w:rsidRPr="00175AD6">
        <w:rPr>
          <w:rFonts w:ascii="Times" w:hAnsi="Times" w:cs="Times"/>
          <w:b/>
          <w:bCs/>
          <w:i/>
          <w:iCs/>
          <w:color w:val="000000"/>
          <w:sz w:val="26"/>
          <w:szCs w:val="26"/>
        </w:rPr>
        <w:t>Part I: Inclusion and exclusion criteria</w:t>
      </w:r>
    </w:p>
    <w:p w14:paraId="6AFF7959" w14:textId="77777777" w:rsidR="003A53DD" w:rsidRPr="00175AD6" w:rsidRDefault="003A53DD" w:rsidP="003A53DD">
      <w:pPr>
        <w:adjustRightInd w:val="0"/>
        <w:spacing w:before="10" w:after="10"/>
        <w:jc w:val="center"/>
        <w:rPr>
          <w:rFonts w:ascii="Times" w:hAnsi="Times" w:cs="Times"/>
          <w:b/>
          <w:bCs/>
          <w:i/>
          <w:iCs/>
          <w:color w:val="000000"/>
          <w:sz w:val="26"/>
          <w:szCs w:val="26"/>
          <w:rtl/>
        </w:rPr>
      </w:pPr>
    </w:p>
    <w:p w14:paraId="65DF3E92" w14:textId="77777777" w:rsidR="003A53DD" w:rsidRPr="00175AD6" w:rsidRDefault="003A53DD" w:rsidP="003A53DD">
      <w:pPr>
        <w:bidi w:val="0"/>
        <w:spacing w:after="0" w:line="360" w:lineRule="auto"/>
        <w:rPr>
          <w:rFonts w:asciiTheme="majorBidi" w:hAnsiTheme="majorBidi" w:cstheme="majorBidi"/>
          <w:i/>
          <w:sz w:val="24"/>
          <w:szCs w:val="24"/>
        </w:rPr>
      </w:pPr>
      <w:r w:rsidRPr="00175AD6">
        <w:rPr>
          <w:rFonts w:asciiTheme="majorBidi" w:hAnsiTheme="majorBidi" w:cstheme="majorBidi"/>
          <w:i/>
          <w:sz w:val="24"/>
          <w:szCs w:val="24"/>
        </w:rPr>
        <w:t>Inclusion criteria</w:t>
      </w:r>
      <w:r w:rsidRPr="00175AD6">
        <w:rPr>
          <w:rFonts w:asciiTheme="majorBidi" w:hAnsiTheme="majorBidi" w:cs="Times New Roman"/>
          <w:i/>
          <w:sz w:val="24"/>
          <w:szCs w:val="24"/>
        </w:rPr>
        <w:t xml:space="preserve">: </w:t>
      </w:r>
      <w:r w:rsidRPr="00175AD6">
        <w:rPr>
          <w:rFonts w:asciiTheme="majorBidi" w:hAnsiTheme="majorBidi" w:cstheme="majorBidi"/>
          <w:i/>
          <w:sz w:val="24"/>
          <w:szCs w:val="24"/>
        </w:rPr>
        <w:t>Written informed consent, Healthy volunteers, Age 18-45 years at the screening, Body mass index: 22-27 kg/m</w:t>
      </w:r>
      <w:r w:rsidRPr="00175AD6">
        <w:rPr>
          <w:rFonts w:asciiTheme="majorBidi" w:hAnsiTheme="majorBidi" w:cstheme="majorBidi"/>
          <w:i/>
          <w:sz w:val="24"/>
          <w:szCs w:val="24"/>
          <w:vertAlign w:val="superscript"/>
        </w:rPr>
        <w:t>2</w:t>
      </w:r>
    </w:p>
    <w:p w14:paraId="40704EF7" w14:textId="77777777" w:rsidR="003A53DD" w:rsidRPr="00175AD6" w:rsidRDefault="003A53DD" w:rsidP="003A53DD">
      <w:pPr>
        <w:bidi w:val="0"/>
        <w:spacing w:after="0" w:line="360" w:lineRule="auto"/>
        <w:rPr>
          <w:rFonts w:asciiTheme="majorBidi" w:hAnsiTheme="majorBidi" w:cs="Times New Roman"/>
          <w:i/>
          <w:sz w:val="24"/>
          <w:szCs w:val="24"/>
          <w:rtl/>
        </w:rPr>
      </w:pPr>
      <w:r w:rsidRPr="00175AD6">
        <w:rPr>
          <w:rFonts w:asciiTheme="majorBidi" w:hAnsiTheme="majorBidi" w:cstheme="majorBidi"/>
          <w:i/>
          <w:sz w:val="24"/>
          <w:szCs w:val="24"/>
        </w:rPr>
        <w:t>Exclusion criteria</w:t>
      </w:r>
      <w:r w:rsidRPr="00175AD6">
        <w:rPr>
          <w:rFonts w:asciiTheme="majorBidi" w:hAnsiTheme="majorBidi" w:cs="Times New Roman"/>
          <w:i/>
          <w:sz w:val="24"/>
          <w:szCs w:val="24"/>
          <w:rtl/>
        </w:rPr>
        <w:tab/>
      </w:r>
    </w:p>
    <w:p w14:paraId="2F923119" w14:textId="77777777" w:rsidR="003A53DD" w:rsidRPr="00175AD6" w:rsidRDefault="003A53DD" w:rsidP="003A53DD">
      <w:pPr>
        <w:pStyle w:val="ListParagraph"/>
        <w:numPr>
          <w:ilvl w:val="0"/>
          <w:numId w:val="4"/>
        </w:numPr>
        <w:bidi w:val="0"/>
        <w:spacing w:after="0" w:line="360" w:lineRule="auto"/>
        <w:rPr>
          <w:rFonts w:asciiTheme="majorBidi" w:hAnsiTheme="majorBidi" w:cstheme="majorBidi"/>
          <w:i/>
          <w:sz w:val="24"/>
          <w:szCs w:val="24"/>
        </w:rPr>
      </w:pPr>
      <w:r w:rsidRPr="00175AD6">
        <w:rPr>
          <w:rFonts w:asciiTheme="majorBidi" w:hAnsiTheme="majorBidi" w:cstheme="majorBidi"/>
          <w:i/>
          <w:sz w:val="24"/>
          <w:szCs w:val="24"/>
        </w:rPr>
        <w:t>Subjects treated by any drug on a regular basis during the study</w:t>
      </w:r>
    </w:p>
    <w:p w14:paraId="16725DFB" w14:textId="77777777" w:rsidR="003A53DD" w:rsidRPr="00175AD6" w:rsidRDefault="003A53DD" w:rsidP="003A53DD">
      <w:pPr>
        <w:pStyle w:val="ListParagraph"/>
        <w:numPr>
          <w:ilvl w:val="0"/>
          <w:numId w:val="4"/>
        </w:numPr>
        <w:bidi w:val="0"/>
        <w:spacing w:after="0" w:line="360" w:lineRule="auto"/>
        <w:rPr>
          <w:rFonts w:asciiTheme="majorBidi" w:hAnsiTheme="majorBidi" w:cstheme="majorBidi"/>
          <w:i/>
          <w:sz w:val="24"/>
          <w:szCs w:val="24"/>
        </w:rPr>
      </w:pPr>
      <w:r w:rsidRPr="00175AD6">
        <w:rPr>
          <w:rFonts w:asciiTheme="majorBidi" w:hAnsiTheme="majorBidi" w:cstheme="majorBidi"/>
          <w:i/>
          <w:sz w:val="24"/>
          <w:szCs w:val="24"/>
        </w:rPr>
        <w:t>Age below 18 years old</w:t>
      </w:r>
    </w:p>
    <w:p w14:paraId="3C8C2E1E" w14:textId="77777777" w:rsidR="003A53DD" w:rsidRPr="00175AD6" w:rsidRDefault="003A53DD" w:rsidP="003A53DD">
      <w:pPr>
        <w:pStyle w:val="ListParagraph"/>
        <w:numPr>
          <w:ilvl w:val="0"/>
          <w:numId w:val="4"/>
        </w:numPr>
        <w:bidi w:val="0"/>
        <w:spacing w:after="0" w:line="360" w:lineRule="auto"/>
        <w:rPr>
          <w:rFonts w:asciiTheme="majorBidi" w:hAnsiTheme="majorBidi" w:cstheme="majorBidi"/>
          <w:i/>
          <w:sz w:val="24"/>
          <w:szCs w:val="24"/>
        </w:rPr>
      </w:pPr>
      <w:r w:rsidRPr="00175AD6">
        <w:rPr>
          <w:rFonts w:asciiTheme="majorBidi" w:hAnsiTheme="majorBidi" w:cstheme="majorBidi"/>
          <w:i/>
          <w:sz w:val="24"/>
          <w:szCs w:val="24"/>
        </w:rPr>
        <w:t>Pregnancy or breast-feeding women</w:t>
      </w:r>
    </w:p>
    <w:p w14:paraId="68D1F6C2" w14:textId="77777777" w:rsidR="003A53DD" w:rsidRPr="00175AD6" w:rsidRDefault="003A53DD" w:rsidP="003A53DD">
      <w:pPr>
        <w:pStyle w:val="ListParagraph"/>
        <w:numPr>
          <w:ilvl w:val="0"/>
          <w:numId w:val="4"/>
        </w:numPr>
        <w:bidi w:val="0"/>
        <w:spacing w:after="0" w:line="360" w:lineRule="auto"/>
        <w:rPr>
          <w:rFonts w:asciiTheme="majorBidi" w:hAnsiTheme="majorBidi" w:cstheme="majorBidi"/>
          <w:i/>
          <w:sz w:val="24"/>
          <w:szCs w:val="24"/>
        </w:rPr>
      </w:pPr>
      <w:r w:rsidRPr="00175AD6">
        <w:rPr>
          <w:rFonts w:asciiTheme="majorBidi" w:hAnsiTheme="majorBidi" w:cstheme="majorBidi"/>
          <w:i/>
          <w:sz w:val="24"/>
          <w:szCs w:val="24"/>
        </w:rPr>
        <w:t xml:space="preserve">Women of childbearing potential may be enrolled in this study if highly effective non hormonal contraception is used. </w:t>
      </w:r>
    </w:p>
    <w:p w14:paraId="59F463B7" w14:textId="77777777" w:rsidR="003A53DD" w:rsidRPr="00175AD6" w:rsidRDefault="003A53DD" w:rsidP="003A53DD">
      <w:pPr>
        <w:pStyle w:val="ListParagraph"/>
        <w:numPr>
          <w:ilvl w:val="0"/>
          <w:numId w:val="4"/>
        </w:numPr>
        <w:bidi w:val="0"/>
        <w:spacing w:after="0" w:line="360" w:lineRule="auto"/>
        <w:rPr>
          <w:rFonts w:asciiTheme="majorBidi" w:hAnsiTheme="majorBidi" w:cstheme="majorBidi"/>
          <w:i/>
          <w:sz w:val="24"/>
          <w:szCs w:val="24"/>
        </w:rPr>
      </w:pPr>
      <w:r w:rsidRPr="00175AD6">
        <w:rPr>
          <w:rFonts w:asciiTheme="majorBidi" w:hAnsiTheme="majorBidi" w:cstheme="majorBidi"/>
          <w:i/>
          <w:sz w:val="24"/>
          <w:szCs w:val="24"/>
        </w:rPr>
        <w:t>Smoking on a routine basis</w:t>
      </w:r>
    </w:p>
    <w:p w14:paraId="0FA24B42" w14:textId="77777777" w:rsidR="003A53DD" w:rsidRPr="00175AD6" w:rsidRDefault="003A53DD" w:rsidP="003A53DD">
      <w:pPr>
        <w:pStyle w:val="ListParagraph"/>
        <w:numPr>
          <w:ilvl w:val="0"/>
          <w:numId w:val="4"/>
        </w:numPr>
        <w:bidi w:val="0"/>
        <w:spacing w:after="0" w:line="360" w:lineRule="auto"/>
        <w:rPr>
          <w:rFonts w:asciiTheme="majorBidi" w:hAnsiTheme="majorBidi" w:cstheme="majorBidi"/>
          <w:i/>
          <w:sz w:val="24"/>
          <w:szCs w:val="24"/>
        </w:rPr>
      </w:pPr>
      <w:r w:rsidRPr="00175AD6">
        <w:rPr>
          <w:rFonts w:asciiTheme="majorBidi" w:hAnsiTheme="majorBidi" w:cstheme="majorBidi"/>
          <w:i/>
          <w:sz w:val="24"/>
          <w:szCs w:val="24"/>
        </w:rPr>
        <w:t>Nose trauma in the past 10 years</w:t>
      </w:r>
    </w:p>
    <w:p w14:paraId="602DEC68" w14:textId="77777777" w:rsidR="003A53DD" w:rsidRPr="00175AD6" w:rsidRDefault="003A53DD" w:rsidP="003A53DD">
      <w:pPr>
        <w:pStyle w:val="ListParagraph"/>
        <w:numPr>
          <w:ilvl w:val="0"/>
          <w:numId w:val="4"/>
        </w:numPr>
        <w:bidi w:val="0"/>
        <w:spacing w:after="0" w:line="360" w:lineRule="auto"/>
        <w:rPr>
          <w:rFonts w:asciiTheme="majorBidi" w:hAnsiTheme="majorBidi" w:cstheme="majorBidi"/>
          <w:i/>
          <w:sz w:val="24"/>
          <w:szCs w:val="24"/>
        </w:rPr>
      </w:pPr>
      <w:r w:rsidRPr="00175AD6">
        <w:rPr>
          <w:rFonts w:asciiTheme="majorBidi" w:hAnsiTheme="majorBidi" w:cstheme="majorBidi"/>
          <w:i/>
          <w:sz w:val="24"/>
          <w:szCs w:val="24"/>
        </w:rPr>
        <w:t>Allergenic rhinitis</w:t>
      </w:r>
    </w:p>
    <w:p w14:paraId="5CD32BEB" w14:textId="77777777" w:rsidR="003A53DD" w:rsidRPr="00175AD6" w:rsidRDefault="003A53DD" w:rsidP="003A53DD">
      <w:pPr>
        <w:pStyle w:val="ListParagraph"/>
        <w:numPr>
          <w:ilvl w:val="0"/>
          <w:numId w:val="4"/>
        </w:numPr>
        <w:bidi w:val="0"/>
        <w:spacing w:after="0" w:line="360" w:lineRule="auto"/>
        <w:rPr>
          <w:rFonts w:asciiTheme="majorBidi" w:hAnsiTheme="majorBidi" w:cstheme="majorBidi"/>
          <w:i/>
          <w:sz w:val="24"/>
          <w:szCs w:val="24"/>
        </w:rPr>
      </w:pPr>
      <w:r w:rsidRPr="00175AD6">
        <w:rPr>
          <w:rFonts w:asciiTheme="majorBidi" w:hAnsiTheme="majorBidi" w:cstheme="majorBidi"/>
          <w:i/>
          <w:sz w:val="24"/>
          <w:szCs w:val="24"/>
        </w:rPr>
        <w:t>History of kidney stones or urinary tract</w:t>
      </w:r>
    </w:p>
    <w:p w14:paraId="2C48C3EB" w14:textId="77777777" w:rsidR="003A53DD" w:rsidRPr="00175AD6" w:rsidRDefault="003A53DD" w:rsidP="003A53DD">
      <w:pPr>
        <w:pStyle w:val="ListParagraph"/>
        <w:numPr>
          <w:ilvl w:val="0"/>
          <w:numId w:val="4"/>
        </w:numPr>
        <w:bidi w:val="0"/>
        <w:spacing w:after="0" w:line="360" w:lineRule="auto"/>
        <w:rPr>
          <w:rFonts w:asciiTheme="majorBidi" w:hAnsiTheme="majorBidi" w:cstheme="majorBidi"/>
          <w:i/>
          <w:sz w:val="24"/>
          <w:szCs w:val="24"/>
        </w:rPr>
      </w:pPr>
      <w:r w:rsidRPr="00175AD6">
        <w:rPr>
          <w:rFonts w:asciiTheme="majorBidi" w:hAnsiTheme="majorBidi" w:cstheme="majorBidi"/>
          <w:i/>
          <w:sz w:val="24"/>
          <w:szCs w:val="24"/>
        </w:rPr>
        <w:t>Deviations of safety laboratory results during the screening evaluation that are medically relevant, in which inclusion would pose a safety risk to the subject as determined by investigator</w:t>
      </w:r>
    </w:p>
    <w:p w14:paraId="7E90D746" w14:textId="77777777" w:rsidR="003A53DD" w:rsidRPr="00175AD6" w:rsidRDefault="003A53DD" w:rsidP="003A53DD">
      <w:pPr>
        <w:pStyle w:val="ListParagraph"/>
        <w:numPr>
          <w:ilvl w:val="0"/>
          <w:numId w:val="4"/>
        </w:numPr>
        <w:bidi w:val="0"/>
        <w:spacing w:after="0" w:line="360" w:lineRule="auto"/>
        <w:rPr>
          <w:rFonts w:asciiTheme="majorBidi" w:hAnsiTheme="majorBidi" w:cstheme="majorBidi"/>
          <w:i/>
          <w:sz w:val="24"/>
          <w:szCs w:val="24"/>
        </w:rPr>
      </w:pPr>
      <w:r w:rsidRPr="00175AD6">
        <w:rPr>
          <w:rFonts w:asciiTheme="majorBidi" w:hAnsiTheme="majorBidi" w:cstheme="majorBidi"/>
          <w:i/>
          <w:sz w:val="24"/>
          <w:szCs w:val="24"/>
        </w:rPr>
        <w:t>Any nasal congestion or physical blockage in either nostril, or deviated nasal septum as determined by nasal examination</w:t>
      </w:r>
    </w:p>
    <w:p w14:paraId="159F8E85" w14:textId="77777777" w:rsidR="003A53DD" w:rsidRPr="00175AD6" w:rsidRDefault="003A53DD" w:rsidP="003A53DD">
      <w:pPr>
        <w:bidi w:val="0"/>
        <w:spacing w:after="0" w:line="360" w:lineRule="auto"/>
        <w:rPr>
          <w:rFonts w:asciiTheme="majorBidi" w:hAnsiTheme="majorBidi" w:cstheme="majorBidi"/>
          <w:i/>
          <w:sz w:val="24"/>
          <w:szCs w:val="24"/>
        </w:rPr>
      </w:pPr>
    </w:p>
    <w:p w14:paraId="252B41FC" w14:textId="77777777" w:rsidR="003A53DD" w:rsidRPr="00175AD6" w:rsidRDefault="003A53DD" w:rsidP="003A53DD">
      <w:pPr>
        <w:adjustRightInd w:val="0"/>
        <w:spacing w:before="10" w:after="10"/>
        <w:jc w:val="center"/>
        <w:rPr>
          <w:rFonts w:ascii="Times" w:hAnsi="Times" w:cs="Times"/>
          <w:b/>
          <w:bCs/>
          <w:i/>
          <w:iCs/>
          <w:color w:val="000000"/>
          <w:sz w:val="26"/>
          <w:szCs w:val="26"/>
        </w:rPr>
      </w:pPr>
      <w:r w:rsidRPr="00175AD6">
        <w:rPr>
          <w:rFonts w:ascii="Times" w:hAnsi="Times" w:cs="Times"/>
          <w:b/>
          <w:bCs/>
          <w:i/>
          <w:iCs/>
          <w:color w:val="000000"/>
          <w:sz w:val="26"/>
          <w:szCs w:val="26"/>
        </w:rPr>
        <w:t>Part II: Inclusion and exclusion criteria</w:t>
      </w:r>
    </w:p>
    <w:p w14:paraId="078F26D5" w14:textId="77777777" w:rsidR="003A53DD" w:rsidRPr="00175AD6" w:rsidRDefault="003A53DD" w:rsidP="003A53DD">
      <w:pPr>
        <w:bidi w:val="0"/>
        <w:spacing w:after="0" w:line="360" w:lineRule="auto"/>
        <w:rPr>
          <w:rFonts w:asciiTheme="majorBidi" w:hAnsiTheme="majorBidi" w:cstheme="majorBidi"/>
          <w:sz w:val="24"/>
          <w:szCs w:val="24"/>
          <w:rtl/>
        </w:rPr>
      </w:pPr>
    </w:p>
    <w:p w14:paraId="19D17B65" w14:textId="77777777" w:rsidR="003A53DD" w:rsidRPr="00175AD6" w:rsidRDefault="003A53DD" w:rsidP="003A53DD">
      <w:p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AD6">
        <w:rPr>
          <w:rFonts w:asciiTheme="majorBidi" w:hAnsiTheme="majorBidi" w:cstheme="majorBidi"/>
          <w:sz w:val="24"/>
          <w:szCs w:val="24"/>
        </w:rPr>
        <w:t>Inclusion criteria:  patients meet, determined by the Structured Clinical Interview for DSM-5 (SCID)</w:t>
      </w:r>
      <w:r w:rsidRPr="00175AD6">
        <w:rPr>
          <w:rFonts w:asciiTheme="majorBidi" w:hAnsiTheme="majorBidi" w:cstheme="majorBidi"/>
          <w:sz w:val="24"/>
          <w:szCs w:val="24"/>
          <w:cs/>
        </w:rPr>
        <w:t>‎</w:t>
      </w:r>
      <w:r w:rsidRPr="00175AD6">
        <w:rPr>
          <w:rFonts w:asciiTheme="majorBidi" w:hAnsiTheme="majorBidi" w:cstheme="majorBidi"/>
          <w:sz w:val="24"/>
          <w:szCs w:val="24"/>
          <w:vertAlign w:val="superscript"/>
        </w:rPr>
        <w:t>32</w:t>
      </w:r>
      <w:r w:rsidRPr="00175AD6">
        <w:rPr>
          <w:rFonts w:asciiTheme="majorBidi" w:hAnsiTheme="majorBidi" w:cstheme="majorBidi"/>
          <w:sz w:val="24"/>
          <w:szCs w:val="24"/>
        </w:rPr>
        <w:t xml:space="preserve"> and supported by the Eating Disorder Examination (EDE)</w:t>
      </w:r>
      <w:r w:rsidRPr="00175AD6">
        <w:rPr>
          <w:rFonts w:asciiTheme="majorBidi" w:hAnsiTheme="majorBidi" w:cstheme="majorBidi"/>
          <w:sz w:val="24"/>
          <w:szCs w:val="24"/>
          <w:cs/>
        </w:rPr>
        <w:t>‎</w:t>
      </w:r>
      <w:r w:rsidRPr="00175AD6">
        <w:rPr>
          <w:rFonts w:asciiTheme="majorBidi" w:hAnsiTheme="majorBidi" w:cstheme="majorBidi"/>
          <w:sz w:val="24"/>
          <w:szCs w:val="24"/>
        </w:rPr>
        <w:t>.</w:t>
      </w:r>
    </w:p>
    <w:p w14:paraId="14778625" w14:textId="77777777" w:rsidR="003A53DD" w:rsidRPr="00175AD6" w:rsidRDefault="003A53DD" w:rsidP="003A53DD">
      <w:p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AD6">
        <w:rPr>
          <w:rFonts w:asciiTheme="majorBidi" w:hAnsiTheme="majorBidi" w:cstheme="majorBidi"/>
          <w:sz w:val="24"/>
          <w:szCs w:val="24"/>
        </w:rPr>
        <w:t xml:space="preserve">Exclusion criteria of this study were: </w:t>
      </w:r>
    </w:p>
    <w:p w14:paraId="4861F29D" w14:textId="77777777" w:rsidR="003A53DD" w:rsidRPr="00175AD6" w:rsidRDefault="003A53DD" w:rsidP="003A53DD">
      <w:pPr>
        <w:numPr>
          <w:ilvl w:val="0"/>
          <w:numId w:val="1"/>
        </w:num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AD6">
        <w:rPr>
          <w:rFonts w:asciiTheme="majorBidi" w:hAnsiTheme="majorBidi" w:cstheme="majorBidi"/>
          <w:sz w:val="24"/>
          <w:szCs w:val="24"/>
        </w:rPr>
        <w:t>Body mass index &lt; 18kg/m</w:t>
      </w:r>
      <w:r w:rsidRPr="00175AD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175AD6">
        <w:rPr>
          <w:rFonts w:asciiTheme="majorBidi" w:hAnsiTheme="majorBidi" w:cstheme="majorBidi"/>
          <w:sz w:val="24"/>
          <w:szCs w:val="24"/>
        </w:rPr>
        <w:t xml:space="preserve"> or &gt; 45kg/m</w:t>
      </w:r>
      <w:r w:rsidRPr="00175AD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175AD6">
        <w:rPr>
          <w:rFonts w:asciiTheme="majorBidi" w:hAnsiTheme="majorBidi" w:cs="Times New Roman"/>
          <w:sz w:val="24"/>
          <w:szCs w:val="24"/>
          <w:rtl/>
        </w:rPr>
        <w:t xml:space="preserve">. </w:t>
      </w:r>
    </w:p>
    <w:p w14:paraId="70A53B36" w14:textId="77777777" w:rsidR="003A53DD" w:rsidRPr="00175AD6" w:rsidRDefault="003A53DD" w:rsidP="003A53DD">
      <w:pPr>
        <w:numPr>
          <w:ilvl w:val="0"/>
          <w:numId w:val="1"/>
        </w:num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AD6">
        <w:rPr>
          <w:rFonts w:asciiTheme="majorBidi" w:hAnsiTheme="majorBidi" w:cstheme="majorBidi"/>
          <w:sz w:val="24"/>
          <w:szCs w:val="24"/>
        </w:rPr>
        <w:t>Patients who had active disease involving the nasal sinuses or history of chronic sinusitis, chronic, rhinorrhea, or chronic nasal congestion</w:t>
      </w:r>
      <w:r w:rsidRPr="00175AD6">
        <w:rPr>
          <w:rFonts w:asciiTheme="majorBidi" w:hAnsiTheme="majorBidi" w:cs="Times New Roman"/>
          <w:sz w:val="24"/>
          <w:szCs w:val="24"/>
          <w:rtl/>
        </w:rPr>
        <w:t xml:space="preserve">. </w:t>
      </w:r>
    </w:p>
    <w:p w14:paraId="0DDD8014" w14:textId="77777777" w:rsidR="003A53DD" w:rsidRPr="00175AD6" w:rsidRDefault="003A53DD" w:rsidP="003A53DD">
      <w:pPr>
        <w:numPr>
          <w:ilvl w:val="0"/>
          <w:numId w:val="1"/>
        </w:num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AD6">
        <w:rPr>
          <w:rFonts w:asciiTheme="majorBidi" w:hAnsiTheme="majorBidi" w:cstheme="majorBidi"/>
          <w:sz w:val="24"/>
          <w:szCs w:val="24"/>
        </w:rPr>
        <w:t>Women who were pregnant or lactating and women of childbearing potential who are not taking adequate contraceptive measures.  All women of childbearing potential should had a negative pregnancy test before entering the study</w:t>
      </w:r>
      <w:r w:rsidRPr="00175AD6">
        <w:rPr>
          <w:rFonts w:asciiTheme="majorBidi" w:hAnsiTheme="majorBidi" w:cs="Times New Roman"/>
          <w:sz w:val="24"/>
          <w:szCs w:val="24"/>
          <w:rtl/>
        </w:rPr>
        <w:t>.</w:t>
      </w:r>
    </w:p>
    <w:p w14:paraId="058743AE" w14:textId="77777777" w:rsidR="003A53DD" w:rsidRPr="00175AD6" w:rsidRDefault="003A53DD" w:rsidP="003A53DD">
      <w:pPr>
        <w:numPr>
          <w:ilvl w:val="0"/>
          <w:numId w:val="1"/>
        </w:num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AD6">
        <w:rPr>
          <w:rFonts w:asciiTheme="majorBidi" w:hAnsiTheme="majorBidi" w:cstheme="majorBidi"/>
          <w:sz w:val="24"/>
          <w:szCs w:val="24"/>
        </w:rPr>
        <w:lastRenderedPageBreak/>
        <w:t>Patients who had a lifetime history of a DSM-5 diagnosis of a substance abuse or dependence disorder, except for nicotine abuse or dependence (as determined by psychiatric history, SCID interview, and urine toxicology; see below)</w:t>
      </w:r>
      <w:r w:rsidRPr="00175AD6">
        <w:rPr>
          <w:rFonts w:asciiTheme="majorBidi" w:hAnsiTheme="majorBidi" w:cs="Times New Roman"/>
          <w:sz w:val="24"/>
          <w:szCs w:val="24"/>
          <w:rtl/>
        </w:rPr>
        <w:t>.</w:t>
      </w:r>
    </w:p>
    <w:p w14:paraId="313C1778" w14:textId="77777777" w:rsidR="003A53DD" w:rsidRPr="00175AD6" w:rsidRDefault="003A53DD" w:rsidP="003A53DD">
      <w:pPr>
        <w:numPr>
          <w:ilvl w:val="0"/>
          <w:numId w:val="1"/>
        </w:num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AD6">
        <w:rPr>
          <w:rFonts w:asciiTheme="majorBidi" w:hAnsiTheme="majorBidi" w:cstheme="majorBidi"/>
          <w:sz w:val="24"/>
          <w:szCs w:val="24"/>
        </w:rPr>
        <w:t>Patients who had a lifetime history of a DSM-5 psychotic disorder, bipolar disorder, or dementia</w:t>
      </w:r>
      <w:r w:rsidRPr="00175AD6">
        <w:rPr>
          <w:rFonts w:asciiTheme="majorBidi" w:hAnsiTheme="majorBidi" w:cs="Times New Roman"/>
          <w:sz w:val="24"/>
          <w:szCs w:val="24"/>
          <w:rtl/>
        </w:rPr>
        <w:t>.</w:t>
      </w:r>
    </w:p>
    <w:p w14:paraId="695D2557" w14:textId="77777777" w:rsidR="003A53DD" w:rsidRPr="00175AD6" w:rsidRDefault="003A53DD" w:rsidP="003A53DD">
      <w:pPr>
        <w:numPr>
          <w:ilvl w:val="0"/>
          <w:numId w:val="1"/>
        </w:num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AD6">
        <w:rPr>
          <w:rFonts w:asciiTheme="majorBidi" w:hAnsiTheme="majorBidi" w:cstheme="majorBidi"/>
          <w:sz w:val="24"/>
          <w:szCs w:val="24"/>
        </w:rPr>
        <w:t>Patients who had a history of a personality disorder (e.g., schizotypal, borderline, or antisocial) which might interfere with assessment or compliance with study procedures</w:t>
      </w:r>
      <w:r w:rsidRPr="00175AD6">
        <w:rPr>
          <w:rFonts w:asciiTheme="majorBidi" w:hAnsiTheme="majorBidi" w:cs="Times New Roman"/>
          <w:sz w:val="24"/>
          <w:szCs w:val="24"/>
          <w:rtl/>
        </w:rPr>
        <w:t>.</w:t>
      </w:r>
    </w:p>
    <w:p w14:paraId="356E7723" w14:textId="77777777" w:rsidR="003A53DD" w:rsidRPr="00175AD6" w:rsidRDefault="003A53DD" w:rsidP="003A53DD">
      <w:pPr>
        <w:numPr>
          <w:ilvl w:val="0"/>
          <w:numId w:val="1"/>
        </w:num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AD6">
        <w:rPr>
          <w:rFonts w:asciiTheme="majorBidi" w:hAnsiTheme="majorBidi" w:cstheme="majorBidi"/>
          <w:sz w:val="24"/>
          <w:szCs w:val="24"/>
        </w:rPr>
        <w:t>Clinically unstable medical disease, including cardiovascular, hepatic, renal, gastrointestinal, pulmonary, metabolic, endocrine or other systemic disease which could interfere with diagnosis, assessment, or treatment of binge eating disorder with topiramate</w:t>
      </w:r>
      <w:r w:rsidRPr="00175AD6">
        <w:rPr>
          <w:rFonts w:asciiTheme="majorBidi" w:hAnsiTheme="majorBidi" w:cs="Times New Roman"/>
          <w:sz w:val="24"/>
          <w:szCs w:val="24"/>
          <w:rtl/>
        </w:rPr>
        <w:t>.    .</w:t>
      </w:r>
    </w:p>
    <w:p w14:paraId="69DD4F35" w14:textId="77777777" w:rsidR="003A53DD" w:rsidRPr="00175AD6" w:rsidRDefault="003A53DD" w:rsidP="003A53DD">
      <w:pPr>
        <w:numPr>
          <w:ilvl w:val="0"/>
          <w:numId w:val="1"/>
        </w:num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AD6">
        <w:rPr>
          <w:rFonts w:asciiTheme="majorBidi" w:hAnsiTheme="majorBidi" w:cstheme="majorBidi"/>
          <w:sz w:val="24"/>
          <w:szCs w:val="24"/>
        </w:rPr>
        <w:t>Patients which required treatment with any drug which might interact adversely with or obscure the action of the study</w:t>
      </w:r>
      <w:r w:rsidRPr="00175AD6">
        <w:rPr>
          <w:rFonts w:asciiTheme="majorBidi" w:hAnsiTheme="majorBidi" w:cs="Times New Roman"/>
          <w:sz w:val="24"/>
          <w:szCs w:val="24"/>
          <w:rtl/>
        </w:rPr>
        <w:t xml:space="preserve"> .</w:t>
      </w:r>
    </w:p>
    <w:p w14:paraId="6A3487C2" w14:textId="77777777" w:rsidR="003A53DD" w:rsidRPr="00175AD6" w:rsidRDefault="003A53DD" w:rsidP="003A53DD">
      <w:pPr>
        <w:numPr>
          <w:ilvl w:val="0"/>
          <w:numId w:val="1"/>
        </w:num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AD6">
        <w:rPr>
          <w:rFonts w:asciiTheme="majorBidi" w:hAnsiTheme="majorBidi" w:cstheme="majorBidi"/>
          <w:sz w:val="24"/>
          <w:szCs w:val="24"/>
        </w:rPr>
        <w:t>Patients who had received an experimental drug or used an experimental device within 30 days</w:t>
      </w:r>
      <w:r w:rsidRPr="00175AD6">
        <w:rPr>
          <w:rFonts w:asciiTheme="majorBidi" w:hAnsiTheme="majorBidi" w:cs="Times New Roman"/>
          <w:sz w:val="24"/>
          <w:szCs w:val="24"/>
          <w:rtl/>
        </w:rPr>
        <w:t>.</w:t>
      </w:r>
    </w:p>
    <w:p w14:paraId="7C48FFB4" w14:textId="77777777" w:rsidR="003A53DD" w:rsidRPr="00175AD6" w:rsidRDefault="003A53DD" w:rsidP="003A53DD">
      <w:pPr>
        <w:numPr>
          <w:ilvl w:val="0"/>
          <w:numId w:val="1"/>
        </w:num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AD6">
        <w:rPr>
          <w:rFonts w:asciiTheme="majorBidi" w:hAnsiTheme="majorBidi" w:cstheme="majorBidi"/>
          <w:sz w:val="24"/>
          <w:szCs w:val="24"/>
        </w:rPr>
        <w:t>Deviations in safety laboratory results during the screening evaluation that are medically relevant, in which inclusion would pose a safety risk to the patient as determined by investigator</w:t>
      </w:r>
      <w:r w:rsidRPr="00175AD6">
        <w:rPr>
          <w:rFonts w:asciiTheme="majorBidi" w:hAnsiTheme="majorBidi" w:cs="Times New Roman"/>
          <w:sz w:val="24"/>
          <w:szCs w:val="24"/>
          <w:rtl/>
        </w:rPr>
        <w:t>.</w:t>
      </w:r>
    </w:p>
    <w:p w14:paraId="1786A19E" w14:textId="77777777" w:rsidR="003A53DD" w:rsidRPr="00175AD6" w:rsidRDefault="003A53DD" w:rsidP="003A53DD">
      <w:pPr>
        <w:numPr>
          <w:ilvl w:val="0"/>
          <w:numId w:val="1"/>
        </w:num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AD6">
        <w:rPr>
          <w:rFonts w:asciiTheme="majorBidi" w:hAnsiTheme="majorBidi" w:cstheme="majorBidi"/>
          <w:sz w:val="24"/>
          <w:szCs w:val="24"/>
        </w:rPr>
        <w:t>Any nasal congestion or physical blockage in either nostril, or deviated nasal septum as determined by nasal examination.</w:t>
      </w:r>
    </w:p>
    <w:p w14:paraId="22F2DC61" w14:textId="77777777" w:rsidR="003A53DD" w:rsidRPr="00175AD6" w:rsidRDefault="003A53DD" w:rsidP="003A53DD">
      <w:pPr>
        <w:numPr>
          <w:ilvl w:val="0"/>
          <w:numId w:val="1"/>
        </w:num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AD6">
        <w:rPr>
          <w:rFonts w:asciiTheme="majorBidi" w:hAnsiTheme="majorBidi" w:cstheme="majorBidi"/>
          <w:sz w:val="24"/>
          <w:szCs w:val="24"/>
        </w:rPr>
        <w:t>History of significant cardiovascular, hepatic, renal, hematologic, gastrointestinal, endocrine, immunologic, dermatologic, neurologic, or psychiatric disease that could potentially impact the safety of the patient or metabolism of the drug</w:t>
      </w:r>
      <w:r w:rsidRPr="00175AD6">
        <w:rPr>
          <w:rFonts w:asciiTheme="majorBidi" w:hAnsiTheme="majorBidi" w:cs="Times New Roman"/>
          <w:sz w:val="24"/>
          <w:szCs w:val="24"/>
          <w:rtl/>
        </w:rPr>
        <w:t>.</w:t>
      </w:r>
    </w:p>
    <w:p w14:paraId="59FD2EA2" w14:textId="77777777" w:rsidR="003A53DD" w:rsidRPr="00175AD6" w:rsidRDefault="003A53DD" w:rsidP="003A53DD">
      <w:pPr>
        <w:numPr>
          <w:ilvl w:val="0"/>
          <w:numId w:val="1"/>
        </w:num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AD6">
        <w:rPr>
          <w:rFonts w:asciiTheme="majorBidi" w:hAnsiTheme="majorBidi" w:cstheme="majorBidi"/>
          <w:sz w:val="24"/>
          <w:szCs w:val="24"/>
        </w:rPr>
        <w:t>Patients who suffered from acute or chronic pulmonary disease</w:t>
      </w:r>
      <w:r w:rsidRPr="00175AD6">
        <w:rPr>
          <w:rFonts w:asciiTheme="majorBidi" w:hAnsiTheme="majorBidi" w:cs="Times New Roman"/>
          <w:sz w:val="24"/>
          <w:szCs w:val="24"/>
          <w:rtl/>
        </w:rPr>
        <w:t>.</w:t>
      </w:r>
    </w:p>
    <w:p w14:paraId="60F2DBEF" w14:textId="77777777" w:rsidR="003A53DD" w:rsidRPr="00175AD6" w:rsidRDefault="003A53DD" w:rsidP="003A53DD">
      <w:pPr>
        <w:adjustRightInd w:val="0"/>
        <w:rPr>
          <w:rFonts w:ascii="Times" w:hAnsi="Times" w:cs="Times"/>
          <w:color w:val="000000"/>
        </w:rPr>
      </w:pPr>
    </w:p>
    <w:p w14:paraId="5FEC4CEB" w14:textId="77777777" w:rsidR="003A53DD" w:rsidRPr="00175AD6" w:rsidRDefault="003A53DD" w:rsidP="003A53DD">
      <w:pPr>
        <w:adjustRightInd w:val="0"/>
        <w:rPr>
          <w:rFonts w:ascii="Times" w:hAnsi="Times" w:cs="Times"/>
          <w:b/>
          <w:bCs/>
          <w:i/>
          <w:iCs/>
          <w:color w:val="000000"/>
          <w:sz w:val="26"/>
          <w:szCs w:val="26"/>
        </w:rPr>
      </w:pPr>
      <w:bookmarkStart w:id="0" w:name="IDX17"/>
      <w:bookmarkStart w:id="1" w:name="IDX19"/>
      <w:bookmarkEnd w:id="0"/>
      <w:bookmarkEnd w:id="1"/>
    </w:p>
    <w:p w14:paraId="074FBF32" w14:textId="77777777" w:rsidR="003A53DD" w:rsidRPr="00175AD6" w:rsidRDefault="003A53DD" w:rsidP="003A53DD">
      <w:pPr>
        <w:adjustRightInd w:val="0"/>
        <w:rPr>
          <w:rFonts w:ascii="Times" w:hAnsi="Times" w:cs="Times"/>
          <w:color w:val="000000"/>
        </w:rPr>
      </w:pPr>
    </w:p>
    <w:p w14:paraId="1966A341" w14:textId="77777777" w:rsidR="003A53DD" w:rsidRPr="00175AD6" w:rsidRDefault="003A53DD" w:rsidP="003A53DD">
      <w:pPr>
        <w:adjustRightInd w:val="0"/>
        <w:jc w:val="center"/>
        <w:rPr>
          <w:sz w:val="24"/>
          <w:szCs w:val="24"/>
        </w:rPr>
      </w:pPr>
    </w:p>
    <w:p w14:paraId="1191B009" w14:textId="77777777" w:rsidR="003A53DD" w:rsidRPr="00175AD6" w:rsidRDefault="003A53DD" w:rsidP="003A53DD">
      <w:pPr>
        <w:bidi w:val="0"/>
        <w:spacing w:before="120" w:after="120" w:line="240" w:lineRule="auto"/>
      </w:pPr>
    </w:p>
    <w:p w14:paraId="1D1AFE52" w14:textId="77777777" w:rsidR="003A53DD" w:rsidRPr="00175AD6" w:rsidRDefault="003A53DD" w:rsidP="003A53DD">
      <w:pPr>
        <w:bidi w:val="0"/>
        <w:spacing w:before="120" w:after="120" w:line="240" w:lineRule="auto"/>
      </w:pPr>
    </w:p>
    <w:p w14:paraId="2F9B5A58" w14:textId="77777777" w:rsidR="003A53DD" w:rsidRPr="00175AD6" w:rsidRDefault="003A53DD" w:rsidP="003A53DD">
      <w:pPr>
        <w:adjustRightInd w:val="0"/>
        <w:spacing w:before="10" w:after="10"/>
        <w:jc w:val="center"/>
        <w:rPr>
          <w:rFonts w:ascii="Times" w:hAnsi="Times" w:cs="Times"/>
          <w:b/>
          <w:bCs/>
          <w:i/>
          <w:iCs/>
          <w:color w:val="000000"/>
          <w:sz w:val="26"/>
          <w:szCs w:val="26"/>
        </w:rPr>
      </w:pPr>
    </w:p>
    <w:p w14:paraId="75E5B18A" w14:textId="77777777" w:rsidR="003A53DD" w:rsidRPr="00175AD6" w:rsidRDefault="003A53DD" w:rsidP="003A53DD">
      <w:pPr>
        <w:bidi w:val="0"/>
        <w:spacing w:after="0" w:line="360" w:lineRule="auto"/>
        <w:jc w:val="center"/>
        <w:rPr>
          <w:rFonts w:ascii="Times" w:hAnsi="Times" w:cs="Times"/>
          <w:b/>
          <w:bCs/>
          <w:i/>
          <w:iCs/>
          <w:color w:val="000000"/>
          <w:sz w:val="26"/>
          <w:szCs w:val="26"/>
        </w:rPr>
      </w:pPr>
      <w:r w:rsidRPr="00175AD6">
        <w:rPr>
          <w:rFonts w:ascii="Times" w:hAnsi="Times" w:cs="Times"/>
          <w:b/>
          <w:bCs/>
          <w:i/>
          <w:iCs/>
          <w:color w:val="000000"/>
          <w:sz w:val="26"/>
          <w:szCs w:val="26"/>
        </w:rPr>
        <w:t>Content of baseline period</w:t>
      </w: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1271"/>
        <w:gridCol w:w="7513"/>
      </w:tblGrid>
      <w:tr w:rsidR="003A53DD" w:rsidRPr="00175AD6" w14:paraId="5A2C92BC" w14:textId="77777777" w:rsidTr="002915A2">
        <w:trPr>
          <w:trHeight w:val="283"/>
        </w:trPr>
        <w:tc>
          <w:tcPr>
            <w:tcW w:w="1271" w:type="dxa"/>
          </w:tcPr>
          <w:p w14:paraId="07D8F798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Visit and Time</w:t>
            </w:r>
          </w:p>
        </w:tc>
        <w:tc>
          <w:tcPr>
            <w:tcW w:w="7513" w:type="dxa"/>
          </w:tcPr>
          <w:p w14:paraId="299F2A75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Content</w:t>
            </w:r>
          </w:p>
        </w:tc>
      </w:tr>
      <w:tr w:rsidR="003A53DD" w:rsidRPr="00175AD6" w14:paraId="2C3690FA" w14:textId="77777777" w:rsidTr="002915A2">
        <w:tc>
          <w:tcPr>
            <w:tcW w:w="1271" w:type="dxa"/>
            <w:vMerge w:val="restart"/>
          </w:tcPr>
          <w:p w14:paraId="7B061407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Visit 1 Time =0</w:t>
            </w:r>
          </w:p>
        </w:tc>
        <w:tc>
          <w:tcPr>
            <w:tcW w:w="7513" w:type="dxa"/>
          </w:tcPr>
          <w:p w14:paraId="333B59AA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Screening</w:t>
            </w:r>
          </w:p>
          <w:p w14:paraId="06EB91D3" w14:textId="77777777" w:rsidR="003A53DD" w:rsidRPr="00175AD6" w:rsidRDefault="003A53DD" w:rsidP="002915A2">
            <w:pPr>
              <w:numPr>
                <w:ilvl w:val="0"/>
                <w:numId w:val="2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 xml:space="preserve">Signing the consent form (ICF) </w:t>
            </w:r>
          </w:p>
          <w:p w14:paraId="1645EE92" w14:textId="77777777" w:rsidR="003A53DD" w:rsidRPr="00175AD6" w:rsidRDefault="003A53DD" w:rsidP="002915A2">
            <w:pPr>
              <w:numPr>
                <w:ilvl w:val="0"/>
                <w:numId w:val="2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Confirming the eligibility to participate in the study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>.</w:t>
            </w:r>
          </w:p>
          <w:p w14:paraId="13DE233F" w14:textId="77777777" w:rsidR="003A53DD" w:rsidRPr="00175AD6" w:rsidRDefault="003A53DD" w:rsidP="002915A2">
            <w:pPr>
              <w:numPr>
                <w:ilvl w:val="0"/>
                <w:numId w:val="2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Detailed review of past medical history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>.</w:t>
            </w:r>
          </w:p>
          <w:p w14:paraId="4BFAD0F2" w14:textId="77777777" w:rsidR="003A53DD" w:rsidRPr="00175AD6" w:rsidRDefault="003A53DD" w:rsidP="002915A2">
            <w:pPr>
              <w:numPr>
                <w:ilvl w:val="0"/>
                <w:numId w:val="2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Structured Clinical Interview (SCID)</w:t>
            </w:r>
            <w:r w:rsidRPr="00175AD6">
              <w:rPr>
                <w:rFonts w:asciiTheme="majorBidi" w:hAnsiTheme="majorBidi" w:cstheme="majorBidi"/>
                <w:sz w:val="24"/>
                <w:szCs w:val="24"/>
                <w:cs/>
              </w:rPr>
              <w:t>‎</w:t>
            </w:r>
            <w:r w:rsidRPr="00175AD6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32</w:t>
            </w:r>
            <w:r w:rsidRPr="00175AD6">
              <w:rPr>
                <w:rFonts w:asciiTheme="majorBidi" w:hAnsiTheme="majorBidi" w:cstheme="majorBidi"/>
                <w:sz w:val="24"/>
                <w:szCs w:val="24"/>
                <w:cs/>
              </w:rPr>
              <w:t>‎‎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. </w:t>
            </w:r>
          </w:p>
          <w:p w14:paraId="702EC26E" w14:textId="77777777" w:rsidR="003A53DD" w:rsidRPr="00175AD6" w:rsidRDefault="003A53DD" w:rsidP="002915A2">
            <w:pPr>
              <w:numPr>
                <w:ilvl w:val="0"/>
                <w:numId w:val="2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Eating Disorder Examination (EDE)</w:t>
            </w:r>
            <w:r w:rsidRPr="00175AD6">
              <w:rPr>
                <w:rFonts w:asciiTheme="majorBidi" w:hAnsiTheme="majorBidi" w:cstheme="majorBidi"/>
                <w:sz w:val="24"/>
                <w:szCs w:val="24"/>
                <w:cs/>
              </w:rPr>
              <w:t>‎</w:t>
            </w:r>
            <w:r w:rsidRPr="00175AD6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33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>.</w:t>
            </w:r>
          </w:p>
          <w:p w14:paraId="4CE5F317" w14:textId="77777777" w:rsidR="003A53DD" w:rsidRPr="00175AD6" w:rsidRDefault="003A53DD" w:rsidP="002915A2">
            <w:pPr>
              <w:numPr>
                <w:ilvl w:val="0"/>
                <w:numId w:val="2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Review of concomitant medications and general health status in the week preceding the visit day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>.</w:t>
            </w:r>
          </w:p>
          <w:p w14:paraId="2CABA062" w14:textId="77777777" w:rsidR="003A53DD" w:rsidRPr="00175AD6" w:rsidRDefault="003A53DD" w:rsidP="002915A2">
            <w:pPr>
              <w:numPr>
                <w:ilvl w:val="0"/>
                <w:numId w:val="2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Complete physical examination, including nasal mucosa examination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>.</w:t>
            </w:r>
          </w:p>
          <w:p w14:paraId="4F34A013" w14:textId="77777777" w:rsidR="003A53DD" w:rsidRPr="00175AD6" w:rsidRDefault="003A53DD" w:rsidP="002915A2">
            <w:pPr>
              <w:numPr>
                <w:ilvl w:val="0"/>
                <w:numId w:val="2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Demographics, including height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>.</w:t>
            </w:r>
          </w:p>
          <w:p w14:paraId="30EDD5E4" w14:textId="77777777" w:rsidR="003A53DD" w:rsidRPr="00175AD6" w:rsidRDefault="003A53DD" w:rsidP="002915A2">
            <w:pPr>
              <w:numPr>
                <w:ilvl w:val="0"/>
                <w:numId w:val="2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Drawing blood inc. biochemistry and CBC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. </w:t>
            </w:r>
          </w:p>
          <w:p w14:paraId="2F334F44" w14:textId="77777777" w:rsidR="003A53DD" w:rsidRPr="00175AD6" w:rsidRDefault="003A53DD" w:rsidP="002915A2">
            <w:pPr>
              <w:numPr>
                <w:ilvl w:val="0"/>
                <w:numId w:val="2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Collecting a urine sample for urine analysis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>.</w:t>
            </w:r>
          </w:p>
          <w:p w14:paraId="5E74A976" w14:textId="77777777" w:rsidR="003A53DD" w:rsidRPr="00175AD6" w:rsidRDefault="003A53DD" w:rsidP="002915A2">
            <w:pPr>
              <w:numPr>
                <w:ilvl w:val="0"/>
                <w:numId w:val="2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Pregnancy test (women only, urinary test)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>.</w:t>
            </w:r>
          </w:p>
          <w:p w14:paraId="3C95F1D4" w14:textId="77777777" w:rsidR="003A53DD" w:rsidRPr="00175AD6" w:rsidRDefault="003A53DD" w:rsidP="002915A2">
            <w:pPr>
              <w:numPr>
                <w:ilvl w:val="0"/>
                <w:numId w:val="2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t0 baseline: CGI-S and Y-BOCS-BE</w:t>
            </w:r>
            <w:r w:rsidRPr="00175AD6">
              <w:rPr>
                <w:rFonts w:asciiTheme="majorBidi" w:hAnsiTheme="majorBidi" w:cstheme="majorBidi"/>
                <w:sz w:val="24"/>
                <w:szCs w:val="24"/>
                <w:cs/>
              </w:rPr>
              <w:t>‎</w:t>
            </w:r>
            <w:r w:rsidRPr="00175AD6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34,</w:t>
            </w:r>
            <w:r w:rsidRPr="00175AD6">
              <w:rPr>
                <w:rFonts w:asciiTheme="majorBidi" w:hAnsiTheme="majorBidi" w:cstheme="majorBidi"/>
                <w:sz w:val="24"/>
                <w:szCs w:val="24"/>
                <w:vertAlign w:val="superscript"/>
                <w:cs/>
              </w:rPr>
              <w:t>‎</w:t>
            </w:r>
            <w:r w:rsidRPr="00175AD6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35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>.</w:t>
            </w:r>
          </w:p>
          <w:p w14:paraId="5F6B2350" w14:textId="77777777" w:rsidR="003A53DD" w:rsidRPr="00175AD6" w:rsidRDefault="003A53DD" w:rsidP="002915A2">
            <w:pPr>
              <w:numPr>
                <w:ilvl w:val="0"/>
                <w:numId w:val="2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Weight measurement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>.</w:t>
            </w:r>
          </w:p>
        </w:tc>
      </w:tr>
      <w:tr w:rsidR="003A53DD" w:rsidRPr="00175AD6" w14:paraId="53C85A23" w14:textId="77777777" w:rsidTr="002915A2">
        <w:tc>
          <w:tcPr>
            <w:tcW w:w="1271" w:type="dxa"/>
            <w:vMerge/>
          </w:tcPr>
          <w:p w14:paraId="4464834A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</w:tcPr>
          <w:p w14:paraId="5F0D77C3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 xml:space="preserve">Diaries </w:t>
            </w:r>
          </w:p>
          <w:p w14:paraId="22B8516D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Training on how the diaries must be completed during the Baseline Period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>.</w:t>
            </w:r>
          </w:p>
          <w:p w14:paraId="1418976B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Introducing electronic diary system (e-Diary)  and the two diaries form (Diary #1 and Diary #2) they were requested to fill during the study; Receiving  e-Diary IFU, a user name and password</w:t>
            </w:r>
          </w:p>
          <w:p w14:paraId="0E75AF07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The patients were requested to complete the diaries during the next two weeks, aimed to characterize their binge eating behavior (Diary #1)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>.</w:t>
            </w:r>
          </w:p>
        </w:tc>
      </w:tr>
      <w:tr w:rsidR="003A53DD" w:rsidRPr="00175AD6" w14:paraId="0A772484" w14:textId="77777777" w:rsidTr="002915A2">
        <w:tc>
          <w:tcPr>
            <w:tcW w:w="1271" w:type="dxa"/>
            <w:vMerge w:val="restart"/>
          </w:tcPr>
          <w:p w14:paraId="4836CC34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Visit 2 (Baseline Visit)</w:t>
            </w:r>
          </w:p>
          <w:p w14:paraId="7944B869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Time= 2week</w:t>
            </w:r>
          </w:p>
        </w:tc>
        <w:tc>
          <w:tcPr>
            <w:tcW w:w="7513" w:type="dxa"/>
          </w:tcPr>
          <w:p w14:paraId="5C6385F6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Baseline baselines</w:t>
            </w:r>
          </w:p>
          <w:p w14:paraId="711704E8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Clinician Global Impression CGI-S</w:t>
            </w:r>
          </w:p>
          <w:p w14:paraId="1B24309E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Yale-Brown Obsessive Compulsive Binge Eating Scale (Y-BOCS-BE)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. </w:t>
            </w:r>
          </w:p>
          <w:p w14:paraId="5669EC72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Number of binge-eating days per week</w:t>
            </w:r>
          </w:p>
          <w:p w14:paraId="38A0C375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 xml:space="preserve"> Number of binge-eating episodes per week</w:t>
            </w:r>
            <w:r w:rsidRPr="00175AD6">
              <w:rPr>
                <w:rFonts w:asciiTheme="majorBidi" w:hAnsiTheme="majorBidi" w:cstheme="majorBidi"/>
                <w:sz w:val="24"/>
                <w:szCs w:val="24"/>
                <w:rtl/>
              </w:rPr>
              <w:t>.</w:t>
            </w:r>
          </w:p>
        </w:tc>
      </w:tr>
      <w:tr w:rsidR="003A53DD" w:rsidRPr="00175AD6" w14:paraId="4E9C038F" w14:textId="77777777" w:rsidTr="002915A2">
        <w:tc>
          <w:tcPr>
            <w:tcW w:w="1271" w:type="dxa"/>
            <w:vMerge/>
          </w:tcPr>
          <w:p w14:paraId="17C09A99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</w:tcPr>
          <w:p w14:paraId="52F78D5D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Decision to include/exclude. Criteria to continue including the patient in the study:</w:t>
            </w:r>
          </w:p>
          <w:p w14:paraId="7DF701F2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Completed diaries (visit 1 have to show at least 2 binge-eating days per week)</w:t>
            </w:r>
          </w:p>
          <w:p w14:paraId="0812A6F7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Laboratory baseline that show no deviation from required value</w:t>
            </w:r>
          </w:p>
        </w:tc>
      </w:tr>
      <w:tr w:rsidR="003A53DD" w:rsidRPr="00175AD6" w14:paraId="7DDBF320" w14:textId="77777777" w:rsidTr="002915A2">
        <w:tc>
          <w:tcPr>
            <w:tcW w:w="1271" w:type="dxa"/>
            <w:vMerge/>
          </w:tcPr>
          <w:p w14:paraId="524156C5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13" w:type="dxa"/>
          </w:tcPr>
          <w:p w14:paraId="2FAAAAE5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Guide the included patients</w:t>
            </w:r>
          </w:p>
          <w:p w14:paraId="416AD92D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 xml:space="preserve">Receiving treatment kits to cover the maximum allowed treatments per one week which are sufficient for use prior to the next visit. </w:t>
            </w:r>
          </w:p>
          <w:p w14:paraId="3B1A5FDA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Receiving a quick reminder of how the product shall be used, and how to fill the diaries.</w:t>
            </w:r>
          </w:p>
        </w:tc>
      </w:tr>
    </w:tbl>
    <w:p w14:paraId="7A0B1705" w14:textId="77777777" w:rsidR="003A53DD" w:rsidRPr="00175AD6" w:rsidRDefault="003A53DD" w:rsidP="003A53DD">
      <w:p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167F1986" w14:textId="77777777" w:rsidR="003A53DD" w:rsidRPr="00175AD6" w:rsidRDefault="003A53DD" w:rsidP="003A53DD">
      <w:pPr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2502E327" w14:textId="77777777" w:rsidR="003A53DD" w:rsidRPr="00175AD6" w:rsidRDefault="003A53DD" w:rsidP="003A53DD">
      <w:pPr>
        <w:adjustRightInd w:val="0"/>
        <w:spacing w:before="10" w:after="10"/>
        <w:jc w:val="center"/>
        <w:rPr>
          <w:rFonts w:ascii="Times" w:hAnsi="Times" w:cs="Times"/>
          <w:b/>
          <w:bCs/>
          <w:i/>
          <w:iCs/>
          <w:color w:val="000000"/>
          <w:sz w:val="26"/>
          <w:szCs w:val="26"/>
        </w:rPr>
      </w:pPr>
      <w:r w:rsidRPr="00175AD6">
        <w:rPr>
          <w:rFonts w:ascii="Times" w:hAnsi="Times" w:cs="Times"/>
          <w:b/>
          <w:bCs/>
          <w:i/>
          <w:iCs/>
          <w:color w:val="000000"/>
          <w:sz w:val="26"/>
          <w:szCs w:val="26"/>
        </w:rPr>
        <w:t>Content of treatment period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605"/>
        <w:gridCol w:w="7746"/>
      </w:tblGrid>
      <w:tr w:rsidR="003A53DD" w:rsidRPr="00175AD6" w14:paraId="7BD3DDAD" w14:textId="77777777" w:rsidTr="002915A2">
        <w:trPr>
          <w:trHeight w:val="283"/>
        </w:trPr>
        <w:tc>
          <w:tcPr>
            <w:tcW w:w="1605" w:type="dxa"/>
          </w:tcPr>
          <w:p w14:paraId="7AD10EDB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Visit and Time</w:t>
            </w:r>
          </w:p>
        </w:tc>
        <w:tc>
          <w:tcPr>
            <w:tcW w:w="7746" w:type="dxa"/>
          </w:tcPr>
          <w:p w14:paraId="4133D089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Content</w:t>
            </w:r>
          </w:p>
        </w:tc>
      </w:tr>
      <w:tr w:rsidR="003A53DD" w:rsidRPr="00175AD6" w14:paraId="34E69150" w14:textId="77777777" w:rsidTr="002915A2">
        <w:tc>
          <w:tcPr>
            <w:tcW w:w="1605" w:type="dxa"/>
          </w:tcPr>
          <w:p w14:paraId="09EC21BF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 xml:space="preserve">Visit 3: 1st week treatment period Time=3week </w:t>
            </w:r>
          </w:p>
          <w:p w14:paraId="42D76571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746" w:type="dxa"/>
          </w:tcPr>
          <w:p w14:paraId="5C5B7DB6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Review of possible adverse events.</w:t>
            </w:r>
          </w:p>
          <w:p w14:paraId="3CF28AE8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Return the devices from the 1st treatment week.</w:t>
            </w:r>
          </w:p>
          <w:p w14:paraId="3FC7AD50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Review the e-diaries of the 1st treatment week and receive inputs which will potentially improve completion of the e-diaries and data collection.</w:t>
            </w:r>
          </w:p>
          <w:p w14:paraId="6A50B764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CGI-S and Y-BOCS-BE scores.</w:t>
            </w:r>
          </w:p>
          <w:p w14:paraId="359875A8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Receive devices for the next 2 treatment weeks.</w:t>
            </w:r>
          </w:p>
        </w:tc>
      </w:tr>
      <w:tr w:rsidR="003A53DD" w:rsidRPr="00175AD6" w14:paraId="3D7670AA" w14:textId="77777777" w:rsidTr="002915A2">
        <w:tc>
          <w:tcPr>
            <w:tcW w:w="1605" w:type="dxa"/>
          </w:tcPr>
          <w:p w14:paraId="0C617764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 xml:space="preserve">Visit 4: 2nd week treatment period Time=4week </w:t>
            </w:r>
          </w:p>
        </w:tc>
        <w:tc>
          <w:tcPr>
            <w:tcW w:w="7746" w:type="dxa"/>
          </w:tcPr>
          <w:p w14:paraId="122DFC31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Review of possible adverse events.</w:t>
            </w:r>
          </w:p>
          <w:p w14:paraId="09309482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Review e-Diaries with the study staff and receive inputs.</w:t>
            </w:r>
          </w:p>
          <w:p w14:paraId="27BDF540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CGI-S and Y-BOCS-BE scores.</w:t>
            </w:r>
          </w:p>
        </w:tc>
      </w:tr>
      <w:tr w:rsidR="003A53DD" w:rsidRPr="00175AD6" w14:paraId="42DA6105" w14:textId="77777777" w:rsidTr="002915A2">
        <w:tc>
          <w:tcPr>
            <w:tcW w:w="1605" w:type="dxa"/>
          </w:tcPr>
          <w:p w14:paraId="03CD107D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 xml:space="preserve">Visit 5: 3rd week treatment period Time=5week </w:t>
            </w:r>
          </w:p>
        </w:tc>
        <w:tc>
          <w:tcPr>
            <w:tcW w:w="7746" w:type="dxa"/>
          </w:tcPr>
          <w:p w14:paraId="6CFE4002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Review of possible adverse events.</w:t>
            </w:r>
          </w:p>
          <w:p w14:paraId="70EA7A32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CGI-S and Y-BOCS-BE scores.</w:t>
            </w:r>
          </w:p>
          <w:p w14:paraId="6E5EB889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Receive devices for the next 2 treatment weeks.</w:t>
            </w:r>
          </w:p>
        </w:tc>
      </w:tr>
      <w:tr w:rsidR="003A53DD" w:rsidRPr="00175AD6" w14:paraId="44F1EF5A" w14:textId="77777777" w:rsidTr="002915A2">
        <w:tc>
          <w:tcPr>
            <w:tcW w:w="1605" w:type="dxa"/>
          </w:tcPr>
          <w:p w14:paraId="4EC8E365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 xml:space="preserve">Visit 6: 4th week </w:t>
            </w:r>
            <w:r w:rsidRPr="00175AD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treatment period Time=6week</w:t>
            </w:r>
          </w:p>
        </w:tc>
        <w:tc>
          <w:tcPr>
            <w:tcW w:w="7746" w:type="dxa"/>
          </w:tcPr>
          <w:p w14:paraId="0BC866B9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Review of possible adverse events.</w:t>
            </w:r>
          </w:p>
          <w:p w14:paraId="22197032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CGI-S and Y-BOCS-BE scores.</w:t>
            </w:r>
          </w:p>
        </w:tc>
      </w:tr>
      <w:tr w:rsidR="003A53DD" w:rsidRPr="00175AD6" w14:paraId="67EA38FD" w14:textId="77777777" w:rsidTr="002915A2">
        <w:tc>
          <w:tcPr>
            <w:tcW w:w="1605" w:type="dxa"/>
          </w:tcPr>
          <w:p w14:paraId="10782A96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Visit 7: 5th week treatment period Time=7week</w:t>
            </w:r>
          </w:p>
          <w:p w14:paraId="6D067CA1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746" w:type="dxa"/>
          </w:tcPr>
          <w:p w14:paraId="2CE818E9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Following the fifth week of treatment, the following baselines and activities were performed:</w:t>
            </w:r>
          </w:p>
          <w:p w14:paraId="5F107630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Review of possible adverse events.</w:t>
            </w:r>
          </w:p>
          <w:p w14:paraId="1592FD96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CGI-S and Y-BOCS-BE scores.</w:t>
            </w:r>
          </w:p>
          <w:p w14:paraId="4317176B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Receive devices for the next 3 treatment weeks.</w:t>
            </w:r>
          </w:p>
        </w:tc>
      </w:tr>
      <w:tr w:rsidR="003A53DD" w:rsidRPr="00175AD6" w14:paraId="7149A549" w14:textId="77777777" w:rsidTr="002915A2">
        <w:tc>
          <w:tcPr>
            <w:tcW w:w="1605" w:type="dxa"/>
          </w:tcPr>
          <w:p w14:paraId="1F9928F0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Visit 8: 6th week treatment period Time=8week</w:t>
            </w:r>
          </w:p>
          <w:p w14:paraId="51C44FA9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746" w:type="dxa"/>
          </w:tcPr>
          <w:p w14:paraId="7330E361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Following the sixth week of treatment, the following baselines and activities were performed:</w:t>
            </w:r>
          </w:p>
          <w:p w14:paraId="358FEA0A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Review of possible adverse events.</w:t>
            </w:r>
          </w:p>
          <w:p w14:paraId="6D124763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CGI-S and Y-BOCS-BE scores.</w:t>
            </w:r>
          </w:p>
        </w:tc>
      </w:tr>
      <w:tr w:rsidR="003A53DD" w:rsidRPr="00175AD6" w14:paraId="61967F8B" w14:textId="77777777" w:rsidTr="002915A2">
        <w:tc>
          <w:tcPr>
            <w:tcW w:w="1605" w:type="dxa"/>
          </w:tcPr>
          <w:p w14:paraId="3156D955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 xml:space="preserve">Visit 9: 7th week treatment period Time=9week </w:t>
            </w:r>
          </w:p>
        </w:tc>
        <w:tc>
          <w:tcPr>
            <w:tcW w:w="7746" w:type="dxa"/>
          </w:tcPr>
          <w:p w14:paraId="6BDC5670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Review of possible adverse events.</w:t>
            </w:r>
          </w:p>
          <w:p w14:paraId="7EECE83E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CGI-S and Y-BOCS-BE scores.</w:t>
            </w:r>
          </w:p>
        </w:tc>
      </w:tr>
      <w:tr w:rsidR="003A53DD" w:rsidRPr="00E47182" w14:paraId="04371880" w14:textId="77777777" w:rsidTr="002915A2">
        <w:tc>
          <w:tcPr>
            <w:tcW w:w="1605" w:type="dxa"/>
          </w:tcPr>
          <w:p w14:paraId="65A7DC6C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 xml:space="preserve">Visit 10: end of treatment period Time=10week </w:t>
            </w:r>
          </w:p>
          <w:p w14:paraId="73C00EC5" w14:textId="77777777" w:rsidR="003A53DD" w:rsidRPr="00175AD6" w:rsidRDefault="003A53DD" w:rsidP="002915A2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746" w:type="dxa"/>
          </w:tcPr>
          <w:p w14:paraId="2A039F38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Review of possible adverse events.</w:t>
            </w:r>
          </w:p>
          <w:p w14:paraId="67FFE05D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Physical examination.</w:t>
            </w:r>
          </w:p>
          <w:p w14:paraId="5E4F3264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Drawing of blood for safety baseline.</w:t>
            </w:r>
          </w:p>
          <w:p w14:paraId="1F4D01AB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Return the devices of the last two (2) treatment weeks.</w:t>
            </w:r>
          </w:p>
          <w:p w14:paraId="6845C0B4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CGI-S and Y-BOCS-BE scores.</w:t>
            </w:r>
          </w:p>
          <w:p w14:paraId="56FEB373" w14:textId="77777777" w:rsidR="003A53DD" w:rsidRPr="00175AD6" w:rsidRDefault="003A53DD" w:rsidP="002915A2">
            <w:pPr>
              <w:numPr>
                <w:ilvl w:val="0"/>
                <w:numId w:val="3"/>
              </w:num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AD6">
              <w:rPr>
                <w:rFonts w:asciiTheme="majorBidi" w:hAnsiTheme="majorBidi" w:cstheme="majorBidi"/>
                <w:sz w:val="24"/>
                <w:szCs w:val="24"/>
              </w:rPr>
              <w:t>Weight measurement.</w:t>
            </w:r>
          </w:p>
        </w:tc>
      </w:tr>
    </w:tbl>
    <w:p w14:paraId="50B3922F" w14:textId="77777777" w:rsidR="003A53DD" w:rsidRDefault="003A53DD" w:rsidP="003A53DD">
      <w:pPr>
        <w:bidi w:val="0"/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3FBEAF2" w14:textId="77777777" w:rsidR="003A53DD" w:rsidRPr="00AB434E" w:rsidRDefault="003A53DD" w:rsidP="003A53DD">
      <w:pPr>
        <w:bidi w:val="0"/>
        <w:spacing w:before="120" w:after="120" w:line="240" w:lineRule="auto"/>
        <w:rPr>
          <w:rtl/>
        </w:rPr>
      </w:pPr>
    </w:p>
    <w:p w14:paraId="035EC593" w14:textId="77777777" w:rsidR="00000F57" w:rsidRDefault="003A53DD"/>
    <w:sectPr w:rsidR="00000F57" w:rsidSect="003C3B4C">
      <w:pgSz w:w="11906" w:h="16838"/>
      <w:pgMar w:top="1440" w:right="1440" w:bottom="1440" w:left="1440" w:header="708" w:footer="708" w:gutter="0"/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0E1848"/>
    <w:multiLevelType w:val="hybridMultilevel"/>
    <w:tmpl w:val="5E2AE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B62C4"/>
    <w:multiLevelType w:val="hybridMultilevel"/>
    <w:tmpl w:val="80EEC6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907294B"/>
    <w:multiLevelType w:val="hybridMultilevel"/>
    <w:tmpl w:val="1A3CE786"/>
    <w:lvl w:ilvl="0" w:tplc="EBA6FC98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2D2224"/>
    <w:multiLevelType w:val="hybridMultilevel"/>
    <w:tmpl w:val="F4CE14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3DD"/>
    <w:rsid w:val="0007695B"/>
    <w:rsid w:val="003A53DD"/>
    <w:rsid w:val="005615C6"/>
    <w:rsid w:val="005E078B"/>
    <w:rsid w:val="00781D71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524A9"/>
  <w15:chartTrackingRefBased/>
  <w15:docId w15:val="{2FF4C7CA-3918-4D8D-9074-17B70B4D5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53DD"/>
    <w:pPr>
      <w:bidi/>
    </w:pPr>
    <w:rPr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3A53DD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3A53DD"/>
    <w:rPr>
      <w:lang w:bidi="he-IL"/>
    </w:rPr>
  </w:style>
  <w:style w:type="table" w:styleId="TableGrid">
    <w:name w:val="Table Grid"/>
    <w:basedOn w:val="TableNormal"/>
    <w:uiPriority w:val="39"/>
    <w:rsid w:val="003A53DD"/>
    <w:pPr>
      <w:spacing w:after="0" w:line="240" w:lineRule="auto"/>
    </w:pPr>
    <w:rPr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989</Words>
  <Characters>5641</Characters>
  <Application>Microsoft Office Word</Application>
  <DocSecurity>0</DocSecurity>
  <Lines>47</Lines>
  <Paragraphs>13</Paragraphs>
  <ScaleCrop>false</ScaleCrop>
  <Company>Springer Nature</Company>
  <LinksUpToDate>false</LinksUpToDate>
  <CharactersWithSpaces>6617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2022-11-18T09:35:00Z</dcterms:created>
  <dcterms:modified xsi:type="dcterms:W3CDTF">2022-11-18T09:35:00Z</dcterms:modified>
</cp:coreProperties>
</file>