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934DFA" w14:textId="1B547F7C" w:rsidR="00332E5D" w:rsidRPr="00332E5D" w:rsidRDefault="00332E5D" w:rsidP="00332E5D">
      <w:pPr>
        <w:widowControl/>
        <w:shd w:val="clear" w:color="auto" w:fill="FCFDFE"/>
        <w:spacing w:after="150"/>
        <w:jc w:val="center"/>
        <w:outlineLvl w:val="2"/>
        <w:rPr>
          <w:rFonts w:ascii="Times New Roman" w:eastAsia="宋体" w:hAnsi="Times New Roman" w:cs="Times New Roman"/>
          <w:color w:val="222222"/>
          <w:spacing w:val="2"/>
          <w:kern w:val="0"/>
          <w:sz w:val="27"/>
          <w:szCs w:val="27"/>
        </w:rPr>
      </w:pPr>
      <w:r w:rsidRPr="00332E5D">
        <w:rPr>
          <w:rFonts w:ascii="Times New Roman" w:eastAsia="宋体" w:hAnsi="Times New Roman" w:cs="Times New Roman"/>
          <w:color w:val="222222"/>
          <w:spacing w:val="2"/>
          <w:kern w:val="0"/>
          <w:sz w:val="27"/>
          <w:szCs w:val="27"/>
        </w:rPr>
        <w:t>Supplementary material</w:t>
      </w:r>
    </w:p>
    <w:p w14:paraId="0AA568B2" w14:textId="48BABF58" w:rsidR="00902BFC" w:rsidRDefault="00902BFC">
      <w:pPr>
        <w:rPr>
          <w:rFonts w:ascii="Times New Roman" w:hAnsi="Times New Roman" w:cs="Times New Roman"/>
          <w:sz w:val="24"/>
          <w:szCs w:val="24"/>
        </w:rPr>
      </w:pPr>
    </w:p>
    <w:p w14:paraId="3F4B81B7" w14:textId="0DDCBD20" w:rsidR="00332E5D" w:rsidRDefault="00332E5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68502ACC" wp14:editId="78C5CB35">
            <wp:extent cx="5274310" cy="3731260"/>
            <wp:effectExtent l="0" t="0" r="2540" b="254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31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9035E6" w14:textId="15425790" w:rsidR="00332E5D" w:rsidRPr="00C74190" w:rsidRDefault="00332E5D" w:rsidP="008C7EB7">
      <w:pPr>
        <w:widowControl/>
        <w:spacing w:line="480" w:lineRule="auto"/>
        <w:contextualSpacing/>
        <w:jc w:val="left"/>
        <w:outlineLvl w:val="2"/>
        <w:rPr>
          <w:rFonts w:ascii="Times New Roman" w:eastAsia="宋体" w:hAnsi="Times New Roman" w:cs="Times New Roman" w:hint="eastAsia"/>
          <w:kern w:val="0"/>
          <w:sz w:val="24"/>
          <w:szCs w:val="24"/>
        </w:rPr>
      </w:pPr>
      <w:r w:rsidRPr="00C74190">
        <w:rPr>
          <w:rFonts w:ascii="Times New Roman" w:eastAsia="宋体" w:hAnsi="Times New Roman" w:cs="Times New Roman"/>
          <w:kern w:val="0"/>
          <w:sz w:val="24"/>
          <w:szCs w:val="24"/>
        </w:rPr>
        <w:t>F</w:t>
      </w:r>
      <w:r w:rsidRPr="00C74190">
        <w:rPr>
          <w:rFonts w:ascii="Times New Roman" w:eastAsia="宋体" w:hAnsi="Times New Roman" w:cs="Times New Roman" w:hint="eastAsia"/>
          <w:kern w:val="0"/>
          <w:sz w:val="24"/>
          <w:szCs w:val="24"/>
        </w:rPr>
        <w:t>igure</w:t>
      </w:r>
      <w:r w:rsidRPr="00C74190">
        <w:rPr>
          <w:rFonts w:ascii="Times New Roman" w:eastAsia="宋体" w:hAnsi="Times New Roman" w:cs="Times New Roman"/>
          <w:kern w:val="0"/>
          <w:sz w:val="24"/>
          <w:szCs w:val="24"/>
        </w:rPr>
        <w:t xml:space="preserve"> </w:t>
      </w:r>
      <w:r w:rsidRPr="00C74190">
        <w:rPr>
          <w:rFonts w:ascii="Times New Roman" w:eastAsia="宋体" w:hAnsi="Times New Roman" w:cs="Times New Roman" w:hint="eastAsia"/>
          <w:kern w:val="0"/>
          <w:sz w:val="24"/>
          <w:szCs w:val="24"/>
        </w:rPr>
        <w:t>S</w:t>
      </w:r>
      <w:r w:rsidRPr="00C74190">
        <w:rPr>
          <w:rFonts w:ascii="Times New Roman" w:eastAsia="宋体" w:hAnsi="Times New Roman" w:cs="Times New Roman"/>
          <w:kern w:val="0"/>
          <w:sz w:val="24"/>
          <w:szCs w:val="24"/>
        </w:rPr>
        <w:t>1</w:t>
      </w:r>
      <w:r w:rsidR="00C74190" w:rsidRPr="00C74190">
        <w:rPr>
          <w:rFonts w:ascii="Times New Roman" w:eastAsia="宋体" w:hAnsi="Times New Roman" w:cs="Times New Roman" w:hint="eastAsia"/>
          <w:kern w:val="0"/>
          <w:sz w:val="24"/>
          <w:szCs w:val="24"/>
        </w:rPr>
        <w:t>:</w:t>
      </w:r>
      <w:r w:rsidR="00C74190" w:rsidRPr="00C74190">
        <w:rPr>
          <w:rFonts w:ascii="Times New Roman" w:eastAsia="宋体" w:hAnsi="Times New Roman" w:cs="Times New Roman"/>
          <w:kern w:val="0"/>
          <w:sz w:val="24"/>
          <w:szCs w:val="24"/>
        </w:rPr>
        <w:t xml:space="preserve"> </w:t>
      </w:r>
      <w:r w:rsidR="00C74190" w:rsidRPr="00C74190">
        <w:rPr>
          <w:rFonts w:ascii="Times New Roman" w:eastAsia="宋体" w:hAnsi="Times New Roman" w:cs="Times New Roman"/>
          <w:kern w:val="0"/>
          <w:sz w:val="24"/>
          <w:szCs w:val="24"/>
        </w:rPr>
        <w:t xml:space="preserve">The selected </w:t>
      </w:r>
      <w:r w:rsidR="00C74190">
        <w:rPr>
          <w:rFonts w:ascii="Times New Roman" w:eastAsia="宋体" w:hAnsi="Times New Roman" w:cs="Times New Roman"/>
          <w:kern w:val="0"/>
          <w:sz w:val="24"/>
          <w:szCs w:val="24"/>
        </w:rPr>
        <w:t xml:space="preserve">thin-section CT </w:t>
      </w:r>
      <w:r w:rsidR="00C74190" w:rsidRPr="00C74190">
        <w:rPr>
          <w:rFonts w:ascii="Times New Roman" w:eastAsia="宋体" w:hAnsi="Times New Roman" w:cs="Times New Roman"/>
          <w:kern w:val="0"/>
          <w:sz w:val="24"/>
          <w:szCs w:val="24"/>
        </w:rPr>
        <w:t xml:space="preserve">FeatureSDs of cohort 1 and 2 by the survival extreme gradient boosting </w:t>
      </w:r>
      <w:r w:rsidR="00C74190" w:rsidRPr="008C7EB7">
        <w:rPr>
          <w:rFonts w:ascii="Times New Roman" w:hAnsi="Times New Roman"/>
          <w:kern w:val="0"/>
          <w:sz w:val="24"/>
          <w:szCs w:val="24"/>
        </w:rPr>
        <w:t>method</w:t>
      </w:r>
      <w:r w:rsidR="00C74190" w:rsidRPr="00C74190">
        <w:rPr>
          <w:rFonts w:ascii="Times New Roman" w:eastAsia="宋体" w:hAnsi="Times New Roman" w:cs="Times New Roman"/>
          <w:kern w:val="0"/>
          <w:sz w:val="24"/>
          <w:szCs w:val="24"/>
        </w:rPr>
        <w:t>. The features are sorted by the value</w:t>
      </w:r>
      <w:r w:rsidR="007E3CF2">
        <w:rPr>
          <w:rFonts w:ascii="Times New Roman" w:eastAsia="宋体" w:hAnsi="Times New Roman" w:cs="Times New Roman"/>
          <w:kern w:val="0"/>
          <w:sz w:val="24"/>
          <w:szCs w:val="24"/>
        </w:rPr>
        <w:t>’s name</w:t>
      </w:r>
      <w:r w:rsidR="00C74190" w:rsidRPr="00C74190">
        <w:rPr>
          <w:rFonts w:ascii="Times New Roman" w:eastAsia="宋体" w:hAnsi="Times New Roman" w:cs="Times New Roman"/>
          <w:kern w:val="0"/>
          <w:sz w:val="24"/>
          <w:szCs w:val="24"/>
        </w:rPr>
        <w:t>. Upper and lower rows are for cohort 1 and 2, respectively.</w:t>
      </w:r>
    </w:p>
    <w:p w14:paraId="5AB43774" w14:textId="77777777" w:rsidR="00C74190" w:rsidRPr="004C56BC" w:rsidRDefault="00C74190" w:rsidP="00C74190">
      <w:pPr>
        <w:widowControl/>
        <w:spacing w:line="480" w:lineRule="auto"/>
        <w:contextualSpacing/>
        <w:jc w:val="left"/>
        <w:outlineLvl w:val="2"/>
        <w:rPr>
          <w:rFonts w:ascii="Times New Roman" w:hAnsi="Times New Roman" w:hint="eastAsia"/>
          <w:bCs/>
          <w:spacing w:val="-10"/>
          <w:kern w:val="0"/>
          <w:sz w:val="24"/>
          <w:szCs w:val="24"/>
        </w:rPr>
      </w:pPr>
      <w:r>
        <w:rPr>
          <w:rFonts w:ascii="Times New Roman" w:hAnsi="Times New Roman"/>
          <w:kern w:val="0"/>
          <w:sz w:val="24"/>
          <w:szCs w:val="24"/>
        </w:rPr>
        <w:t xml:space="preserve">Note: </w:t>
      </w:r>
      <w:r w:rsidRPr="00135EA5">
        <w:rPr>
          <w:rFonts w:ascii="Times New Roman" w:hAnsi="Times New Roman"/>
          <w:kern w:val="0"/>
          <w:sz w:val="24"/>
          <w:szCs w:val="24"/>
        </w:rPr>
        <w:t>Gray Level Cooccurrence Matrix (GLCM)</w:t>
      </w:r>
      <w:r>
        <w:rPr>
          <w:rFonts w:ascii="Times New Roman" w:hAnsi="Times New Roman"/>
          <w:kern w:val="0"/>
          <w:sz w:val="24"/>
          <w:szCs w:val="24"/>
        </w:rPr>
        <w:t xml:space="preserve">; Numbers in </w:t>
      </w:r>
      <w:r w:rsidRPr="00CF2989">
        <w:rPr>
          <w:rFonts w:ascii="Times New Roman" w:hAnsi="Times New Roman"/>
          <w:kern w:val="0"/>
          <w:sz w:val="24"/>
          <w:szCs w:val="24"/>
        </w:rPr>
        <w:t>brackets</w:t>
      </w:r>
      <w:r>
        <w:rPr>
          <w:rFonts w:ascii="Times New Roman" w:hAnsi="Times New Roman"/>
          <w:kern w:val="0"/>
          <w:sz w:val="24"/>
          <w:szCs w:val="24"/>
        </w:rPr>
        <w:t xml:space="preserve"> are used to encode the direction, gray limits, num levels, offset, and symmetric of GLCM3 or GLCM25.</w:t>
      </w:r>
    </w:p>
    <w:p w14:paraId="485A24A5" w14:textId="453C9FB0" w:rsidR="00332E5D" w:rsidRPr="00C74190" w:rsidRDefault="00332E5D">
      <w:pPr>
        <w:rPr>
          <w:rFonts w:ascii="Times New Roman" w:hAnsi="Times New Roman" w:cs="Times New Roman"/>
          <w:sz w:val="24"/>
          <w:szCs w:val="24"/>
        </w:rPr>
      </w:pPr>
    </w:p>
    <w:p w14:paraId="41C7034C" w14:textId="02BFAF4F" w:rsidR="00332E5D" w:rsidRDefault="00332E5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noProof/>
          <w:sz w:val="24"/>
          <w:szCs w:val="24"/>
        </w:rPr>
        <w:lastRenderedPageBreak/>
        <w:drawing>
          <wp:inline distT="0" distB="0" distL="0" distR="0" wp14:anchorId="396D4A34" wp14:editId="55D6519A">
            <wp:extent cx="5274310" cy="6825615"/>
            <wp:effectExtent l="0" t="0" r="254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8256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B50F04" w14:textId="70BCB00E" w:rsidR="00C74190" w:rsidRPr="007E3CF2" w:rsidRDefault="009B78F2">
      <w:pPr>
        <w:rPr>
          <w:rFonts w:ascii="Times New Roman" w:hAnsi="Times New Roman" w:cs="Times New Roman" w:hint="eastAsia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Figure S2: </w:t>
      </w:r>
      <w:r w:rsidR="007E3CF2">
        <w:rPr>
          <w:rFonts w:ascii="Times New Roman" w:hAnsi="Times New Roman" w:cs="Times New Roman"/>
          <w:sz w:val="24"/>
          <w:szCs w:val="24"/>
        </w:rPr>
        <w:t xml:space="preserve">The </w:t>
      </w:r>
      <w:r w:rsidR="007E3CF2" w:rsidRPr="007E3CF2">
        <w:rPr>
          <w:rFonts w:ascii="Times New Roman" w:hAnsi="Times New Roman" w:cs="Times New Roman"/>
          <w:sz w:val="24"/>
          <w:szCs w:val="24"/>
        </w:rPr>
        <w:t>penalized smoothing splines method</w:t>
      </w:r>
      <w:r w:rsidR="007E3CF2" w:rsidRPr="007E3CF2">
        <w:rPr>
          <w:rFonts w:ascii="Times New Roman" w:hAnsi="Times New Roman"/>
          <w:kern w:val="0"/>
          <w:sz w:val="24"/>
          <w:szCs w:val="24"/>
        </w:rPr>
        <w:t xml:space="preserve"> </w:t>
      </w:r>
      <w:r w:rsidR="007E3CF2">
        <w:rPr>
          <w:rFonts w:ascii="Times New Roman" w:hAnsi="Times New Roman"/>
          <w:kern w:val="0"/>
          <w:sz w:val="24"/>
          <w:szCs w:val="24"/>
        </w:rPr>
        <w:t>for</w:t>
      </w:r>
      <w:r w:rsidR="007E3CF2">
        <w:rPr>
          <w:rFonts w:ascii="Times New Roman" w:hAnsi="Times New Roman"/>
          <w:kern w:val="0"/>
          <w:sz w:val="24"/>
          <w:szCs w:val="24"/>
        </w:rPr>
        <w:t xml:space="preserve"> the </w:t>
      </w:r>
      <w:r w:rsidR="007E3CF2">
        <w:rPr>
          <w:rFonts w:ascii="Times New Roman" w:hAnsi="Times New Roman"/>
          <w:kern w:val="0"/>
          <w:sz w:val="24"/>
          <w:szCs w:val="24"/>
        </w:rPr>
        <w:t xml:space="preserve">combined CT </w:t>
      </w:r>
      <w:r w:rsidR="007E3CF2">
        <w:rPr>
          <w:rFonts w:ascii="Times New Roman" w:hAnsi="Times New Roman"/>
          <w:kern w:val="0"/>
          <w:sz w:val="24"/>
          <w:szCs w:val="24"/>
        </w:rPr>
        <w:t>Feature</w:t>
      </w:r>
      <w:r w:rsidR="007E3CF2" w:rsidRPr="00170A4B">
        <w:rPr>
          <w:rFonts w:ascii="Times New Roman" w:hAnsi="Times New Roman"/>
          <w:kern w:val="0"/>
          <w:sz w:val="24"/>
          <w:szCs w:val="24"/>
          <w:vertAlign w:val="subscript"/>
        </w:rPr>
        <w:t>SD</w:t>
      </w:r>
      <w:r w:rsidR="007E3CF2">
        <w:rPr>
          <w:rFonts w:ascii="Times New Roman" w:hAnsi="Times New Roman"/>
          <w:kern w:val="0"/>
          <w:sz w:val="24"/>
          <w:szCs w:val="24"/>
        </w:rPr>
        <w:t xml:space="preserve"> of GLCM-information measured correlation (3-54). The upper and lower rows are for the cohort 1 and 2, respectively. </w:t>
      </w:r>
    </w:p>
    <w:sectPr w:rsidR="00C74190" w:rsidRPr="007E3CF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2E5D"/>
    <w:rsid w:val="00332E5D"/>
    <w:rsid w:val="007E3CF2"/>
    <w:rsid w:val="008C7EB7"/>
    <w:rsid w:val="00902BFC"/>
    <w:rsid w:val="009B78F2"/>
    <w:rsid w:val="00C74190"/>
    <w:rsid w:val="00CA6C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94043C"/>
  <w15:chartTrackingRefBased/>
  <w15:docId w15:val="{7B2CDCAE-9006-4D5E-820E-55C81C23F3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3">
    <w:name w:val="heading 3"/>
    <w:basedOn w:val="a"/>
    <w:link w:val="30"/>
    <w:uiPriority w:val="9"/>
    <w:qFormat/>
    <w:rsid w:val="00332E5D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标题 3 字符"/>
    <w:basedOn w:val="a0"/>
    <w:link w:val="3"/>
    <w:uiPriority w:val="9"/>
    <w:rsid w:val="00332E5D"/>
    <w:rPr>
      <w:rFonts w:ascii="宋体" w:eastAsia="宋体" w:hAnsi="宋体" w:cs="宋体"/>
      <w:b/>
      <w:bCs/>
      <w:kern w:val="0"/>
      <w:sz w:val="27"/>
      <w:szCs w:val="2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4150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tiff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91</Words>
  <Characters>524</Characters>
  <Application>Microsoft Office Word</Application>
  <DocSecurity>0</DocSecurity>
  <Lines>4</Lines>
  <Paragraphs>1</Paragraphs>
  <ScaleCrop>false</ScaleCrop>
  <Company/>
  <LinksUpToDate>false</LinksUpToDate>
  <CharactersWithSpaces>614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5</cp:revision>
  <dcterms:created xsi:type="dcterms:W3CDTF">2022-10-27T03:08:00Z</dcterms:created>
  <dcterms:modified xsi:type="dcterms:W3CDTF">2022-10-27T03:23:00Z</dcterms:modified>
</cp:coreProperties>
</file>