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1BC45B"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Supplementary dataset:</w:t>
      </w:r>
    </w:p>
    <w:p w14:paraId="42488EF5"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Cell culture and reagents</w:t>
      </w:r>
    </w:p>
    <w:p w14:paraId="74A113CF" w14:textId="77777777" w:rsidR="00ED6F74" w:rsidRPr="00ED6F74"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The AGS GC cell line was acquired from American Type Culture Collection (ATCC, Manassas, VA, USA). The SGC-7901 cell line was obtained from Beijing Cancer Institute, Peking University, China. AGS cells were cultured in an F12 nutrient mixture medium (GIBCO, Carlsbad, CA, USA) supplemented with 10% fetal bovine serum. In addition, SGC-7901 cells were cultured in RPMI 1640 medium supplemented with 10% fetal bovine serum (GIBCO, Carlsbad, CA, USA). All cell lines were cultured at 37℃ in an atmosphere of 5% CO</w:t>
      </w:r>
      <w:r w:rsidRPr="00ED6F74">
        <w:rPr>
          <w:rFonts w:ascii="Times New Roman" w:hAnsi="Times New Roman" w:cs="Times New Roman"/>
          <w:sz w:val="24"/>
          <w:szCs w:val="24"/>
          <w:vertAlign w:val="subscript"/>
        </w:rPr>
        <w:t>2</w:t>
      </w:r>
      <w:r w:rsidRPr="00ED6F74">
        <w:rPr>
          <w:rFonts w:ascii="Times New Roman" w:hAnsi="Times New Roman" w:cs="Times New Roman"/>
          <w:sz w:val="24"/>
          <w:szCs w:val="24"/>
        </w:rPr>
        <w:t>. The Wnt palmitoyltransferase inhibitor (IWP-2) was purchased from Sigma Aldrich (St. Louis, MO, USA), and was added to the cells at 5 µM concentration.</w:t>
      </w:r>
    </w:p>
    <w:p w14:paraId="61FC2A51"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Western blotting</w:t>
      </w:r>
    </w:p>
    <w:p w14:paraId="21F03D52" w14:textId="56DB132D" w:rsidR="00ED6F74" w:rsidRPr="00ED6F74"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 xml:space="preserve">Western blotting was performed according to the standard methods. The primary antibodies used for western blotting were as follows: rabbit anti-RNF180 </w:t>
      </w:r>
      <w:bookmarkStart w:id="0" w:name="OLE_LINK75"/>
      <w:bookmarkStart w:id="1" w:name="OLE_LINK76"/>
      <w:r w:rsidRPr="00ED6F74">
        <w:rPr>
          <w:rFonts w:ascii="Times New Roman" w:hAnsi="Times New Roman" w:cs="Times New Roman"/>
          <w:sz w:val="24"/>
          <w:szCs w:val="24"/>
        </w:rPr>
        <w:t>antibody</w:t>
      </w:r>
      <w:bookmarkEnd w:id="0"/>
      <w:bookmarkEnd w:id="1"/>
      <w:r w:rsidRPr="00ED6F74">
        <w:rPr>
          <w:rFonts w:ascii="Times New Roman" w:hAnsi="Times New Roman" w:cs="Times New Roman"/>
          <w:sz w:val="24"/>
          <w:szCs w:val="24"/>
        </w:rPr>
        <w:t xml:space="preserve"> (1:1000) (gtx119301, Genetex), mouse anti-RhoC antibody (1:50) (sc393090, Santa Cruz Biotechnology), rabbit anti-BCL6 antibody (1:200) (</w:t>
      </w:r>
      <w:hyperlink r:id="rId6" w:history="1">
        <w:r w:rsidRPr="000F7D09">
          <w:rPr>
            <w:rStyle w:val="a7"/>
            <w:rFonts w:ascii="Times New Roman" w:hAnsi="Times New Roman" w:cs="Times New Roman"/>
            <w:color w:val="000000" w:themeColor="text1"/>
            <w:sz w:val="24"/>
            <w:szCs w:val="24"/>
            <w:u w:val="none"/>
          </w:rPr>
          <w:t>14895</w:t>
        </w:r>
      </w:hyperlink>
      <w:r w:rsidRPr="00ED6F74">
        <w:rPr>
          <w:rFonts w:ascii="Times New Roman" w:hAnsi="Times New Roman" w:cs="Times New Roman"/>
          <w:sz w:val="24"/>
          <w:szCs w:val="24"/>
        </w:rPr>
        <w:t xml:space="preserve">s, CST), </w:t>
      </w:r>
      <w:r w:rsidR="00DA6B28" w:rsidRPr="00DA6B28">
        <w:rPr>
          <w:rFonts w:ascii="Times New Roman" w:hAnsi="Times New Roman" w:cs="Times New Roman"/>
          <w:sz w:val="24"/>
          <w:szCs w:val="24"/>
        </w:rPr>
        <w:t>rabbit anti-BCL6 antibody (1:</w:t>
      </w:r>
      <w:r w:rsidR="00DA6B28">
        <w:rPr>
          <w:rFonts w:ascii="Times New Roman" w:hAnsi="Times New Roman" w:cs="Times New Roman"/>
          <w:sz w:val="24"/>
          <w:szCs w:val="24"/>
        </w:rPr>
        <w:t>10</w:t>
      </w:r>
      <w:r w:rsidR="00DA6B28" w:rsidRPr="00DA6B28">
        <w:rPr>
          <w:rFonts w:ascii="Times New Roman" w:hAnsi="Times New Roman" w:cs="Times New Roman"/>
          <w:sz w:val="24"/>
          <w:szCs w:val="24"/>
        </w:rPr>
        <w:t>00) (</w:t>
      </w:r>
      <w:r w:rsidR="00DA6B28">
        <w:rPr>
          <w:rFonts w:ascii="Times New Roman" w:hAnsi="Times New Roman" w:cs="Times New Roman"/>
          <w:sz w:val="24"/>
          <w:szCs w:val="24"/>
        </w:rPr>
        <w:t>ab172610</w:t>
      </w:r>
      <w:r w:rsidR="00DA6B28" w:rsidRPr="00DA6B28">
        <w:rPr>
          <w:rFonts w:ascii="Times New Roman" w:hAnsi="Times New Roman" w:cs="Times New Roman"/>
          <w:sz w:val="24"/>
          <w:szCs w:val="24"/>
        </w:rPr>
        <w:t xml:space="preserve">, </w:t>
      </w:r>
      <w:r w:rsidR="00DA6B28">
        <w:rPr>
          <w:rFonts w:ascii="Times New Roman" w:hAnsi="Times New Roman" w:cs="Times New Roman"/>
          <w:sz w:val="24"/>
          <w:szCs w:val="24"/>
        </w:rPr>
        <w:t>abcam</w:t>
      </w:r>
      <w:r w:rsidR="00DA6B28" w:rsidRPr="00DA6B28">
        <w:rPr>
          <w:rFonts w:ascii="Times New Roman" w:hAnsi="Times New Roman" w:cs="Times New Roman"/>
          <w:sz w:val="24"/>
          <w:szCs w:val="24"/>
        </w:rPr>
        <w:t>),</w:t>
      </w:r>
      <w:r w:rsidR="00DA6B28">
        <w:rPr>
          <w:rFonts w:ascii="Times New Roman" w:hAnsi="Times New Roman" w:cs="Times New Roman"/>
          <w:sz w:val="24"/>
          <w:szCs w:val="24"/>
        </w:rPr>
        <w:t xml:space="preserve"> </w:t>
      </w:r>
      <w:r w:rsidRPr="00ED6F74">
        <w:rPr>
          <w:rFonts w:ascii="Times New Roman" w:hAnsi="Times New Roman" w:cs="Times New Roman"/>
          <w:sz w:val="24"/>
          <w:szCs w:val="24"/>
        </w:rPr>
        <w:t xml:space="preserve">mouse anti-FZD7 antibody (1:200) (sc-293261, </w:t>
      </w:r>
      <w:bookmarkStart w:id="2" w:name="OLE_LINK55"/>
      <w:bookmarkStart w:id="3" w:name="OLE_LINK56"/>
      <w:r w:rsidRPr="00ED6F74">
        <w:rPr>
          <w:rFonts w:ascii="Times New Roman" w:hAnsi="Times New Roman" w:cs="Times New Roman"/>
          <w:sz w:val="24"/>
          <w:szCs w:val="24"/>
        </w:rPr>
        <w:t>Santa Cruz Biotechnology</w:t>
      </w:r>
      <w:bookmarkEnd w:id="2"/>
      <w:bookmarkEnd w:id="3"/>
      <w:r w:rsidRPr="00ED6F74">
        <w:rPr>
          <w:rFonts w:ascii="Times New Roman" w:hAnsi="Times New Roman" w:cs="Times New Roman"/>
          <w:sz w:val="24"/>
          <w:szCs w:val="24"/>
        </w:rPr>
        <w:t xml:space="preserve">), rabbit </w:t>
      </w:r>
      <w:bookmarkStart w:id="4" w:name="OLE_LINK57"/>
      <w:bookmarkStart w:id="5" w:name="OLE_LINK58"/>
      <w:r w:rsidRPr="00ED6F74">
        <w:rPr>
          <w:rFonts w:ascii="Times New Roman" w:hAnsi="Times New Roman" w:cs="Times New Roman"/>
          <w:sz w:val="24"/>
          <w:szCs w:val="24"/>
        </w:rPr>
        <w:t xml:space="preserve">anti-E-cadherin antibody (1:2000) (3195, </w:t>
      </w:r>
      <w:bookmarkStart w:id="6" w:name="OLE_LINK59"/>
      <w:bookmarkStart w:id="7" w:name="OLE_LINK60"/>
      <w:r w:rsidRPr="00ED6F74">
        <w:rPr>
          <w:rFonts w:ascii="Times New Roman" w:hAnsi="Times New Roman" w:cs="Times New Roman"/>
          <w:sz w:val="24"/>
          <w:szCs w:val="24"/>
        </w:rPr>
        <w:t xml:space="preserve">Cell Signaling </w:t>
      </w:r>
      <w:bookmarkEnd w:id="4"/>
      <w:bookmarkEnd w:id="5"/>
      <w:r w:rsidRPr="00ED6F74">
        <w:rPr>
          <w:rFonts w:ascii="Times New Roman" w:hAnsi="Times New Roman" w:cs="Times New Roman"/>
          <w:sz w:val="24"/>
          <w:szCs w:val="24"/>
        </w:rPr>
        <w:t>Technology</w:t>
      </w:r>
      <w:bookmarkEnd w:id="6"/>
      <w:bookmarkEnd w:id="7"/>
      <w:r w:rsidRPr="00ED6F74">
        <w:rPr>
          <w:rFonts w:ascii="Times New Roman" w:hAnsi="Times New Roman" w:cs="Times New Roman"/>
          <w:sz w:val="24"/>
          <w:szCs w:val="24"/>
        </w:rPr>
        <w:t xml:space="preserve">), rabbit anti-N-cadherin antibody (1:2000) (4061s, </w:t>
      </w:r>
      <w:bookmarkStart w:id="8" w:name="OLE_LINK67"/>
      <w:bookmarkStart w:id="9" w:name="OLE_LINK68"/>
      <w:r w:rsidRPr="00ED6F74">
        <w:rPr>
          <w:rFonts w:ascii="Times New Roman" w:hAnsi="Times New Roman" w:cs="Times New Roman"/>
          <w:sz w:val="24"/>
          <w:szCs w:val="24"/>
        </w:rPr>
        <w:t>Cell Signaling Technology</w:t>
      </w:r>
      <w:bookmarkStart w:id="10" w:name="OLE_LINK61"/>
      <w:bookmarkStart w:id="11" w:name="OLE_LINK62"/>
      <w:bookmarkEnd w:id="8"/>
      <w:bookmarkEnd w:id="9"/>
      <w:r w:rsidRPr="00ED6F74">
        <w:rPr>
          <w:rFonts w:ascii="Times New Roman" w:hAnsi="Times New Roman" w:cs="Times New Roman"/>
          <w:sz w:val="24"/>
          <w:szCs w:val="24"/>
        </w:rPr>
        <w:t>)</w:t>
      </w:r>
      <w:bookmarkEnd w:id="10"/>
      <w:bookmarkEnd w:id="11"/>
      <w:r w:rsidRPr="00ED6F74">
        <w:rPr>
          <w:rFonts w:ascii="Times New Roman" w:hAnsi="Times New Roman" w:cs="Times New Roman"/>
          <w:sz w:val="24"/>
          <w:szCs w:val="24"/>
        </w:rPr>
        <w:t>, rabbit</w:t>
      </w:r>
      <w:bookmarkStart w:id="12" w:name="OLE_LINK63"/>
      <w:bookmarkStart w:id="13" w:name="OLE_LINK64"/>
      <w:r w:rsidRPr="00ED6F74">
        <w:rPr>
          <w:rFonts w:ascii="Times New Roman" w:hAnsi="Times New Roman" w:cs="Times New Roman"/>
          <w:sz w:val="24"/>
          <w:szCs w:val="24"/>
        </w:rPr>
        <w:t xml:space="preserve"> anti-vimentin antibody (1:1000) (ab20346, Abcam</w:t>
      </w:r>
      <w:bookmarkEnd w:id="12"/>
      <w:bookmarkEnd w:id="13"/>
      <w:r w:rsidRPr="00ED6F74">
        <w:rPr>
          <w:rFonts w:ascii="Times New Roman" w:hAnsi="Times New Roman" w:cs="Times New Roman"/>
          <w:sz w:val="24"/>
          <w:szCs w:val="24"/>
        </w:rPr>
        <w:t>), rabbit anti-</w:t>
      </w:r>
      <w:bookmarkStart w:id="14" w:name="OLE_LINK65"/>
      <w:bookmarkStart w:id="15" w:name="OLE_LINK66"/>
      <w:r w:rsidRPr="00ED6F74">
        <w:rPr>
          <w:rFonts w:ascii="Times New Roman" w:hAnsi="Times New Roman" w:cs="Times New Roman"/>
          <w:sz w:val="24"/>
          <w:szCs w:val="24"/>
        </w:rPr>
        <w:t>MMP9 antibody (1:2000) (3852s,</w:t>
      </w:r>
      <w:bookmarkEnd w:id="14"/>
      <w:bookmarkEnd w:id="15"/>
      <w:r w:rsidRPr="00ED6F74">
        <w:rPr>
          <w:rFonts w:ascii="Times New Roman" w:hAnsi="Times New Roman" w:cs="Times New Roman"/>
          <w:sz w:val="24"/>
          <w:szCs w:val="24"/>
        </w:rPr>
        <w:t xml:space="preserve"> Cell Signaling Technology</w:t>
      </w:r>
      <w:bookmarkStart w:id="16" w:name="OLE_LINK69"/>
      <w:bookmarkStart w:id="17" w:name="OLE_LINK70"/>
      <w:r w:rsidRPr="00ED6F74">
        <w:rPr>
          <w:rFonts w:ascii="Times New Roman" w:hAnsi="Times New Roman" w:cs="Times New Roman"/>
          <w:sz w:val="24"/>
          <w:szCs w:val="24"/>
        </w:rPr>
        <w:t>)</w:t>
      </w:r>
      <w:bookmarkEnd w:id="16"/>
      <w:bookmarkEnd w:id="17"/>
      <w:r w:rsidRPr="00ED6F74">
        <w:rPr>
          <w:rFonts w:ascii="Times New Roman" w:hAnsi="Times New Roman" w:cs="Times New Roman"/>
          <w:sz w:val="24"/>
          <w:szCs w:val="24"/>
        </w:rPr>
        <w:t>,</w:t>
      </w:r>
      <w:bookmarkStart w:id="18" w:name="OLE_LINK71"/>
      <w:bookmarkStart w:id="19" w:name="OLE_LINK72"/>
      <w:r w:rsidRPr="00ED6F74">
        <w:rPr>
          <w:rFonts w:ascii="Times New Roman" w:hAnsi="Times New Roman" w:cs="Times New Roman"/>
          <w:sz w:val="24"/>
          <w:szCs w:val="24"/>
        </w:rPr>
        <w:t xml:space="preserve"> rabbit anti-</w:t>
      </w:r>
      <w:bookmarkStart w:id="20" w:name="_Hlk112310691"/>
      <w:r w:rsidRPr="00ED6F74">
        <w:rPr>
          <w:rFonts w:ascii="Times New Roman" w:hAnsi="Times New Roman" w:cs="Times New Roman"/>
          <w:sz w:val="24"/>
          <w:szCs w:val="24"/>
        </w:rPr>
        <w:t>β-catenin antibody (1:5000) (</w:t>
      </w:r>
      <w:bookmarkEnd w:id="18"/>
      <w:bookmarkEnd w:id="19"/>
      <w:r w:rsidRPr="00ED6F74">
        <w:rPr>
          <w:rFonts w:ascii="Times New Roman" w:hAnsi="Times New Roman" w:cs="Times New Roman"/>
          <w:sz w:val="24"/>
          <w:szCs w:val="24"/>
        </w:rPr>
        <w:t>ab16051, Abcam</w:t>
      </w:r>
      <w:bookmarkStart w:id="21" w:name="OLE_LINK73"/>
      <w:bookmarkStart w:id="22" w:name="OLE_LINK74"/>
      <w:r w:rsidRPr="00ED6F74">
        <w:rPr>
          <w:rFonts w:ascii="Times New Roman" w:hAnsi="Times New Roman" w:cs="Times New Roman"/>
          <w:sz w:val="24"/>
          <w:szCs w:val="24"/>
        </w:rPr>
        <w:t>)</w:t>
      </w:r>
      <w:bookmarkEnd w:id="20"/>
      <w:bookmarkEnd w:id="21"/>
      <w:bookmarkEnd w:id="22"/>
      <w:r w:rsidRPr="00ED6F74">
        <w:rPr>
          <w:rFonts w:ascii="Times New Roman" w:hAnsi="Times New Roman" w:cs="Times New Roman"/>
          <w:sz w:val="24"/>
          <w:szCs w:val="24"/>
        </w:rPr>
        <w:t xml:space="preserve">, </w:t>
      </w:r>
      <w:r w:rsidR="00E31C6B">
        <w:rPr>
          <w:rFonts w:ascii="Times New Roman" w:hAnsi="Times New Roman" w:cs="Times New Roman"/>
          <w:sz w:val="24"/>
          <w:szCs w:val="24"/>
        </w:rPr>
        <w:t>mouse anti-</w:t>
      </w:r>
      <w:r w:rsidR="00E31C6B" w:rsidRPr="00E31C6B">
        <w:rPr>
          <w:rFonts w:ascii="Times New Roman" w:hAnsi="Times New Roman" w:cs="Times New Roman"/>
          <w:sz w:val="24"/>
          <w:szCs w:val="24"/>
        </w:rPr>
        <w:t>β-catenin antibody (1:</w:t>
      </w:r>
      <w:r w:rsidR="00E31C6B">
        <w:rPr>
          <w:rFonts w:ascii="Times New Roman" w:hAnsi="Times New Roman" w:cs="Times New Roman"/>
          <w:sz w:val="24"/>
          <w:szCs w:val="24"/>
        </w:rPr>
        <w:t>1</w:t>
      </w:r>
      <w:r w:rsidR="00E31C6B" w:rsidRPr="00E31C6B">
        <w:rPr>
          <w:rFonts w:ascii="Times New Roman" w:hAnsi="Times New Roman" w:cs="Times New Roman"/>
          <w:sz w:val="24"/>
          <w:szCs w:val="24"/>
        </w:rPr>
        <w:t xml:space="preserve">000) </w:t>
      </w:r>
      <w:r w:rsidR="00E31C6B" w:rsidRPr="00E31C6B">
        <w:rPr>
          <w:rFonts w:ascii="Times New Roman" w:hAnsi="Times New Roman" w:cs="Times New Roman"/>
          <w:sz w:val="24"/>
          <w:szCs w:val="24"/>
        </w:rPr>
        <w:lastRenderedPageBreak/>
        <w:t>(</w:t>
      </w:r>
      <w:r w:rsidR="00E31C6B">
        <w:rPr>
          <w:rFonts w:ascii="Times New Roman" w:hAnsi="Times New Roman" w:cs="Times New Roman"/>
          <w:sz w:val="24"/>
          <w:szCs w:val="24"/>
        </w:rPr>
        <w:t>NBP1-51588</w:t>
      </w:r>
      <w:r w:rsidR="00E31C6B" w:rsidRPr="00E31C6B">
        <w:rPr>
          <w:rFonts w:ascii="Times New Roman" w:hAnsi="Times New Roman" w:cs="Times New Roman"/>
          <w:sz w:val="24"/>
          <w:szCs w:val="24"/>
        </w:rPr>
        <w:t xml:space="preserve">, </w:t>
      </w:r>
      <w:r w:rsidR="00E31C6B">
        <w:rPr>
          <w:rFonts w:ascii="Times New Roman" w:hAnsi="Times New Roman" w:cs="Times New Roman"/>
          <w:sz w:val="24"/>
          <w:szCs w:val="24"/>
        </w:rPr>
        <w:t>Novus</w:t>
      </w:r>
      <w:r w:rsidR="00E31C6B" w:rsidRPr="00E31C6B">
        <w:rPr>
          <w:rFonts w:ascii="Times New Roman" w:hAnsi="Times New Roman" w:cs="Times New Roman"/>
          <w:sz w:val="24"/>
          <w:szCs w:val="24"/>
        </w:rPr>
        <w:t>)</w:t>
      </w:r>
      <w:r w:rsidR="00E31C6B">
        <w:rPr>
          <w:rFonts w:ascii="Times New Roman" w:hAnsi="Times New Roman" w:cs="Times New Roman"/>
          <w:sz w:val="24"/>
          <w:szCs w:val="24"/>
        </w:rPr>
        <w:t xml:space="preserve">, </w:t>
      </w:r>
      <w:r w:rsidRPr="00ED6F74">
        <w:rPr>
          <w:rFonts w:ascii="Times New Roman" w:hAnsi="Times New Roman" w:cs="Times New Roman"/>
          <w:sz w:val="24"/>
          <w:szCs w:val="24"/>
        </w:rPr>
        <w:t>rabbit anti-TP63 antibody (1:1000) (ab124726, Abcam),rabbit anti-GPX4 antibody (1:1000) (ab125066, Abcam), and rabbit anti-β-actin antibody (1:1000) (gtx109639, Genetex).</w:t>
      </w:r>
    </w:p>
    <w:p w14:paraId="186D28BD"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RNA extraction and PCR</w:t>
      </w:r>
    </w:p>
    <w:p w14:paraId="2EC0AC1C" w14:textId="7854CA3A" w:rsidR="00ED6F74"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 xml:space="preserve">Total RNA was extracted from the cell lines using the TRIzol reagent (Invitrogen, CA, USA). Complementary DNA was synthesized using PrimeScript™ RT Master Mix (TaKaRa, Shiga, Japan) according to the manufacturer’s instructions. For semi-quantitative reverse transcription PCR, the </w:t>
      </w:r>
      <w:r w:rsidRPr="00ED6F74">
        <w:rPr>
          <w:rFonts w:ascii="Times New Roman" w:hAnsi="Times New Roman" w:cs="Times New Roman"/>
          <w:i/>
          <w:iCs/>
          <w:sz w:val="24"/>
          <w:szCs w:val="24"/>
        </w:rPr>
        <w:t>RhoC, BCL6</w:t>
      </w:r>
      <w:r w:rsidRPr="00ED6F74">
        <w:rPr>
          <w:rFonts w:ascii="Times New Roman" w:hAnsi="Times New Roman" w:cs="Times New Roman"/>
          <w:sz w:val="24"/>
          <w:szCs w:val="24"/>
        </w:rPr>
        <w:t xml:space="preserve">, and </w:t>
      </w:r>
      <w:r w:rsidRPr="00ED6F74">
        <w:rPr>
          <w:rFonts w:ascii="Times New Roman" w:hAnsi="Times New Roman" w:cs="Times New Roman"/>
          <w:i/>
          <w:iCs/>
          <w:sz w:val="24"/>
          <w:szCs w:val="24"/>
        </w:rPr>
        <w:t>β-actin</w:t>
      </w:r>
      <w:r w:rsidRPr="00ED6F74">
        <w:rPr>
          <w:rFonts w:ascii="Times New Roman" w:hAnsi="Times New Roman" w:cs="Times New Roman"/>
          <w:sz w:val="24"/>
          <w:szCs w:val="24"/>
        </w:rPr>
        <w:t xml:space="preserve"> genes were amplified using a 2X Taq PCR master mix (Tiangen Biotech, Beijing, China) according to the manufacturer’s protocol. PCR for the </w:t>
      </w:r>
      <w:r w:rsidRPr="00ED6F74">
        <w:rPr>
          <w:rFonts w:ascii="Times New Roman" w:hAnsi="Times New Roman" w:cs="Times New Roman"/>
          <w:i/>
          <w:iCs/>
          <w:sz w:val="24"/>
          <w:szCs w:val="24"/>
        </w:rPr>
        <w:t xml:space="preserve">RhoC </w:t>
      </w:r>
      <w:r w:rsidRPr="00ED6F74">
        <w:rPr>
          <w:rFonts w:ascii="Times New Roman" w:hAnsi="Times New Roman" w:cs="Times New Roman"/>
          <w:sz w:val="24"/>
          <w:szCs w:val="24"/>
        </w:rPr>
        <w:t xml:space="preserve">gene was carried out under the following conditions: 3 min at 94 °C, 35 cycles of 30 s at 94 °C, 30 s at 53 °C, and 1 min at 72 °C, and a final 5 min at 72 °C. The PCR for </w:t>
      </w:r>
      <w:r w:rsidRPr="00ED6F74">
        <w:rPr>
          <w:rFonts w:ascii="Times New Roman" w:hAnsi="Times New Roman" w:cs="Times New Roman"/>
          <w:i/>
          <w:iCs/>
          <w:sz w:val="24"/>
          <w:szCs w:val="24"/>
        </w:rPr>
        <w:t>BCL6</w:t>
      </w:r>
      <w:r w:rsidRPr="00ED6F74">
        <w:rPr>
          <w:rFonts w:ascii="Times New Roman" w:hAnsi="Times New Roman" w:cs="Times New Roman"/>
          <w:sz w:val="24"/>
          <w:szCs w:val="24"/>
        </w:rPr>
        <w:t xml:space="preserve"> and </w:t>
      </w:r>
      <w:r w:rsidRPr="00ED6F74">
        <w:rPr>
          <w:rFonts w:ascii="Times New Roman" w:hAnsi="Times New Roman" w:cs="Times New Roman"/>
          <w:i/>
          <w:iCs/>
          <w:sz w:val="24"/>
          <w:szCs w:val="24"/>
        </w:rPr>
        <w:t>β-actin</w:t>
      </w:r>
      <w:r w:rsidRPr="00ED6F74">
        <w:rPr>
          <w:rFonts w:ascii="Times New Roman" w:hAnsi="Times New Roman" w:cs="Times New Roman"/>
          <w:sz w:val="24"/>
          <w:szCs w:val="24"/>
        </w:rPr>
        <w:t xml:space="preserve"> gene was carried out under the same conditions but at 61°C and 59°C an</w:t>
      </w:r>
      <w:bookmarkStart w:id="23" w:name="_Hlk89805404"/>
      <w:r w:rsidRPr="00ED6F74">
        <w:rPr>
          <w:rFonts w:ascii="Times New Roman" w:hAnsi="Times New Roman" w:cs="Times New Roman"/>
          <w:sz w:val="24"/>
          <w:szCs w:val="24"/>
        </w:rPr>
        <w:t xml:space="preserve">nealing </w:t>
      </w:r>
      <w:bookmarkEnd w:id="23"/>
      <w:r w:rsidRPr="00ED6F74">
        <w:rPr>
          <w:rFonts w:ascii="Times New Roman" w:hAnsi="Times New Roman" w:cs="Times New Roman"/>
          <w:sz w:val="24"/>
          <w:szCs w:val="24"/>
        </w:rPr>
        <w:t>temperatures, respectively. Primers designed and used for RhoC were 5'- AGGTCTACGTCCCTACTGTCTTTGAG-3' and 3'-GTCTTGCCTCAGGTCCTTCTTATTCC-5'. The primers used for BCL6 were 5'- GTGTGACTGCCGCTTCTCTGAG-3' and 3'- GTGGATTCGCAGGTGGCTCTTC-5'. SYBR Green PCR Master Mix (Takara, Shiga, Japan) was used for qPCR. RT-qPCR was performed as previously described. The 2</w:t>
      </w:r>
      <w:r w:rsidRPr="00ED6F74">
        <w:rPr>
          <w:rFonts w:ascii="Times New Roman" w:eastAsia="微软雅黑" w:hAnsi="Times New Roman" w:cs="Times New Roman"/>
          <w:sz w:val="24"/>
          <w:szCs w:val="24"/>
          <w:vertAlign w:val="superscript"/>
        </w:rPr>
        <w:t>−</w:t>
      </w:r>
      <w:r w:rsidRPr="00ED6F74">
        <w:rPr>
          <w:rFonts w:ascii="Times New Roman" w:hAnsi="Times New Roman" w:cs="Times New Roman"/>
          <w:sz w:val="24"/>
          <w:szCs w:val="24"/>
          <w:vertAlign w:val="superscript"/>
        </w:rPr>
        <w:t>ΔΔCT</w:t>
      </w:r>
      <w:r w:rsidRPr="00ED6F74">
        <w:rPr>
          <w:rFonts w:ascii="Times New Roman" w:hAnsi="Times New Roman" w:cs="Times New Roman"/>
          <w:sz w:val="24"/>
          <w:szCs w:val="24"/>
        </w:rPr>
        <w:t xml:space="preserve"> method was used for data analysis, and β-actin was used as the internal control. The </w:t>
      </w:r>
      <w:r w:rsidR="00715C4D">
        <w:rPr>
          <w:rFonts w:ascii="Times New Roman" w:hAnsi="Times New Roman" w:cs="Times New Roman"/>
          <w:sz w:val="24"/>
          <w:szCs w:val="24"/>
        </w:rPr>
        <w:t xml:space="preserve">rest of </w:t>
      </w:r>
      <w:r w:rsidRPr="00ED6F74">
        <w:rPr>
          <w:rFonts w:ascii="Times New Roman" w:hAnsi="Times New Roman" w:cs="Times New Roman"/>
          <w:sz w:val="24"/>
          <w:szCs w:val="24"/>
        </w:rPr>
        <w:t>primers used are listed in Supplementary Table S2.</w:t>
      </w:r>
    </w:p>
    <w:p w14:paraId="67DF0423" w14:textId="77777777" w:rsidR="000C0970" w:rsidRPr="000C0970" w:rsidRDefault="000C0970" w:rsidP="00ED6F74">
      <w:pPr>
        <w:spacing w:line="480" w:lineRule="auto"/>
        <w:ind w:firstLineChars="150" w:firstLine="360"/>
        <w:rPr>
          <w:rFonts w:ascii="Times New Roman" w:hAnsi="Times New Roman" w:cs="Times New Roman"/>
          <w:sz w:val="24"/>
          <w:szCs w:val="24"/>
        </w:rPr>
      </w:pPr>
    </w:p>
    <w:p w14:paraId="309772A8"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lastRenderedPageBreak/>
        <w:t>Plasmids, short hairpin RNA, and lentiviruses</w:t>
      </w:r>
    </w:p>
    <w:p w14:paraId="3D16719F" w14:textId="0F9AA302" w:rsidR="00ED6F74" w:rsidRPr="002031AD"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 xml:space="preserve">The expression level of RNF180 was </w:t>
      </w:r>
      <w:r w:rsidR="00925ADA">
        <w:rPr>
          <w:rFonts w:ascii="Times New Roman" w:hAnsi="Times New Roman" w:cs="Times New Roman"/>
          <w:sz w:val="24"/>
          <w:szCs w:val="24"/>
        </w:rPr>
        <w:t>overexpressed</w:t>
      </w:r>
      <w:r w:rsidRPr="00ED6F74">
        <w:rPr>
          <w:rFonts w:ascii="Times New Roman" w:hAnsi="Times New Roman" w:cs="Times New Roman"/>
          <w:sz w:val="24"/>
          <w:szCs w:val="24"/>
        </w:rPr>
        <w:t xml:space="preserve"> by the plasmid (PCMV6-AC-GFP-RNF180). RhoC was </w:t>
      </w:r>
      <w:r w:rsidR="00925ADA" w:rsidRPr="00925ADA">
        <w:rPr>
          <w:rFonts w:ascii="Times New Roman" w:hAnsi="Times New Roman" w:cs="Times New Roman"/>
          <w:sz w:val="24"/>
          <w:szCs w:val="24"/>
        </w:rPr>
        <w:t>overexpressed</w:t>
      </w:r>
      <w:r w:rsidRPr="00ED6F74">
        <w:rPr>
          <w:rFonts w:ascii="Times New Roman" w:hAnsi="Times New Roman" w:cs="Times New Roman"/>
          <w:sz w:val="24"/>
          <w:szCs w:val="24"/>
        </w:rPr>
        <w:t xml:space="preserve"> by the plasmid (PCMV6-AC-GFP-RhoC). BCL6 was </w:t>
      </w:r>
      <w:r w:rsidR="00925ADA" w:rsidRPr="00925ADA">
        <w:rPr>
          <w:rFonts w:ascii="Times New Roman" w:hAnsi="Times New Roman" w:cs="Times New Roman"/>
          <w:sz w:val="24"/>
          <w:szCs w:val="24"/>
        </w:rPr>
        <w:t>overexpressed</w:t>
      </w:r>
      <w:r w:rsidRPr="00ED6F74">
        <w:rPr>
          <w:rFonts w:ascii="Times New Roman" w:hAnsi="Times New Roman" w:cs="Times New Roman"/>
          <w:sz w:val="24"/>
          <w:szCs w:val="24"/>
        </w:rPr>
        <w:t xml:space="preserve"> by the plasmid (PLVX-BCL6). FZD7 was </w:t>
      </w:r>
      <w:r w:rsidR="00925ADA" w:rsidRPr="00925ADA">
        <w:rPr>
          <w:rFonts w:ascii="Times New Roman" w:hAnsi="Times New Roman" w:cs="Times New Roman"/>
          <w:sz w:val="24"/>
          <w:szCs w:val="24"/>
        </w:rPr>
        <w:t>overexpressed</w:t>
      </w:r>
      <w:r w:rsidRPr="00ED6F74">
        <w:rPr>
          <w:rFonts w:ascii="Times New Roman" w:hAnsi="Times New Roman" w:cs="Times New Roman"/>
          <w:sz w:val="24"/>
          <w:szCs w:val="24"/>
        </w:rPr>
        <w:t xml:space="preserve"> by the plasmid (FV249/CMV-MCS-IRES-DsRED-SV40-NeoR-FZD7). </w:t>
      </w:r>
      <w:r w:rsidR="002031AD" w:rsidRPr="002031AD">
        <w:rPr>
          <w:rFonts w:ascii="Times New Roman" w:hAnsi="Times New Roman" w:cs="Times New Roman"/>
          <w:sz w:val="24"/>
          <w:szCs w:val="24"/>
        </w:rPr>
        <w:t>FZD7 promoter luciferase reporters were</w:t>
      </w:r>
      <w:r w:rsidR="002031AD" w:rsidRPr="002031AD">
        <w:rPr>
          <w:rFonts w:ascii="Times New Roman" w:hAnsi="Times New Roman" w:cs="Times New Roman" w:hint="eastAsia"/>
          <w:sz w:val="24"/>
          <w:szCs w:val="24"/>
        </w:rPr>
        <w:t xml:space="preserve"> </w:t>
      </w:r>
      <w:r w:rsidR="002031AD" w:rsidRPr="002031AD">
        <w:rPr>
          <w:rFonts w:ascii="Times New Roman" w:hAnsi="Times New Roman" w:cs="Times New Roman"/>
          <w:sz w:val="24"/>
          <w:szCs w:val="24"/>
        </w:rPr>
        <w:t>constructed by inserting promoter fragments, PCR-amplified from</w:t>
      </w:r>
      <w:r w:rsidR="002031AD" w:rsidRPr="002031AD">
        <w:rPr>
          <w:rFonts w:ascii="Times New Roman" w:hAnsi="Times New Roman" w:cs="Times New Roman" w:hint="eastAsia"/>
          <w:sz w:val="24"/>
          <w:szCs w:val="24"/>
        </w:rPr>
        <w:t xml:space="preserve"> </w:t>
      </w:r>
      <w:r w:rsidR="002031AD" w:rsidRPr="002031AD">
        <w:rPr>
          <w:rFonts w:ascii="Times New Roman" w:hAnsi="Times New Roman" w:cs="Times New Roman"/>
          <w:sz w:val="24"/>
          <w:szCs w:val="24"/>
        </w:rPr>
        <w:t>genomic DNA, into the pGL3-Basic vector. All mutations were introduced in pGL3 luciferase plasmids, which were generated by site-directed mutagenesis using PCR.</w:t>
      </w:r>
      <w:r w:rsidR="002031AD">
        <w:rPr>
          <w:rFonts w:ascii="Times New Roman" w:hAnsi="Times New Roman" w:cs="Times New Roman"/>
          <w:sz w:val="24"/>
          <w:szCs w:val="24"/>
        </w:rPr>
        <w:t xml:space="preserve"> </w:t>
      </w:r>
      <w:r w:rsidRPr="00ED6F74">
        <w:rPr>
          <w:rFonts w:ascii="Times New Roman" w:hAnsi="Times New Roman" w:cs="Times New Roman"/>
          <w:sz w:val="24"/>
          <w:szCs w:val="24"/>
        </w:rPr>
        <w:t xml:space="preserve">TP63 was </w:t>
      </w:r>
      <w:r w:rsidR="00925ADA" w:rsidRPr="00925ADA">
        <w:rPr>
          <w:rFonts w:ascii="Times New Roman" w:hAnsi="Times New Roman" w:cs="Times New Roman"/>
          <w:sz w:val="24"/>
          <w:szCs w:val="24"/>
        </w:rPr>
        <w:t>overexpressed</w:t>
      </w:r>
      <w:r w:rsidRPr="00ED6F74">
        <w:rPr>
          <w:rFonts w:ascii="Times New Roman" w:hAnsi="Times New Roman" w:cs="Times New Roman"/>
          <w:sz w:val="24"/>
          <w:szCs w:val="24"/>
        </w:rPr>
        <w:t xml:space="preserve"> by the plasmid (PCMV6-AC-GFP-TP63). Plasmids were transfected using the Lipofectamine</w:t>
      </w:r>
      <w:r w:rsidRPr="00ED6F74">
        <w:rPr>
          <w:rFonts w:ascii="Times New Roman" w:hAnsi="Times New Roman" w:cs="Times New Roman"/>
          <w:sz w:val="24"/>
          <w:szCs w:val="24"/>
          <w:vertAlign w:val="superscript"/>
        </w:rPr>
        <w:t>TM</w:t>
      </w:r>
      <w:r w:rsidRPr="00ED6F74">
        <w:rPr>
          <w:rFonts w:ascii="Times New Roman" w:hAnsi="Times New Roman" w:cs="Times New Roman"/>
          <w:sz w:val="24"/>
          <w:szCs w:val="24"/>
        </w:rPr>
        <w:t xml:space="preserve"> 3000 transfection reagent (Invitrogen, New York, USA) and Opti-MEM (Invitrogen, New York, USA). RhoC and TP63 w</w:t>
      </w:r>
      <w:r w:rsidR="002031AD">
        <w:rPr>
          <w:rFonts w:ascii="Times New Roman" w:hAnsi="Times New Roman" w:cs="Times New Roman"/>
          <w:sz w:val="24"/>
          <w:szCs w:val="24"/>
        </w:rPr>
        <w:t>ere</w:t>
      </w:r>
      <w:r w:rsidRPr="00ED6F74">
        <w:rPr>
          <w:rFonts w:ascii="Times New Roman" w:hAnsi="Times New Roman" w:cs="Times New Roman"/>
          <w:sz w:val="24"/>
          <w:szCs w:val="24"/>
        </w:rPr>
        <w:t xml:space="preserve"> knocked down with short hairpin RNA (shRNA) obtained from Shanghai GeneChem Co. (Shanghai, China) and liposome amine 3000 was used to transfect shRNA into GC cells. Simultaneously, empty control vectors were transfected into the cells. AGS and SGC-7901 cells were infected with BCL6-overexpression or knocking down lentivirus and their control lentivirus vector obtained from KaiJi (NanJing, China). Stably expressing BCL6 cell lines were selected using puromycin treatment. Transfection or infection efficiency was determined using qPCR or western blotting.</w:t>
      </w:r>
      <w:r w:rsidR="002031AD" w:rsidRPr="002031AD">
        <w:t xml:space="preserve"> </w:t>
      </w:r>
    </w:p>
    <w:p w14:paraId="2111AB64"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Cell viability assay</w:t>
      </w:r>
    </w:p>
    <w:p w14:paraId="3DE8F1DF" w14:textId="77777777" w:rsidR="00ED6F74" w:rsidRPr="00ED6F74"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Cell viability was evaluated using the Cell Counting Kit 8 (CCK8). AGS and SGC-7901 GC cells (1×10</w:t>
      </w:r>
      <w:r w:rsidRPr="00ED6F74">
        <w:rPr>
          <w:rFonts w:ascii="Times New Roman" w:hAnsi="Times New Roman" w:cs="Times New Roman"/>
          <w:sz w:val="24"/>
          <w:szCs w:val="24"/>
          <w:vertAlign w:val="superscript"/>
        </w:rPr>
        <w:t>3</w:t>
      </w:r>
      <w:r w:rsidRPr="00ED6F74">
        <w:rPr>
          <w:rFonts w:ascii="Times New Roman" w:hAnsi="Times New Roman" w:cs="Times New Roman"/>
          <w:sz w:val="24"/>
          <w:szCs w:val="24"/>
        </w:rPr>
        <w:t xml:space="preserve">) infected with the designated lentivirus, plasmid, and/or shRNA were seeded into each well of 96-well plates. CCK8 (10 μl) was added to each well </w:t>
      </w:r>
      <w:r w:rsidRPr="00ED6F74">
        <w:rPr>
          <w:rFonts w:ascii="Times New Roman" w:hAnsi="Times New Roman" w:cs="Times New Roman"/>
          <w:sz w:val="24"/>
          <w:szCs w:val="24"/>
        </w:rPr>
        <w:lastRenderedPageBreak/>
        <w:t>once a day and incubated at 37 ℃ for 2 h. Then, the optical density at 450 nm wavelength was measured using a spectrophotometer. This assay was repeated three times.</w:t>
      </w:r>
    </w:p>
    <w:p w14:paraId="2C93C9FC"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Colony formation assay</w:t>
      </w:r>
    </w:p>
    <w:p w14:paraId="3CB89772" w14:textId="77777777" w:rsidR="00ED6F74" w:rsidRPr="00ED6F74"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The proliferative ability of GC cells was detected using a colony formation assay. First, 1 × 10</w:t>
      </w:r>
      <w:r w:rsidRPr="00ED6F74">
        <w:rPr>
          <w:rFonts w:ascii="Times New Roman" w:hAnsi="Times New Roman" w:cs="Times New Roman"/>
          <w:sz w:val="24"/>
          <w:szCs w:val="24"/>
          <w:vertAlign w:val="superscript"/>
        </w:rPr>
        <w:t>3</w:t>
      </w:r>
      <w:r w:rsidRPr="00ED6F74">
        <w:rPr>
          <w:rFonts w:ascii="Times New Roman" w:hAnsi="Times New Roman" w:cs="Times New Roman"/>
          <w:sz w:val="24"/>
          <w:szCs w:val="24"/>
        </w:rPr>
        <w:t xml:space="preserve"> AGS and SGC-7901 GC cells infected with designated lentivirus, plasmid, and/or shRNA were seeded into each well of 96-well plates and cultured at 37°C for 12–14 days. Next, the medium was changed regularly until the clones were visible to the naked eye. The cell colonies were then stained with crystal violet solution (0.005% crystal violet; 25% methanol) and further quantified. This assay was repeated three times.</w:t>
      </w:r>
    </w:p>
    <w:p w14:paraId="1096D485"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Wound healing assay</w:t>
      </w:r>
    </w:p>
    <w:p w14:paraId="0563BF92" w14:textId="77777777" w:rsidR="00ED6F74" w:rsidRPr="00ED6F74"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AGS and SGC-7901 GC cells infected with the designated lentivirus, plasmid, and/or shRNA were seeded in 6-well plates and grown to 95%–100% confluence. Next, a scratch was made with a 200 µL pipette tip, and the width of the scratch was measured as the baseline. The width of the scratches was monitored every 12 h using the QCapture Pro software. Finally, the percentage of wound healing was calculated, and the results are shown as the mean ± standard deviation. This assay was repeated three times.</w:t>
      </w:r>
    </w:p>
    <w:p w14:paraId="5EB901EE"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Transwell assay</w:t>
      </w:r>
    </w:p>
    <w:p w14:paraId="7A8BE2A5" w14:textId="77777777" w:rsidR="00ED6F74" w:rsidRPr="00ED6F74"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 xml:space="preserve">Cell invasion and migration assays were performed using 24-well Transwell plates. The cell invasion assay was performed using 24-well Matrigel invasion chambers with 8-&amp; µ-pore inserts (BD Biosciences) and pre-coated Matrigel (100 μl serum-free medium </w:t>
      </w:r>
      <w:r w:rsidRPr="00ED6F74">
        <w:rPr>
          <w:rFonts w:ascii="Times New Roman" w:hAnsi="Times New Roman" w:cs="Times New Roman"/>
          <w:sz w:val="24"/>
          <w:szCs w:val="24"/>
        </w:rPr>
        <w:lastRenderedPageBreak/>
        <w:t>and 2.6 μl Matrigel, BD Biosciences, San Jose, CA), and the migration assay was performed without pre-coated Matrigel. Next, 5 × 10</w:t>
      </w:r>
      <w:r w:rsidRPr="00ED6F74">
        <w:rPr>
          <w:rFonts w:ascii="Times New Roman" w:hAnsi="Times New Roman" w:cs="Times New Roman"/>
          <w:sz w:val="24"/>
          <w:szCs w:val="24"/>
          <w:vertAlign w:val="superscript"/>
        </w:rPr>
        <w:t>5</w:t>
      </w:r>
      <w:r w:rsidRPr="00ED6F74">
        <w:rPr>
          <w:rFonts w:ascii="Times New Roman" w:hAnsi="Times New Roman" w:cs="Times New Roman"/>
          <w:sz w:val="24"/>
          <w:szCs w:val="24"/>
        </w:rPr>
        <w:t>/ml AGS and SGC-7901 GC cells infected with designated lentivirus, plasmid, and/or shRNA in a 100 μl serum-free medium were seeded into the upper chamber, and a medium containing 20% FBS as a chemotactic agent was added into the lower chamber. After 24 h of incubation, noninvasive cells on the upper membranes were wiped out with a cotton swab. Finally, the cells in the bottom membrane of the upper chamber were fixed in methanol for 30 min and then stained with crystal violet solution for 10 min. This assay was repeated three times.</w:t>
      </w:r>
    </w:p>
    <w:p w14:paraId="6382D651" w14:textId="77777777" w:rsidR="00ED6F74" w:rsidRPr="00ED6F74" w:rsidRDefault="00ED6F74" w:rsidP="00ED6F74">
      <w:pPr>
        <w:spacing w:line="480" w:lineRule="auto"/>
        <w:rPr>
          <w:rFonts w:ascii="Times New Roman" w:hAnsi="Times New Roman" w:cs="Times New Roman"/>
          <w:b/>
          <w:bCs/>
          <w:sz w:val="24"/>
          <w:szCs w:val="24"/>
        </w:rPr>
      </w:pPr>
      <w:r w:rsidRPr="00ED6F74">
        <w:rPr>
          <w:rFonts w:ascii="Times New Roman" w:hAnsi="Times New Roman" w:cs="Times New Roman"/>
          <w:b/>
          <w:bCs/>
          <w:sz w:val="24"/>
          <w:szCs w:val="24"/>
        </w:rPr>
        <w:t>Animal experiments</w:t>
      </w:r>
    </w:p>
    <w:p w14:paraId="2D64BD5D" w14:textId="77777777" w:rsidR="00ED6F74" w:rsidRPr="00ED6F74" w:rsidRDefault="00ED6F74" w:rsidP="000C0970">
      <w:pPr>
        <w:spacing w:line="480" w:lineRule="auto"/>
        <w:rPr>
          <w:rFonts w:ascii="Times New Roman" w:hAnsi="Times New Roman" w:cs="Times New Roman"/>
          <w:sz w:val="24"/>
          <w:szCs w:val="24"/>
        </w:rPr>
      </w:pPr>
      <w:r w:rsidRPr="00ED6F74">
        <w:rPr>
          <w:rFonts w:ascii="Times New Roman" w:hAnsi="Times New Roman" w:cs="Times New Roman"/>
          <w:sz w:val="24"/>
          <w:szCs w:val="24"/>
        </w:rPr>
        <w:t>To explore the effect of BCL6 on GC cell proliferation in vivo, a tumor xenograft model was established in nude mice. Female BALB/c nude mice (4-week-old) were purchased from SPF Biotechnology (Beijing, China). Animal experiments were approved by the Animal Experimentation Ethics Committee of the Tianjin Medical University Cancer Institute. AGS cells [6 × 10</w:t>
      </w:r>
      <w:r w:rsidRPr="00ED6F74">
        <w:rPr>
          <w:rFonts w:ascii="Times New Roman" w:hAnsi="Times New Roman" w:cs="Times New Roman"/>
          <w:sz w:val="24"/>
          <w:szCs w:val="24"/>
          <w:vertAlign w:val="superscript"/>
        </w:rPr>
        <w:t>7</w:t>
      </w:r>
      <w:bookmarkStart w:id="24" w:name="OLE_LINK49"/>
      <w:bookmarkStart w:id="25" w:name="OLE_LINK50"/>
      <w:r w:rsidRPr="00ED6F74">
        <w:rPr>
          <w:rFonts w:ascii="Times New Roman" w:hAnsi="Times New Roman" w:cs="Times New Roman"/>
          <w:sz w:val="24"/>
          <w:szCs w:val="24"/>
        </w:rPr>
        <w:t>/</w:t>
      </w:r>
      <w:bookmarkStart w:id="26" w:name="OLE_LINK47"/>
      <w:bookmarkStart w:id="27" w:name="OLE_LINK48"/>
      <w:r w:rsidRPr="00ED6F74">
        <w:rPr>
          <w:rFonts w:ascii="Times New Roman" w:hAnsi="Times New Roman" w:cs="Times New Roman"/>
          <w:sz w:val="24"/>
          <w:szCs w:val="24"/>
        </w:rPr>
        <w:t>ml</w:t>
      </w:r>
      <w:bookmarkEnd w:id="24"/>
      <w:bookmarkEnd w:id="25"/>
      <w:bookmarkEnd w:id="26"/>
      <w:bookmarkEnd w:id="27"/>
      <w:r w:rsidRPr="00ED6F74">
        <w:rPr>
          <w:rFonts w:ascii="Times New Roman" w:hAnsi="Times New Roman" w:cs="Times New Roman"/>
          <w:sz w:val="24"/>
          <w:szCs w:val="24"/>
        </w:rPr>
        <w:t>, 0.1 ml (50% Matrigel)/mouse, N=8] and SGC-7901 cells (1 × 10</w:t>
      </w:r>
      <w:r w:rsidRPr="00ED6F74">
        <w:rPr>
          <w:rFonts w:ascii="Times New Roman" w:hAnsi="Times New Roman" w:cs="Times New Roman"/>
          <w:sz w:val="24"/>
          <w:szCs w:val="24"/>
          <w:vertAlign w:val="superscript"/>
        </w:rPr>
        <w:t>7</w:t>
      </w:r>
      <w:r w:rsidRPr="00ED6F74">
        <w:rPr>
          <w:rFonts w:ascii="Times New Roman" w:hAnsi="Times New Roman" w:cs="Times New Roman"/>
          <w:sz w:val="24"/>
          <w:szCs w:val="24"/>
        </w:rPr>
        <w:t>/ml, 0.1 ml/mouse, N=6) stably overexpressing BCL6 and the control lentivirus were injected subcutaneously into the dorsal flanks of 4-week-old female BALB/c nude mice, and tumor growth was monitored regularly. The length (L) and width (W) of the tumor were measured after 22 days, and the tumor volume was calculated as 0.5 × L × W</w:t>
      </w:r>
      <w:r w:rsidRPr="00ED6F74">
        <w:rPr>
          <w:rFonts w:ascii="Times New Roman" w:hAnsi="Times New Roman" w:cs="Times New Roman"/>
          <w:sz w:val="24"/>
          <w:szCs w:val="24"/>
          <w:vertAlign w:val="superscript"/>
        </w:rPr>
        <w:t>2</w:t>
      </w:r>
      <w:r w:rsidRPr="00ED6F74">
        <w:rPr>
          <w:rFonts w:ascii="Times New Roman" w:hAnsi="Times New Roman" w:cs="Times New Roman"/>
          <w:sz w:val="24"/>
          <w:szCs w:val="24"/>
        </w:rPr>
        <w:t>. To investigate the effect of BCL6 on the intraperitoneal dissemination of GC cells, SGC-7901 cells overexpressing BCL6 and control lentivirus (1 × 10</w:t>
      </w:r>
      <w:r w:rsidRPr="00ED6F74">
        <w:rPr>
          <w:rFonts w:ascii="Times New Roman" w:hAnsi="Times New Roman" w:cs="Times New Roman"/>
          <w:sz w:val="24"/>
          <w:szCs w:val="24"/>
          <w:vertAlign w:val="superscript"/>
        </w:rPr>
        <w:t>7</w:t>
      </w:r>
      <w:r w:rsidRPr="00ED6F74">
        <w:rPr>
          <w:rFonts w:ascii="Times New Roman" w:hAnsi="Times New Roman" w:cs="Times New Roman"/>
          <w:sz w:val="24"/>
          <w:szCs w:val="24"/>
        </w:rPr>
        <w:t xml:space="preserve">/ml, 0.1 ml/mouse, N=12) were injected intraperitoneally into 4-week-old </w:t>
      </w:r>
      <w:r w:rsidRPr="00ED6F74">
        <w:rPr>
          <w:rFonts w:ascii="Times New Roman" w:hAnsi="Times New Roman" w:cs="Times New Roman"/>
          <w:sz w:val="24"/>
          <w:szCs w:val="24"/>
        </w:rPr>
        <w:lastRenderedPageBreak/>
        <w:t>female BALB/c nude mice. Eight weeks after inoculation, the mice were sacrificed and dissected to evaluate peritoneal dissemination, and the weight and number of cancer foci with peritoneal dissemination were determined.</w:t>
      </w:r>
    </w:p>
    <w:p w14:paraId="6C3B7F73" w14:textId="77777777" w:rsidR="00FB2D03" w:rsidRPr="00ED6F74" w:rsidRDefault="00FB2D03" w:rsidP="00ED6F74">
      <w:pPr>
        <w:spacing w:line="480" w:lineRule="auto"/>
        <w:rPr>
          <w:rFonts w:ascii="Times New Roman" w:hAnsi="Times New Roman" w:cs="Times New Roman"/>
        </w:rPr>
      </w:pPr>
    </w:p>
    <w:sectPr w:rsidR="00FB2D03" w:rsidRPr="00ED6F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FD1D63" w14:textId="77777777" w:rsidR="008C05A9" w:rsidRDefault="008C05A9" w:rsidP="00ED6F74">
      <w:r>
        <w:separator/>
      </w:r>
    </w:p>
  </w:endnote>
  <w:endnote w:type="continuationSeparator" w:id="0">
    <w:p w14:paraId="70FD3827" w14:textId="77777777" w:rsidR="008C05A9" w:rsidRDefault="008C05A9" w:rsidP="00ED6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E5A9D6" w14:textId="77777777" w:rsidR="008C05A9" w:rsidRDefault="008C05A9" w:rsidP="00ED6F74">
      <w:r>
        <w:separator/>
      </w:r>
    </w:p>
  </w:footnote>
  <w:footnote w:type="continuationSeparator" w:id="0">
    <w:p w14:paraId="04EBDBA0" w14:textId="77777777" w:rsidR="008C05A9" w:rsidRDefault="008C05A9" w:rsidP="00ED6F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6AC"/>
    <w:rsid w:val="000C0970"/>
    <w:rsid w:val="000E0114"/>
    <w:rsid w:val="000F7D09"/>
    <w:rsid w:val="0018388D"/>
    <w:rsid w:val="002031AD"/>
    <w:rsid w:val="00480711"/>
    <w:rsid w:val="00532545"/>
    <w:rsid w:val="00534374"/>
    <w:rsid w:val="0060552B"/>
    <w:rsid w:val="00625D2A"/>
    <w:rsid w:val="00715C4D"/>
    <w:rsid w:val="00825B62"/>
    <w:rsid w:val="008C05A9"/>
    <w:rsid w:val="00925ADA"/>
    <w:rsid w:val="009416AC"/>
    <w:rsid w:val="00991CC4"/>
    <w:rsid w:val="00B8300C"/>
    <w:rsid w:val="00D12469"/>
    <w:rsid w:val="00DA6B28"/>
    <w:rsid w:val="00E31C6B"/>
    <w:rsid w:val="00ED6F74"/>
    <w:rsid w:val="00FB2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609981"/>
  <w15:chartTrackingRefBased/>
  <w15:docId w15:val="{FC89311E-90F2-419E-A5A6-B5405E06E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6F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6F74"/>
    <w:rPr>
      <w:sz w:val="18"/>
      <w:szCs w:val="18"/>
    </w:rPr>
  </w:style>
  <w:style w:type="paragraph" w:styleId="a5">
    <w:name w:val="footer"/>
    <w:basedOn w:val="a"/>
    <w:link w:val="a6"/>
    <w:uiPriority w:val="99"/>
    <w:unhideWhenUsed/>
    <w:rsid w:val="00ED6F74"/>
    <w:pPr>
      <w:tabs>
        <w:tab w:val="center" w:pos="4153"/>
        <w:tab w:val="right" w:pos="8306"/>
      </w:tabs>
      <w:snapToGrid w:val="0"/>
      <w:jc w:val="left"/>
    </w:pPr>
    <w:rPr>
      <w:sz w:val="18"/>
      <w:szCs w:val="18"/>
    </w:rPr>
  </w:style>
  <w:style w:type="character" w:customStyle="1" w:styleId="a6">
    <w:name w:val="页脚 字符"/>
    <w:basedOn w:val="a0"/>
    <w:link w:val="a5"/>
    <w:uiPriority w:val="99"/>
    <w:rsid w:val="00ED6F74"/>
    <w:rPr>
      <w:sz w:val="18"/>
      <w:szCs w:val="18"/>
    </w:rPr>
  </w:style>
  <w:style w:type="character" w:styleId="a7">
    <w:name w:val="Hyperlink"/>
    <w:basedOn w:val="a0"/>
    <w:uiPriority w:val="99"/>
    <w:unhideWhenUsed/>
    <w:rsid w:val="00ED6F74"/>
    <w:rPr>
      <w:color w:val="0563C1" w:themeColor="hyperlink"/>
      <w:u w:val="single"/>
    </w:rPr>
  </w:style>
  <w:style w:type="character" w:styleId="a8">
    <w:name w:val="Unresolved Mention"/>
    <w:basedOn w:val="a0"/>
    <w:uiPriority w:val="99"/>
    <w:semiHidden/>
    <w:unhideWhenUsed/>
    <w:rsid w:val="00ED6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ellsignal.cn/products/primary-antibodies/bcl6-d4i2v-xp-rabbit-mab/14895?site-search-type=Products&amp;N=4294956287&amp;Ntt=bcl6&amp;fromPage=plp"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1220</Words>
  <Characters>6959</Characters>
  <Application>Microsoft Office Word</Application>
  <DocSecurity>0</DocSecurity>
  <Lines>57</Lines>
  <Paragraphs>16</Paragraphs>
  <ScaleCrop>false</ScaleCrop>
  <Company/>
  <LinksUpToDate>false</LinksUpToDate>
  <CharactersWithSpaces>8163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Spectrum</dc:creator>
  <cp:keywords/>
  <dc:description/>
  <cp:lastModifiedBy>Spectrum</cp:lastModifiedBy>
  <cp:revision>11</cp:revision>
  <dcterms:created xsi:type="dcterms:W3CDTF">2022-08-19T14:43:00Z</dcterms:created>
  <dcterms:modified xsi:type="dcterms:W3CDTF">2022-10-30T12:12:00Z</dcterms:modified>
</cp:coreProperties>
</file>