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1AB5D2" w14:textId="77777777" w:rsidR="009B262D" w:rsidRPr="00E671EF" w:rsidRDefault="009B262D" w:rsidP="009B262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Appendix:</w: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5A0B85E4" wp14:editId="071C62A2">
            <wp:extent cx="5935345" cy="3335655"/>
            <wp:effectExtent l="0" t="0" r="825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345" cy="3335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BE2556" w14:textId="77777777" w:rsidR="009B262D" w:rsidRDefault="009B262D" w:rsidP="009B262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2B6279">
        <w:rPr>
          <w:rFonts w:ascii="Times New Roman" w:hAnsi="Times New Roman" w:cs="Times New Roman"/>
          <w:b/>
          <w:bCs/>
          <w:sz w:val="24"/>
          <w:szCs w:val="24"/>
        </w:rPr>
        <w:t>Supplemental Figure 1</w:t>
      </w:r>
      <w:r w:rsidRPr="002B6279">
        <w:rPr>
          <w:rFonts w:ascii="Times New Roman" w:hAnsi="Times New Roman" w:cs="Times New Roman"/>
          <w:sz w:val="24"/>
          <w:szCs w:val="24"/>
        </w:rPr>
        <w:t>: Fishbone diagram of cause and effect of the quality improvement process which identifies current problems contributing to delayed IMDC treatment and resulting in unfavorable patient outcomes.</w:t>
      </w:r>
    </w:p>
    <w:p w14:paraId="5AAB2B3C" w14:textId="77777777" w:rsidR="009B262D" w:rsidRPr="002B6279" w:rsidRDefault="009B262D" w:rsidP="009B262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7009C6B" wp14:editId="1D7D9E39">
            <wp:extent cx="5935345" cy="3335655"/>
            <wp:effectExtent l="0" t="0" r="825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345" cy="3335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A67236" w14:textId="77777777" w:rsidR="009B262D" w:rsidRPr="002B6279" w:rsidRDefault="009B262D" w:rsidP="009B262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2B6279">
        <w:rPr>
          <w:rFonts w:ascii="Times New Roman" w:hAnsi="Times New Roman" w:cs="Times New Roman"/>
          <w:b/>
          <w:bCs/>
          <w:sz w:val="24"/>
          <w:szCs w:val="24"/>
        </w:rPr>
        <w:t>Supplemental Figure 2</w:t>
      </w:r>
      <w:r w:rsidRPr="002B6279">
        <w:rPr>
          <w:rFonts w:ascii="Times New Roman" w:hAnsi="Times New Roman" w:cs="Times New Roman"/>
          <w:sz w:val="24"/>
          <w:szCs w:val="24"/>
        </w:rPr>
        <w:t>: Patient selection flow chart of patients admitted with IMDC symptoms and included in the study after confirming presence of grade ≥2 IMDC per CTCAE guidelines.</w:t>
      </w:r>
    </w:p>
    <w:p w14:paraId="53788484" w14:textId="77777777" w:rsidR="009B262D" w:rsidRPr="002B6279" w:rsidRDefault="009B262D" w:rsidP="009B262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180A261" w14:textId="77777777" w:rsidR="009B262D" w:rsidRPr="002B6279" w:rsidRDefault="009B262D" w:rsidP="009B262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EE248B1" w14:textId="77777777" w:rsidR="009B262D" w:rsidRPr="002B6279" w:rsidRDefault="009B262D" w:rsidP="009B262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0E5B99E" w14:textId="77777777" w:rsidR="00755780" w:rsidRDefault="00755780"/>
    <w:sectPr w:rsidR="00755780" w:rsidSect="001D0B02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67295177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3D60F20" w14:textId="77777777" w:rsidR="00EA5EF6" w:rsidRDefault="009B262D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rPr>
            <w:noProof/>
          </w:rPr>
          <w:t xml:space="preserve"> </w:t>
        </w:r>
        <w:r>
          <w:rPr>
            <w:noProof/>
          </w:rPr>
          <w:tab/>
        </w:r>
      </w:p>
    </w:sdtContent>
  </w:sdt>
  <w:p w14:paraId="560F30AA" w14:textId="77777777" w:rsidR="00EA5EF6" w:rsidRPr="00205DE3" w:rsidRDefault="009B262D">
    <w:pPr>
      <w:pStyle w:val="Footer"/>
      <w:rPr>
        <w:rFonts w:ascii="Times New Roman" w:hAnsi="Times New Roman" w:cs="Times New Roman"/>
        <w:sz w:val="18"/>
        <w:szCs w:val="18"/>
      </w:rPr>
    </w:pPr>
    <w:r w:rsidRPr="00205DE3">
      <w:rPr>
        <w:rFonts w:ascii="Times New Roman" w:hAnsi="Times New Roman" w:cs="Times New Roman"/>
        <w:sz w:val="18"/>
        <w:szCs w:val="18"/>
      </w:rPr>
      <w:t xml:space="preserve">Footnotes: 1) The Common Terminology of Clinical Adverse Events (CTCAE) is a standardized clinical tool for grading the severity of irAEs including GI side effects such as colitis and diarrhea that can be found at </w:t>
    </w:r>
    <w:r w:rsidRPr="00205DE3">
      <w:rPr>
        <w:rFonts w:ascii="Times New Roman" w:hAnsi="Times New Roman" w:cs="Times New Roman"/>
        <w:sz w:val="18"/>
        <w:szCs w:val="18"/>
      </w:rPr>
      <w:t>https://ctep.cancer.gov/protocoldevelopmen</w:t>
    </w:r>
    <w:r w:rsidRPr="00205DE3">
      <w:rPr>
        <w:rFonts w:ascii="Times New Roman" w:hAnsi="Times New Roman" w:cs="Times New Roman"/>
        <w:sz w:val="18"/>
        <w:szCs w:val="18"/>
      </w:rPr>
      <w:t>t/electronic_applications/ctc.htm#ctc_50</w:t>
    </w:r>
    <w:r w:rsidRPr="00205DE3">
      <w:rPr>
        <w:rFonts w:ascii="Times New Roman" w:hAnsi="Times New Roman" w:cs="Times New Roman"/>
        <w:sz w:val="18"/>
        <w:szCs w:val="18"/>
      </w:rPr>
      <w:t>.</w:t>
    </w:r>
  </w:p>
  <w:p w14:paraId="1FCAD522" w14:textId="77777777" w:rsidR="00205DE3" w:rsidRPr="00205DE3" w:rsidRDefault="009B262D">
    <w:pPr>
      <w:pStyle w:val="Footer"/>
      <w:rPr>
        <w:rFonts w:ascii="Times New Roman" w:hAnsi="Times New Roman" w:cs="Times New Roman"/>
        <w:sz w:val="18"/>
        <w:szCs w:val="18"/>
      </w:rPr>
    </w:pPr>
    <w:r w:rsidRPr="00205DE3">
      <w:rPr>
        <w:rFonts w:ascii="Times New Roman" w:hAnsi="Times New Roman" w:cs="Times New Roman"/>
        <w:sz w:val="18"/>
        <w:szCs w:val="18"/>
      </w:rPr>
      <w:t>2) The MD Anderson algorithm for evaluation and management of suspected IMDC can be accessed at https://www.mdanderson.org/content/dam/mdanderson/documents/for-physicians/algorithms/clinical-management/clin-managem</w:t>
    </w:r>
    <w:r w:rsidRPr="00205DE3">
      <w:rPr>
        <w:rFonts w:ascii="Times New Roman" w:hAnsi="Times New Roman" w:cs="Times New Roman"/>
        <w:sz w:val="18"/>
        <w:szCs w:val="18"/>
      </w:rPr>
      <w:t>ent-immune-mediated-colitis-web-algorithm.pdf</w:t>
    </w:r>
    <w:r w:rsidRPr="00205DE3">
      <w:rPr>
        <w:rFonts w:ascii="Times New Roman" w:hAnsi="Times New Roman" w:cs="Times New Roman"/>
        <w:sz w:val="14"/>
        <w:szCs w:val="14"/>
      </w:rPr>
      <w:t xml:space="preserve"> 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2BB304" w14:textId="77777777" w:rsidR="00D30366" w:rsidRDefault="009B262D">
    <w:pPr>
      <w:pStyle w:val="Header"/>
    </w:pPr>
    <w:r>
      <w:t>Implement</w:t>
    </w:r>
    <w:r>
      <w:t>ing</w:t>
    </w:r>
    <w:r>
      <w:t xml:space="preserve"> a Focused IOTOX GI Service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62D"/>
    <w:rsid w:val="00755780"/>
    <w:rsid w:val="009B2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A660DE"/>
  <w15:chartTrackingRefBased/>
  <w15:docId w15:val="{DE6524D7-2323-4A05-962B-52F3538CE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26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B26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262D"/>
  </w:style>
  <w:style w:type="paragraph" w:styleId="Footer">
    <w:name w:val="footer"/>
    <w:basedOn w:val="Normal"/>
    <w:link w:val="FooterChar"/>
    <w:uiPriority w:val="99"/>
    <w:unhideWhenUsed/>
    <w:rsid w:val="009B26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26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</Words>
  <Characters>354</Characters>
  <Application>Microsoft Office Word</Application>
  <DocSecurity>0</DocSecurity>
  <Lines>2</Lines>
  <Paragraphs>1</Paragraphs>
  <ScaleCrop>false</ScaleCrop>
  <Company>Springer Nature</Company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2022-11-02T09:56:00Z</dcterms:created>
  <dcterms:modified xsi:type="dcterms:W3CDTF">2022-11-02T09:56:00Z</dcterms:modified>
</cp:coreProperties>
</file>