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570"/>
        <w:gridCol w:w="2549"/>
        <w:gridCol w:w="4625"/>
      </w:tblGrid>
      <w:tr w:rsidR="007A44AA" w:rsidRPr="00F96BFF" w14:paraId="6AA4DA05" w14:textId="77777777" w:rsidTr="005042C5">
        <w:tc>
          <w:tcPr>
            <w:tcW w:w="0" w:type="auto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14:paraId="536F29D6" w14:textId="20979D34" w:rsidR="007A44AA" w:rsidRPr="00F96BFF" w:rsidRDefault="006D5160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Table </w:t>
            </w:r>
            <w:r w:rsidR="000F5A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96B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A44AA" w:rsidRPr="00F96B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Details of radiomic features included.</w:t>
            </w:r>
          </w:p>
        </w:tc>
      </w:tr>
      <w:tr w:rsidR="007A44AA" w:rsidRPr="00F96BFF" w14:paraId="0183AEEE" w14:textId="77777777" w:rsidTr="005042C5">
        <w:trPr>
          <w:trHeight w:val="397"/>
        </w:trPr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B6367A3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  <w:t>Type</w:t>
            </w:r>
          </w:p>
        </w:tc>
        <w:tc>
          <w:tcPr>
            <w:tcW w:w="57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F8BDECA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  <w:t>No.</w:t>
            </w:r>
          </w:p>
        </w:tc>
        <w:tc>
          <w:tcPr>
            <w:tcW w:w="254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3EEA78D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  <w:t>Feature Nomenclature</w:t>
            </w:r>
          </w:p>
        </w:tc>
        <w:tc>
          <w:tcPr>
            <w:tcW w:w="46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9EA098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CFCFC"/>
              </w:rPr>
              <w:t>Description</w:t>
            </w:r>
          </w:p>
        </w:tc>
      </w:tr>
      <w:tr w:rsidR="007A44AA" w:rsidRPr="00F96BFF" w14:paraId="3BDA82D1" w14:textId="77777777" w:rsidTr="00121A0F">
        <w:trPr>
          <w:trHeight w:val="1134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3DA8D6B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First Order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62701B1C" w14:textId="77777777" w:rsidR="007A44AA" w:rsidRPr="00F96BFF" w:rsidRDefault="007A44AA" w:rsidP="00121A0F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1</w:t>
            </w:r>
          </w:p>
        </w:tc>
        <w:tc>
          <w:tcPr>
            <w:tcW w:w="2549" w:type="dxa"/>
            <w:tcBorders>
              <w:top w:val="single" w:sz="4" w:space="0" w:color="auto"/>
              <w:bottom w:val="nil"/>
            </w:tcBorders>
            <w:vAlign w:val="center"/>
          </w:tcPr>
          <w:p w14:paraId="01CCF354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Energy</w:t>
            </w:r>
          </w:p>
        </w:tc>
        <w:tc>
          <w:tcPr>
            <w:tcW w:w="4625" w:type="dxa"/>
            <w:tcBorders>
              <w:top w:val="single" w:sz="4" w:space="0" w:color="auto"/>
              <w:bottom w:val="nil"/>
            </w:tcBorders>
            <w:vAlign w:val="center"/>
          </w:tcPr>
          <w:p w14:paraId="2E9F99C2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A measure of the magnitude of voxel values in an image. A bigger value implies larger sum of the squares of voxel values.</w:t>
            </w:r>
          </w:p>
        </w:tc>
      </w:tr>
      <w:tr w:rsidR="00F96BFF" w:rsidRPr="00F96BFF" w14:paraId="4E8AA967" w14:textId="77777777" w:rsidTr="00121A0F">
        <w:trPr>
          <w:trHeight w:val="850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14:paraId="48D96684" w14:textId="77777777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73EA095" w14:textId="5C9AF520" w:rsidR="00F96BFF" w:rsidRPr="00F96BFF" w:rsidRDefault="00F96BFF" w:rsidP="00121A0F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49" w:type="dxa"/>
            <w:tcBorders>
              <w:top w:val="nil"/>
              <w:bottom w:val="nil"/>
            </w:tcBorders>
            <w:vAlign w:val="center"/>
          </w:tcPr>
          <w:p w14:paraId="18A34AAC" w14:textId="5E5224B4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90 Percentile</w:t>
            </w:r>
          </w:p>
        </w:tc>
        <w:tc>
          <w:tcPr>
            <w:tcW w:w="4625" w:type="dxa"/>
            <w:tcBorders>
              <w:top w:val="nil"/>
              <w:bottom w:val="nil"/>
            </w:tcBorders>
            <w:vAlign w:val="center"/>
          </w:tcPr>
          <w:p w14:paraId="4B747A75" w14:textId="15A72988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The 90th percentile of gray level intensity within ROI.</w:t>
            </w:r>
          </w:p>
        </w:tc>
      </w:tr>
      <w:tr w:rsidR="007A44AA" w:rsidRPr="00F96BFF" w14:paraId="5DAE0808" w14:textId="77777777" w:rsidTr="00121A0F">
        <w:trPr>
          <w:trHeight w:val="1134"/>
        </w:trPr>
        <w:tc>
          <w:tcPr>
            <w:tcW w:w="0" w:type="auto"/>
            <w:vMerge w:val="restart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29C88E4A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GLSZM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0E0781DB" w14:textId="77777777" w:rsidR="007A44AA" w:rsidRPr="00F96BFF" w:rsidRDefault="007A44AA" w:rsidP="00121A0F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2</w:t>
            </w:r>
          </w:p>
        </w:tc>
        <w:tc>
          <w:tcPr>
            <w:tcW w:w="2549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510D6149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Size Zone Non-Uniformity</w:t>
            </w:r>
          </w:p>
        </w:tc>
        <w:tc>
          <w:tcPr>
            <w:tcW w:w="4625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095A063D" w14:textId="77777777" w:rsidR="007A44AA" w:rsidRPr="00F96BFF" w:rsidRDefault="007A44AA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The variability of size zone volumes in the image. A lower value indicates more homogeneity in size zone volumes.</w:t>
            </w:r>
          </w:p>
        </w:tc>
      </w:tr>
      <w:tr w:rsidR="00F96BFF" w:rsidRPr="00F96BFF" w14:paraId="1673A7CE" w14:textId="77777777" w:rsidTr="00121A0F">
        <w:trPr>
          <w:trHeight w:val="850"/>
        </w:trPr>
        <w:tc>
          <w:tcPr>
            <w:tcW w:w="0" w:type="auto"/>
            <w:vMerge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78770BBF" w14:textId="77777777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0A0A8D5C" w14:textId="79C131E7" w:rsidR="00F96BFF" w:rsidRPr="00F96BFF" w:rsidRDefault="00F96BFF" w:rsidP="00121A0F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49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51DDB659" w14:textId="5615D15A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Gray Level Variance</w:t>
            </w:r>
          </w:p>
        </w:tc>
        <w:tc>
          <w:tcPr>
            <w:tcW w:w="4625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41A94973" w14:textId="7FA23C64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The variance in gray level intensities for the zones.</w:t>
            </w:r>
          </w:p>
        </w:tc>
      </w:tr>
      <w:tr w:rsidR="00F96BFF" w:rsidRPr="00F96BFF" w14:paraId="75E68AB3" w14:textId="77777777" w:rsidTr="00121A0F">
        <w:trPr>
          <w:trHeight w:val="1134"/>
        </w:trPr>
        <w:tc>
          <w:tcPr>
            <w:tcW w:w="0" w:type="auto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6DF95A4E" w14:textId="77777777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GLCM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120A65B0" w14:textId="77777777" w:rsidR="00F96BFF" w:rsidRPr="00F96BFF" w:rsidRDefault="00F96BFF" w:rsidP="00121A0F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3</w:t>
            </w:r>
          </w:p>
        </w:tc>
        <w:tc>
          <w:tcPr>
            <w:tcW w:w="2549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33EBD473" w14:textId="0A2A89E9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Cluster Shade</w:t>
            </w:r>
          </w:p>
        </w:tc>
        <w:tc>
          <w:tcPr>
            <w:tcW w:w="4625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79420C80" w14:textId="2A557A97" w:rsidR="00F96BFF" w:rsidRPr="00F96BFF" w:rsidRDefault="00F96BFF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 xml:space="preserve">A measure of the skewness and uniformity of the GLCM. A higher cluster shade implies greater asymmetry </w:t>
            </w:r>
            <w:r w:rsidR="00121A0F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 xml:space="preserve"> the mean.</w:t>
            </w:r>
          </w:p>
        </w:tc>
      </w:tr>
      <w:tr w:rsidR="005042C5" w:rsidRPr="00F96BFF" w14:paraId="4FE4F943" w14:textId="77777777" w:rsidTr="00121A0F">
        <w:trPr>
          <w:trHeight w:val="1701"/>
        </w:trPr>
        <w:tc>
          <w:tcPr>
            <w:tcW w:w="0" w:type="auto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0D095672" w14:textId="14A0566B" w:rsidR="005042C5" w:rsidRPr="00F96BFF" w:rsidRDefault="005042C5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NGTDM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3A461CC5" w14:textId="662010E6" w:rsidR="005042C5" w:rsidRPr="00F96BFF" w:rsidRDefault="005042C5" w:rsidP="00121A0F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49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2ECA84BD" w14:textId="77353313" w:rsidR="005042C5" w:rsidRPr="00F96BFF" w:rsidRDefault="005042C5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Coarseness</w:t>
            </w:r>
          </w:p>
        </w:tc>
        <w:tc>
          <w:tcPr>
            <w:tcW w:w="4625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14:paraId="2A5311F7" w14:textId="4EF552D7" w:rsidR="005042C5" w:rsidRPr="00F96BFF" w:rsidRDefault="005042C5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</w:rPr>
              <w:t>A measure of average difference between the center voxel and its neighborhood. It is an indication of the spatial rate of change. A higher value indicates a lower spatial change rate and a locally more uniform texture.</w:t>
            </w:r>
          </w:p>
        </w:tc>
      </w:tr>
      <w:tr w:rsidR="005042C5" w:rsidRPr="00F96BFF" w14:paraId="067ED888" w14:textId="77777777" w:rsidTr="00121A0F">
        <w:trPr>
          <w:trHeight w:val="850"/>
        </w:trPr>
        <w:tc>
          <w:tcPr>
            <w:tcW w:w="0" w:type="auto"/>
            <w:tcBorders>
              <w:top w:val="single" w:sz="4" w:space="0" w:color="7F7F7F" w:themeColor="text1" w:themeTint="80"/>
            </w:tcBorders>
            <w:vAlign w:val="center"/>
          </w:tcPr>
          <w:p w14:paraId="6D574769" w14:textId="57CC208D" w:rsidR="005042C5" w:rsidRPr="00F96BFF" w:rsidRDefault="005042C5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GLDM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</w:tcBorders>
            <w:vAlign w:val="center"/>
          </w:tcPr>
          <w:p w14:paraId="485B6867" w14:textId="4D09AEB1" w:rsidR="005042C5" w:rsidRPr="00F96BFF" w:rsidRDefault="005042C5" w:rsidP="00121A0F">
            <w:pPr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7</w:t>
            </w:r>
          </w:p>
        </w:tc>
        <w:tc>
          <w:tcPr>
            <w:tcW w:w="2549" w:type="dxa"/>
            <w:tcBorders>
              <w:top w:val="single" w:sz="4" w:space="0" w:color="7F7F7F" w:themeColor="text1" w:themeTint="80"/>
            </w:tcBorders>
            <w:vAlign w:val="center"/>
          </w:tcPr>
          <w:p w14:paraId="75C10890" w14:textId="077FA49B" w:rsidR="005042C5" w:rsidRPr="00F96BFF" w:rsidRDefault="005042C5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Large Dependence Low Gray Level Emphasis</w:t>
            </w:r>
          </w:p>
        </w:tc>
        <w:tc>
          <w:tcPr>
            <w:tcW w:w="4625" w:type="dxa"/>
            <w:tcBorders>
              <w:top w:val="single" w:sz="4" w:space="0" w:color="7F7F7F" w:themeColor="text1" w:themeTint="80"/>
            </w:tcBorders>
            <w:vAlign w:val="center"/>
          </w:tcPr>
          <w:p w14:paraId="097271A7" w14:textId="46DA7BCA" w:rsidR="005042C5" w:rsidRPr="00F96BFF" w:rsidRDefault="005042C5" w:rsidP="005042C5">
            <w:pPr>
              <w:spacing w:before="100" w:beforeAutospacing="1" w:after="100" w:afterAutospacing="1"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6BFF">
              <w:rPr>
                <w:rFonts w:ascii="Times New Roman" w:hAnsi="Times New Roman" w:cs="Times New Roman"/>
                <w:sz w:val="24"/>
                <w:szCs w:val="24"/>
                <w:shd w:val="clear" w:color="auto" w:fill="FCFCFC"/>
              </w:rPr>
              <w:t>A measure of the joint distribution of large dependence with lower gray-level values.</w:t>
            </w:r>
          </w:p>
        </w:tc>
      </w:tr>
    </w:tbl>
    <w:p w14:paraId="5ECF25E1" w14:textId="77777777" w:rsidR="003A149D" w:rsidRPr="00415E59" w:rsidRDefault="003A149D" w:rsidP="005042C5">
      <w:pPr>
        <w:spacing w:line="276" w:lineRule="auto"/>
      </w:pPr>
    </w:p>
    <w:sectPr w:rsidR="003A149D" w:rsidRPr="00415E59" w:rsidSect="00A86BF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2EFF" w:usb1="D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doNotDisplayPageBoundaries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4AA"/>
    <w:rsid w:val="00012A7A"/>
    <w:rsid w:val="00051F74"/>
    <w:rsid w:val="00071633"/>
    <w:rsid w:val="000B5DD0"/>
    <w:rsid w:val="000F4094"/>
    <w:rsid w:val="000F5A55"/>
    <w:rsid w:val="00121A0F"/>
    <w:rsid w:val="00122536"/>
    <w:rsid w:val="001931C1"/>
    <w:rsid w:val="00194E27"/>
    <w:rsid w:val="001B75A2"/>
    <w:rsid w:val="001C7879"/>
    <w:rsid w:val="001D5AC2"/>
    <w:rsid w:val="00232386"/>
    <w:rsid w:val="00252142"/>
    <w:rsid w:val="00256DC9"/>
    <w:rsid w:val="00292F16"/>
    <w:rsid w:val="002B6DF0"/>
    <w:rsid w:val="002C66F8"/>
    <w:rsid w:val="002D2DA2"/>
    <w:rsid w:val="003360E8"/>
    <w:rsid w:val="003A149D"/>
    <w:rsid w:val="003C30BB"/>
    <w:rsid w:val="003D6F73"/>
    <w:rsid w:val="003E3A5F"/>
    <w:rsid w:val="00415E59"/>
    <w:rsid w:val="00443147"/>
    <w:rsid w:val="0045068E"/>
    <w:rsid w:val="004736EE"/>
    <w:rsid w:val="0049026F"/>
    <w:rsid w:val="004A60AD"/>
    <w:rsid w:val="005042C5"/>
    <w:rsid w:val="00512216"/>
    <w:rsid w:val="005156A0"/>
    <w:rsid w:val="00542C88"/>
    <w:rsid w:val="005848E7"/>
    <w:rsid w:val="005B47FB"/>
    <w:rsid w:val="005C024B"/>
    <w:rsid w:val="005C2317"/>
    <w:rsid w:val="005E572C"/>
    <w:rsid w:val="005E5EF7"/>
    <w:rsid w:val="006035DA"/>
    <w:rsid w:val="0060778F"/>
    <w:rsid w:val="00623B10"/>
    <w:rsid w:val="006650BF"/>
    <w:rsid w:val="00686D37"/>
    <w:rsid w:val="006A5312"/>
    <w:rsid w:val="006B5DCC"/>
    <w:rsid w:val="006D5160"/>
    <w:rsid w:val="006E0B35"/>
    <w:rsid w:val="00713AE8"/>
    <w:rsid w:val="007156B3"/>
    <w:rsid w:val="00730E5F"/>
    <w:rsid w:val="007555D5"/>
    <w:rsid w:val="00762ED7"/>
    <w:rsid w:val="00771FF0"/>
    <w:rsid w:val="00774115"/>
    <w:rsid w:val="00796792"/>
    <w:rsid w:val="007972D0"/>
    <w:rsid w:val="007A44AA"/>
    <w:rsid w:val="007B326D"/>
    <w:rsid w:val="007E507C"/>
    <w:rsid w:val="00866DCD"/>
    <w:rsid w:val="00897B56"/>
    <w:rsid w:val="008C5FC4"/>
    <w:rsid w:val="008E717F"/>
    <w:rsid w:val="00954AA8"/>
    <w:rsid w:val="009F5B89"/>
    <w:rsid w:val="00A072B1"/>
    <w:rsid w:val="00A80AAC"/>
    <w:rsid w:val="00A82843"/>
    <w:rsid w:val="00A86BF5"/>
    <w:rsid w:val="00AB5983"/>
    <w:rsid w:val="00AB746D"/>
    <w:rsid w:val="00AC3498"/>
    <w:rsid w:val="00B248CF"/>
    <w:rsid w:val="00B60367"/>
    <w:rsid w:val="00B86FF6"/>
    <w:rsid w:val="00B942D2"/>
    <w:rsid w:val="00BA4A39"/>
    <w:rsid w:val="00BB2824"/>
    <w:rsid w:val="00BC3CFF"/>
    <w:rsid w:val="00BD13D8"/>
    <w:rsid w:val="00C24773"/>
    <w:rsid w:val="00C414DA"/>
    <w:rsid w:val="00C510DB"/>
    <w:rsid w:val="00C80814"/>
    <w:rsid w:val="00CB3DA1"/>
    <w:rsid w:val="00CC396F"/>
    <w:rsid w:val="00CE1A59"/>
    <w:rsid w:val="00D03EE1"/>
    <w:rsid w:val="00D05BF3"/>
    <w:rsid w:val="00D3081D"/>
    <w:rsid w:val="00D33C7E"/>
    <w:rsid w:val="00D34E76"/>
    <w:rsid w:val="00D47B7E"/>
    <w:rsid w:val="00D55443"/>
    <w:rsid w:val="00D625FF"/>
    <w:rsid w:val="00D645D1"/>
    <w:rsid w:val="00DD7BE6"/>
    <w:rsid w:val="00E00E02"/>
    <w:rsid w:val="00E219C4"/>
    <w:rsid w:val="00E32AA0"/>
    <w:rsid w:val="00E5667A"/>
    <w:rsid w:val="00E64487"/>
    <w:rsid w:val="00EA6C52"/>
    <w:rsid w:val="00ED5A76"/>
    <w:rsid w:val="00EF329F"/>
    <w:rsid w:val="00F30666"/>
    <w:rsid w:val="00F44C94"/>
    <w:rsid w:val="00F60DEF"/>
    <w:rsid w:val="00F711B8"/>
    <w:rsid w:val="00F92765"/>
    <w:rsid w:val="00F96030"/>
    <w:rsid w:val="00F96BFF"/>
    <w:rsid w:val="00FA13AE"/>
    <w:rsid w:val="00FA499F"/>
    <w:rsid w:val="00FC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23C6F1"/>
  <w15:chartTrackingRefBased/>
  <w15:docId w15:val="{3556B02F-9D48-354F-B01E-BC943F1C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4AA"/>
    <w:pPr>
      <w:spacing w:line="300" w:lineRule="atLeast"/>
      <w:jc w:val="both"/>
    </w:pPr>
    <w:rPr>
      <w:rFonts w:ascii="Helvetica" w:hAnsi="Helvetica" w:cs="Helvetica"/>
      <w:sz w:val="20"/>
      <w:szCs w:val="20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44AA"/>
    <w:rPr>
      <w:rFonts w:ascii="Times New Roman" w:eastAsia="SimSu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04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TF</dc:creator>
  <cp:keywords/>
  <dc:description/>
  <cp:lastModifiedBy>Chen TF</cp:lastModifiedBy>
  <cp:revision>5</cp:revision>
  <dcterms:created xsi:type="dcterms:W3CDTF">2021-06-29T02:39:00Z</dcterms:created>
  <dcterms:modified xsi:type="dcterms:W3CDTF">2021-07-14T06:35:00Z</dcterms:modified>
</cp:coreProperties>
</file>