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087E" w:rsidRPr="005B259E" w:rsidRDefault="005B259E" w:rsidP="005B259E">
      <w:pPr>
        <w:pStyle w:val="3"/>
        <w:rPr>
          <w:rFonts w:ascii="Arial" w:hAnsi="Arial" w:cs="Arial"/>
        </w:rPr>
      </w:pPr>
      <w:r w:rsidRPr="005B259E">
        <w:rPr>
          <w:rFonts w:ascii="Arial" w:hAnsi="Arial" w:cs="Arial"/>
        </w:rPr>
        <w:t>Supplementary Materials and Methods</w:t>
      </w:r>
    </w:p>
    <w:p w:rsidR="00797A28" w:rsidRPr="00797A28" w:rsidRDefault="00797A28" w:rsidP="00797A28">
      <w:pPr>
        <w:pStyle w:val="3"/>
        <w:numPr>
          <w:ilvl w:val="1"/>
          <w:numId w:val="1"/>
        </w:numPr>
        <w:spacing w:line="480" w:lineRule="auto"/>
        <w:rPr>
          <w:rFonts w:ascii="Times New Roman" w:hAnsi="Times New Roman"/>
          <w:color w:val="000000" w:themeColor="text1"/>
          <w:sz w:val="28"/>
        </w:rPr>
      </w:pPr>
      <w:r w:rsidRPr="00797A28">
        <w:rPr>
          <w:rFonts w:ascii="Times New Roman" w:hAnsi="Times New Roman"/>
          <w:color w:val="000000" w:themeColor="text1"/>
          <w:sz w:val="28"/>
        </w:rPr>
        <w:t xml:space="preserve"> Exploration of genomic instability-related </w:t>
      </w:r>
      <w:proofErr w:type="spellStart"/>
      <w:r w:rsidRPr="00797A28">
        <w:rPr>
          <w:rFonts w:ascii="Times New Roman" w:hAnsi="Times New Roman"/>
          <w:color w:val="000000" w:themeColor="text1"/>
          <w:sz w:val="28"/>
        </w:rPr>
        <w:t>lncRNAs</w:t>
      </w:r>
      <w:proofErr w:type="spellEnd"/>
    </w:p>
    <w:p w:rsidR="00797A28" w:rsidRPr="00797A28" w:rsidRDefault="00797A28" w:rsidP="00797A28">
      <w:pPr>
        <w:pStyle w:val="a7"/>
        <w:spacing w:line="360" w:lineRule="auto"/>
        <w:ind w:firstLine="420"/>
        <w:rPr>
          <w:rFonts w:hint="eastAsia"/>
          <w:sz w:val="24"/>
          <w:szCs w:val="24"/>
        </w:rPr>
      </w:pPr>
      <w:r w:rsidRPr="001F3397">
        <w:rPr>
          <w:sz w:val="24"/>
          <w:szCs w:val="24"/>
        </w:rPr>
        <w:t xml:space="preserve">After computing the cumulative number of somatic mutations per patient and then ranking the patients in decreasing order, we designated the top 25% (n = 93) and bottom 25% (n = 90) as the GI group and GS group, respectively. We used the "LIMMA" R package to compare the lncRNA expression profiles of </w:t>
      </w:r>
      <w:r w:rsidRPr="001F3397">
        <w:rPr>
          <w:rFonts w:eastAsia="等线"/>
          <w:sz w:val="24"/>
          <w:szCs w:val="24"/>
        </w:rPr>
        <w:t xml:space="preserve">the </w:t>
      </w:r>
      <w:r w:rsidRPr="001F3397">
        <w:rPr>
          <w:sz w:val="24"/>
          <w:szCs w:val="24"/>
        </w:rPr>
        <w:t xml:space="preserve">two groups of patients. Eighty-five significantly differentially expressed </w:t>
      </w:r>
      <w:proofErr w:type="spellStart"/>
      <w:r w:rsidRPr="001F3397">
        <w:rPr>
          <w:sz w:val="24"/>
          <w:szCs w:val="24"/>
        </w:rPr>
        <w:t>lncRNAs</w:t>
      </w:r>
      <w:proofErr w:type="spellEnd"/>
      <w:r w:rsidRPr="001F3397">
        <w:rPr>
          <w:sz w:val="24"/>
          <w:szCs w:val="24"/>
        </w:rPr>
        <w:t xml:space="preserve"> were screened based on a fold change &gt;2 and P&lt;0.05. These 85 </w:t>
      </w:r>
      <w:proofErr w:type="spellStart"/>
      <w:r w:rsidRPr="001F3397">
        <w:rPr>
          <w:sz w:val="24"/>
          <w:szCs w:val="24"/>
        </w:rPr>
        <w:t>lncRNAs</w:t>
      </w:r>
      <w:proofErr w:type="spellEnd"/>
      <w:r w:rsidRPr="001F3397">
        <w:rPr>
          <w:sz w:val="24"/>
          <w:szCs w:val="24"/>
        </w:rPr>
        <w:t xml:space="preserve"> were defined as genome instability-related </w:t>
      </w:r>
      <w:proofErr w:type="spellStart"/>
      <w:r w:rsidRPr="001F3397">
        <w:rPr>
          <w:sz w:val="24"/>
          <w:szCs w:val="24"/>
        </w:rPr>
        <w:t>lncRNAs</w:t>
      </w:r>
      <w:proofErr w:type="spellEnd"/>
      <w:r w:rsidRPr="001F3397">
        <w:rPr>
          <w:sz w:val="24"/>
          <w:szCs w:val="24"/>
        </w:rPr>
        <w:t>.</w:t>
      </w:r>
    </w:p>
    <w:p w:rsidR="003614A7" w:rsidRPr="00D474A0" w:rsidRDefault="003614A7" w:rsidP="00797A28">
      <w:pPr>
        <w:pStyle w:val="3"/>
        <w:numPr>
          <w:ilvl w:val="1"/>
          <w:numId w:val="1"/>
        </w:numPr>
        <w:spacing w:line="480" w:lineRule="auto"/>
        <w:rPr>
          <w:rFonts w:ascii="Times New Roman" w:hAnsi="Times New Roman"/>
          <w:color w:val="000000" w:themeColor="text1"/>
          <w:sz w:val="28"/>
        </w:rPr>
      </w:pPr>
      <w:r w:rsidRPr="00D474A0">
        <w:rPr>
          <w:rFonts w:ascii="Times New Roman" w:hAnsi="Times New Roman"/>
          <w:color w:val="000000" w:themeColor="text1"/>
          <w:sz w:val="28"/>
        </w:rPr>
        <w:t>Construction of the prognostic model</w:t>
      </w:r>
    </w:p>
    <w:p w:rsidR="003614A7" w:rsidRPr="00D474A0" w:rsidRDefault="003614A7" w:rsidP="00797A28">
      <w:pPr>
        <w:spacing w:line="480" w:lineRule="auto"/>
        <w:ind w:firstLine="420"/>
        <w:rPr>
          <w:rFonts w:ascii="Times New Roman" w:hAnsi="Times New Roman"/>
          <w:color w:val="000000" w:themeColor="text1"/>
          <w:sz w:val="22"/>
        </w:rPr>
      </w:pPr>
      <w:r w:rsidRPr="00D474A0">
        <w:rPr>
          <w:rFonts w:ascii="Times New Roman" w:hAnsi="Times New Roman"/>
          <w:color w:val="000000" w:themeColor="text1"/>
          <w:sz w:val="22"/>
        </w:rPr>
        <w:t xml:space="preserve">To identify </w:t>
      </w:r>
      <w:proofErr w:type="spellStart"/>
      <w:r w:rsidRPr="00D474A0">
        <w:rPr>
          <w:rFonts w:ascii="Times New Roman" w:hAnsi="Times New Roman"/>
          <w:color w:val="000000" w:themeColor="text1"/>
          <w:sz w:val="22"/>
        </w:rPr>
        <w:t>lncRNAs</w:t>
      </w:r>
      <w:proofErr w:type="spellEnd"/>
      <w:r w:rsidRPr="00D474A0">
        <w:rPr>
          <w:rFonts w:ascii="Times New Roman" w:hAnsi="Times New Roman"/>
          <w:color w:val="000000" w:themeColor="text1"/>
          <w:sz w:val="22"/>
        </w:rPr>
        <w:t xml:space="preserve"> related to prognosis, we used univariate and multivariate Cox regression analyses to </w:t>
      </w:r>
      <w:proofErr w:type="spellStart"/>
      <w:r w:rsidRPr="00D474A0">
        <w:rPr>
          <w:rFonts w:ascii="Times New Roman" w:hAnsi="Times New Roman"/>
          <w:color w:val="000000" w:themeColor="text1"/>
          <w:sz w:val="22"/>
        </w:rPr>
        <w:t>analyse</w:t>
      </w:r>
      <w:proofErr w:type="spellEnd"/>
      <w:r w:rsidRPr="00D474A0">
        <w:rPr>
          <w:rFonts w:ascii="Times New Roman" w:hAnsi="Times New Roman"/>
          <w:color w:val="000000" w:themeColor="text1"/>
          <w:sz w:val="22"/>
        </w:rPr>
        <w:t xml:space="preserve"> the relationship between the expression level of GI-related </w:t>
      </w:r>
      <w:proofErr w:type="spellStart"/>
      <w:r w:rsidRPr="00D474A0">
        <w:rPr>
          <w:rFonts w:ascii="Times New Roman" w:hAnsi="Times New Roman"/>
          <w:color w:val="000000"/>
          <w:sz w:val="22"/>
        </w:rPr>
        <w:t>lncRNAs</w:t>
      </w:r>
      <w:proofErr w:type="spellEnd"/>
      <w:r w:rsidRPr="00D474A0">
        <w:rPr>
          <w:rFonts w:ascii="Times New Roman" w:hAnsi="Times New Roman"/>
          <w:color w:val="000000" w:themeColor="text1"/>
          <w:sz w:val="22"/>
        </w:rPr>
        <w:t xml:space="preserve"> and overall survival in </w:t>
      </w:r>
      <w:r>
        <w:rPr>
          <w:rFonts w:ascii="Times New Roman" w:hAnsi="Times New Roman"/>
          <w:color w:val="000000" w:themeColor="text1"/>
          <w:sz w:val="22"/>
        </w:rPr>
        <w:t>a</w:t>
      </w:r>
      <w:r w:rsidRPr="00D474A0">
        <w:rPr>
          <w:rFonts w:ascii="Times New Roman" w:hAnsi="Times New Roman"/>
          <w:color w:val="000000" w:themeColor="text1"/>
          <w:sz w:val="22"/>
        </w:rPr>
        <w:t xml:space="preserve"> </w:t>
      </w:r>
      <w:r w:rsidRPr="00D474A0">
        <w:rPr>
          <w:rFonts w:ascii="Times New Roman" w:hAnsi="Times New Roman"/>
          <w:color w:val="000000"/>
          <w:sz w:val="22"/>
        </w:rPr>
        <w:t>training</w:t>
      </w:r>
      <w:r w:rsidRPr="00D474A0">
        <w:rPr>
          <w:rFonts w:ascii="Times New Roman" w:hAnsi="Times New Roman"/>
          <w:color w:val="000000" w:themeColor="text1"/>
          <w:sz w:val="22"/>
        </w:rPr>
        <w:t xml:space="preserve"> group. We used the coefficients from multivariate Cox regression analysis and the expression levels of prognosis</w:t>
      </w:r>
      <w:r w:rsidRPr="00D474A0">
        <w:rPr>
          <w:rFonts w:ascii="Times New Roman" w:hAnsi="Times New Roman"/>
          <w:color w:val="000000"/>
          <w:sz w:val="22"/>
        </w:rPr>
        <w:t>-</w:t>
      </w:r>
      <w:r w:rsidRPr="00D474A0">
        <w:rPr>
          <w:rFonts w:ascii="Times New Roman" w:hAnsi="Times New Roman"/>
          <w:color w:val="000000" w:themeColor="text1"/>
          <w:sz w:val="22"/>
        </w:rPr>
        <w:t xml:space="preserve">related </w:t>
      </w:r>
      <w:proofErr w:type="spellStart"/>
      <w:r w:rsidRPr="00D474A0">
        <w:rPr>
          <w:rFonts w:ascii="Times New Roman" w:hAnsi="Times New Roman"/>
          <w:color w:val="000000"/>
          <w:sz w:val="22"/>
        </w:rPr>
        <w:t>lncRNAs</w:t>
      </w:r>
      <w:proofErr w:type="spellEnd"/>
      <w:r w:rsidRPr="00D474A0">
        <w:rPr>
          <w:rFonts w:ascii="Times New Roman" w:hAnsi="Times New Roman"/>
          <w:color w:val="000000" w:themeColor="text1"/>
          <w:sz w:val="22"/>
        </w:rPr>
        <w:t xml:space="preserve"> to construct the </w:t>
      </w:r>
      <w:bookmarkStart w:id="0" w:name="_Hlk106754329"/>
      <w:r w:rsidRPr="00D474A0">
        <w:rPr>
          <w:rFonts w:ascii="Times New Roman" w:hAnsi="Times New Roman"/>
          <w:color w:val="000000" w:themeColor="text1"/>
          <w:sz w:val="22"/>
        </w:rPr>
        <w:t xml:space="preserve">genome instability-related lncRNA signature (GIlncsig) </w:t>
      </w:r>
      <w:bookmarkEnd w:id="0"/>
      <w:r w:rsidRPr="00D474A0">
        <w:rPr>
          <w:rFonts w:ascii="Times New Roman" w:hAnsi="Times New Roman"/>
          <w:color w:val="000000" w:themeColor="text1"/>
          <w:sz w:val="22"/>
        </w:rPr>
        <w:t>using the following formula:</w:t>
      </w:r>
    </w:p>
    <w:p w:rsidR="003614A7" w:rsidRPr="00D474A0" w:rsidRDefault="003614A7" w:rsidP="003614A7">
      <w:pPr>
        <w:spacing w:line="480" w:lineRule="auto"/>
        <w:rPr>
          <w:rFonts w:ascii="Times New Roman" w:hAnsi="Times New Roman"/>
          <w:color w:val="000000" w:themeColor="text1"/>
          <w:sz w:val="28"/>
        </w:rPr>
      </w:pPr>
      <w:r w:rsidRPr="00D474A0">
        <w:rPr>
          <w:rFonts w:ascii="Times New Roman" w:hAnsi="Times New Roman"/>
          <w:color w:val="000000" w:themeColor="text1"/>
          <w:sz w:val="28"/>
        </w:rPr>
        <w:t>GIlncsig=</w:t>
      </w:r>
      <m:oMath>
        <m:nary>
          <m:naryPr>
            <m:chr m:val="∑"/>
            <m:ctrlPr>
              <w:rPr>
                <w:rFonts w:ascii="Cambria Math" w:hAnsi="Cambria Math"/>
                <w:i/>
                <w:color w:val="000000" w:themeColor="text1"/>
                <w:sz w:val="28"/>
              </w:rPr>
            </m:ctrlPr>
          </m:naryPr>
          <m:sub>
            <m:r>
              <w:rPr>
                <w:rFonts w:ascii="Cambria Math" w:hAnsi="Cambria Math"/>
                <w:color w:val="000000" w:themeColor="text1"/>
                <w:sz w:val="28"/>
              </w:rPr>
              <m:t>i=0</m:t>
            </m:r>
          </m:sub>
          <m:sup>
            <m:r>
              <w:rPr>
                <w:rFonts w:ascii="Cambria Math" w:hAnsi="Cambria Math"/>
                <w:color w:val="000000" w:themeColor="text1"/>
                <w:sz w:val="28"/>
              </w:rPr>
              <m:t>n</m:t>
            </m:r>
          </m:sup>
          <m:e>
            <m:r>
              <w:rPr>
                <w:rFonts w:ascii="Cambria Math" w:hAnsi="Cambria Math"/>
                <w:color w:val="000000" w:themeColor="text1"/>
                <w:sz w:val="28"/>
              </w:rPr>
              <m:t>coef</m:t>
            </m:r>
            <m:d>
              <m:dPr>
                <m:ctrlPr>
                  <w:rPr>
                    <w:rFonts w:ascii="Cambria Math" w:hAnsi="Cambria Math"/>
                    <w:i/>
                    <w:color w:val="000000" w:themeColor="text1"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  <w:sz w:val="28"/>
                  </w:rPr>
                  <m:t>lncRNAi</m:t>
                </m:r>
              </m:e>
            </m:d>
            <m:r>
              <w:rPr>
                <w:rFonts w:ascii="Cambria Math" w:hAnsi="Cambria Math"/>
                <w:color w:val="000000" w:themeColor="text1"/>
                <w:sz w:val="28"/>
              </w:rPr>
              <m:t>*expr</m:t>
            </m:r>
            <m:d>
              <m:dPr>
                <m:ctrlPr>
                  <w:rPr>
                    <w:rFonts w:ascii="Cambria Math" w:hAnsi="Cambria Math"/>
                    <w:i/>
                    <w:color w:val="000000" w:themeColor="text1"/>
                    <w:sz w:val="28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  <w:sz w:val="28"/>
                  </w:rPr>
                  <m:t>lncRNAi</m:t>
                </m:r>
              </m:e>
            </m:d>
          </m:e>
        </m:nary>
      </m:oMath>
    </w:p>
    <w:p w:rsidR="003614A7" w:rsidRDefault="003614A7" w:rsidP="003614A7">
      <w:pPr>
        <w:spacing w:line="480" w:lineRule="auto"/>
        <w:rPr>
          <w:rFonts w:ascii="Times New Roman" w:hAnsi="Times New Roman"/>
          <w:color w:val="000000" w:themeColor="text1"/>
          <w:sz w:val="22"/>
        </w:rPr>
      </w:pPr>
      <w:r w:rsidRPr="00D474A0">
        <w:rPr>
          <w:rFonts w:ascii="Times New Roman" w:hAnsi="Times New Roman"/>
          <w:color w:val="000000" w:themeColor="text1"/>
          <w:sz w:val="22"/>
        </w:rPr>
        <w:t xml:space="preserve">where N represents the number of </w:t>
      </w:r>
      <w:proofErr w:type="spellStart"/>
      <w:r w:rsidRPr="00D474A0">
        <w:rPr>
          <w:rFonts w:ascii="Times New Roman" w:hAnsi="Times New Roman"/>
          <w:color w:val="000000" w:themeColor="text1"/>
          <w:sz w:val="22"/>
        </w:rPr>
        <w:t>lncRNAs</w:t>
      </w:r>
      <w:proofErr w:type="spellEnd"/>
      <w:r w:rsidRPr="00D474A0">
        <w:rPr>
          <w:rFonts w:ascii="Times New Roman" w:hAnsi="Times New Roman"/>
          <w:color w:val="000000" w:themeColor="text1"/>
          <w:sz w:val="22"/>
        </w:rPr>
        <w:t xml:space="preserve">, </w:t>
      </w:r>
      <w:proofErr w:type="spellStart"/>
      <w:r w:rsidRPr="00D474A0">
        <w:rPr>
          <w:rFonts w:ascii="Times New Roman" w:hAnsi="Times New Roman"/>
          <w:color w:val="000000" w:themeColor="text1"/>
          <w:sz w:val="22"/>
        </w:rPr>
        <w:t>coef</w:t>
      </w:r>
      <w:proofErr w:type="spellEnd"/>
      <w:r w:rsidRPr="00D474A0">
        <w:rPr>
          <w:rFonts w:ascii="Times New Roman" w:hAnsi="Times New Roman"/>
          <w:color w:val="000000" w:themeColor="text1"/>
          <w:sz w:val="22"/>
        </w:rPr>
        <w:t xml:space="preserve"> represents the regression coefficient, and expr represents the expression level of a given lncRNA.</w:t>
      </w:r>
    </w:p>
    <w:p w:rsidR="00715E81" w:rsidRPr="00715E81" w:rsidRDefault="002805C0" w:rsidP="003614A7">
      <w:pPr>
        <w:spacing w:line="480" w:lineRule="auto"/>
        <w:rPr>
          <w:rFonts w:ascii="Times New Roman" w:hAnsi="Times New Roman"/>
          <w:color w:val="000000" w:themeColor="text1"/>
          <w:sz w:val="22"/>
        </w:rPr>
      </w:pPr>
      <w:r>
        <w:rPr>
          <w:rFonts w:ascii="Times New Roman" w:hAnsi="Times New Roman"/>
          <w:color w:val="000000" w:themeColor="text1"/>
          <w:sz w:val="22"/>
        </w:rPr>
        <w:t>As for t</w:t>
      </w:r>
      <w:r w:rsidRPr="002805C0">
        <w:rPr>
          <w:rFonts w:ascii="Times New Roman" w:hAnsi="Times New Roman"/>
          <w:color w:val="000000" w:themeColor="text1"/>
          <w:sz w:val="22"/>
        </w:rPr>
        <w:t>he rationale of combining the TP53 status into the prognosis model</w:t>
      </w:r>
      <w:r>
        <w:rPr>
          <w:rFonts w:ascii="Times New Roman" w:hAnsi="Times New Roman"/>
          <w:color w:val="000000" w:themeColor="text1"/>
          <w:sz w:val="22"/>
        </w:rPr>
        <w:t>,</w:t>
      </w:r>
      <w:r w:rsidRPr="002805C0">
        <w:rPr>
          <w:rFonts w:ascii="Times New Roman" w:hAnsi="Times New Roman"/>
          <w:color w:val="000000" w:themeColor="text1"/>
          <w:sz w:val="22"/>
        </w:rPr>
        <w:t xml:space="preserve"> </w:t>
      </w:r>
      <w:r>
        <w:rPr>
          <w:rFonts w:ascii="Times New Roman" w:hAnsi="Times New Roman"/>
          <w:color w:val="000000" w:themeColor="text1"/>
          <w:sz w:val="22"/>
        </w:rPr>
        <w:t>w</w:t>
      </w:r>
      <w:r w:rsidRPr="002805C0">
        <w:rPr>
          <w:rFonts w:ascii="Times New Roman" w:hAnsi="Times New Roman"/>
          <w:color w:val="000000" w:themeColor="text1"/>
          <w:sz w:val="22"/>
        </w:rPr>
        <w:t>e divided TCGA patients into four groups by risk score and TP53 mutation status. Four groups are TP53 Wild/Low risk, TP53 Mutation/High risk, TP53 Wild/High risk and TP53 Mutation/Low risk. The survival outcomes of the four groups were compared by survival analysis.</w:t>
      </w:r>
    </w:p>
    <w:p w:rsidR="003614A7" w:rsidRPr="00D474A0" w:rsidRDefault="003614A7" w:rsidP="003614A7">
      <w:pPr>
        <w:keepNext/>
        <w:keepLines/>
        <w:numPr>
          <w:ilvl w:val="1"/>
          <w:numId w:val="1"/>
        </w:numPr>
        <w:spacing w:before="260" w:after="260" w:line="480" w:lineRule="auto"/>
        <w:ind w:left="565"/>
        <w:outlineLvl w:val="2"/>
        <w:rPr>
          <w:rFonts w:ascii="Times New Roman" w:hAnsi="Times New Roman"/>
          <w:b/>
          <w:color w:val="000000" w:themeColor="text1"/>
          <w:sz w:val="28"/>
        </w:rPr>
      </w:pPr>
      <w:r w:rsidRPr="00D474A0">
        <w:rPr>
          <w:rFonts w:ascii="Times New Roman" w:hAnsi="Times New Roman"/>
          <w:b/>
          <w:color w:val="000000" w:themeColor="text1"/>
          <w:sz w:val="28"/>
        </w:rPr>
        <w:lastRenderedPageBreak/>
        <w:t>Functional enrichment analysis</w:t>
      </w:r>
    </w:p>
    <w:p w:rsidR="003614A7" w:rsidRPr="00D474A0" w:rsidRDefault="003614A7" w:rsidP="00797A28">
      <w:pPr>
        <w:spacing w:line="480" w:lineRule="auto"/>
        <w:ind w:firstLine="420"/>
        <w:rPr>
          <w:rFonts w:ascii="Times New Roman" w:hAnsi="Times New Roman"/>
          <w:color w:val="000000" w:themeColor="text1"/>
          <w:sz w:val="22"/>
        </w:rPr>
      </w:pPr>
      <w:r>
        <w:rPr>
          <w:rFonts w:ascii="Times New Roman" w:hAnsi="Times New Roman"/>
          <w:color w:val="000000" w:themeColor="text1"/>
          <w:sz w:val="22"/>
        </w:rPr>
        <w:t>W</w:t>
      </w:r>
      <w:r w:rsidRPr="00D474A0">
        <w:rPr>
          <w:rFonts w:ascii="Times New Roman" w:hAnsi="Times New Roman"/>
          <w:color w:val="000000" w:themeColor="text1"/>
          <w:sz w:val="22"/>
        </w:rPr>
        <w:t>e used the "LIMMA" and "SPARCL" R packages to divide all patients into GI-like and GS-like groups</w:t>
      </w:r>
      <w:r w:rsidRPr="0042506C">
        <w:rPr>
          <w:rFonts w:ascii="Times New Roman" w:hAnsi="Times New Roman"/>
          <w:color w:val="000000" w:themeColor="text1"/>
          <w:sz w:val="22"/>
        </w:rPr>
        <w:t xml:space="preserve"> </w:t>
      </w:r>
      <w:r>
        <w:rPr>
          <w:rFonts w:ascii="Times New Roman" w:hAnsi="Times New Roman"/>
          <w:color w:val="000000" w:themeColor="text1"/>
          <w:sz w:val="22"/>
        </w:rPr>
        <w:t>b</w:t>
      </w:r>
      <w:r w:rsidRPr="00D474A0">
        <w:rPr>
          <w:rFonts w:ascii="Times New Roman" w:hAnsi="Times New Roman"/>
          <w:color w:val="000000" w:themeColor="text1"/>
          <w:sz w:val="22"/>
        </w:rPr>
        <w:t xml:space="preserve">ased on expression of genome instability-related </w:t>
      </w:r>
      <w:proofErr w:type="spellStart"/>
      <w:r w:rsidRPr="00D474A0">
        <w:rPr>
          <w:rFonts w:ascii="Times New Roman" w:hAnsi="Times New Roman"/>
          <w:color w:val="000000" w:themeColor="text1"/>
          <w:sz w:val="22"/>
        </w:rPr>
        <w:t>lncRNAs</w:t>
      </w:r>
      <w:proofErr w:type="spellEnd"/>
      <w:r>
        <w:rPr>
          <w:rFonts w:ascii="Times New Roman" w:hAnsi="Times New Roman"/>
          <w:color w:val="000000" w:themeColor="text1"/>
          <w:sz w:val="22"/>
        </w:rPr>
        <w:t>.</w:t>
      </w:r>
      <w:r w:rsidRPr="00D474A0">
        <w:rPr>
          <w:rFonts w:ascii="Times New Roman" w:hAnsi="Times New Roman"/>
          <w:color w:val="000000" w:themeColor="text1"/>
          <w:sz w:val="22"/>
        </w:rPr>
        <w:t xml:space="preserve"> lncRNA–mRNA co-expression analysis was performed based on Pearson correlation coefficient analysis between lncRNA and mRNA expression levels. </w:t>
      </w:r>
      <w:proofErr w:type="spellStart"/>
      <w:r w:rsidRPr="00D474A0">
        <w:rPr>
          <w:rFonts w:ascii="Times New Roman" w:hAnsi="Times New Roman"/>
          <w:color w:val="000000" w:themeColor="text1"/>
          <w:sz w:val="22"/>
        </w:rPr>
        <w:t>FunRich</w:t>
      </w:r>
      <w:proofErr w:type="spellEnd"/>
      <w:r w:rsidRPr="00D474A0">
        <w:rPr>
          <w:rFonts w:ascii="Times New Roman" w:hAnsi="Times New Roman"/>
          <w:color w:val="000000" w:themeColor="text1"/>
          <w:sz w:val="22"/>
        </w:rPr>
        <w:t xml:space="preserve"> </w:t>
      </w:r>
      <w:r>
        <w:rPr>
          <w:rFonts w:ascii="Times New Roman" w:hAnsi="Times New Roman"/>
          <w:color w:val="000000" w:themeColor="text1"/>
          <w:sz w:val="22"/>
        </w:rPr>
        <w:t xml:space="preserve">was used </w:t>
      </w:r>
      <w:r w:rsidRPr="00D474A0">
        <w:rPr>
          <w:rFonts w:ascii="Times New Roman" w:hAnsi="Times New Roman"/>
          <w:color w:val="000000" w:themeColor="text1"/>
          <w:sz w:val="22"/>
        </w:rPr>
        <w:t>to perform Gene Ontology (GO) analysis</w:t>
      </w:r>
      <w:r>
        <w:rPr>
          <w:rFonts w:ascii="Times New Roman" w:hAnsi="Times New Roman"/>
          <w:color w:val="000000" w:themeColor="text1"/>
          <w:sz w:val="22"/>
        </w:rPr>
        <w:t>.</w:t>
      </w:r>
      <w:r w:rsidRPr="00D474A0">
        <w:rPr>
          <w:rFonts w:ascii="Times New Roman" w:hAnsi="Times New Roman"/>
          <w:color w:val="000000" w:themeColor="text1"/>
          <w:sz w:val="22"/>
        </w:rPr>
        <w:t xml:space="preserve"> Kyoto Encyclopedia of Genes and Genomes (KEGG) analysis was performed using the KEGG pathway database. Gene set enrichment analysis (GSEA) was performed using the GSEA package.</w:t>
      </w:r>
    </w:p>
    <w:p w:rsidR="003614A7" w:rsidRPr="00D474A0" w:rsidRDefault="003614A7" w:rsidP="003614A7">
      <w:pPr>
        <w:keepNext/>
        <w:keepLines/>
        <w:numPr>
          <w:ilvl w:val="1"/>
          <w:numId w:val="1"/>
        </w:numPr>
        <w:spacing w:before="260" w:after="260" w:line="480" w:lineRule="auto"/>
        <w:ind w:left="565"/>
        <w:outlineLvl w:val="2"/>
        <w:rPr>
          <w:rFonts w:ascii="Times New Roman" w:hAnsi="Times New Roman"/>
          <w:b/>
          <w:color w:val="000000" w:themeColor="text1"/>
          <w:sz w:val="28"/>
        </w:rPr>
      </w:pPr>
      <w:r w:rsidRPr="00D474A0">
        <w:rPr>
          <w:rFonts w:ascii="Times New Roman" w:hAnsi="Times New Roman"/>
          <w:b/>
          <w:color w:val="000000" w:themeColor="text1"/>
          <w:sz w:val="28"/>
        </w:rPr>
        <w:t>Cell proliferation assays</w:t>
      </w:r>
    </w:p>
    <w:p w:rsidR="003614A7" w:rsidRPr="00D474A0" w:rsidRDefault="003614A7" w:rsidP="00797A28">
      <w:pPr>
        <w:spacing w:line="480" w:lineRule="auto"/>
        <w:ind w:firstLine="420"/>
        <w:rPr>
          <w:rFonts w:ascii="Times New Roman" w:hAnsi="Times New Roman" w:cs="Times New Roman"/>
          <w:color w:val="000000" w:themeColor="text1"/>
          <w:sz w:val="22"/>
        </w:rPr>
      </w:pPr>
      <w:r w:rsidRPr="00D474A0">
        <w:rPr>
          <w:rFonts w:ascii="Times New Roman" w:hAnsi="Times New Roman" w:cs="Times New Roman"/>
          <w:color w:val="000000" w:themeColor="text1"/>
          <w:sz w:val="22"/>
        </w:rPr>
        <w:t xml:space="preserve">Cell proliferation was </w:t>
      </w:r>
      <w:r>
        <w:rPr>
          <w:rFonts w:ascii="Times New Roman" w:hAnsi="Times New Roman" w:cs="Times New Roman"/>
          <w:color w:val="000000" w:themeColor="text1"/>
          <w:sz w:val="22"/>
        </w:rPr>
        <w:t>evaluated</w:t>
      </w:r>
      <w:r w:rsidRPr="00D474A0">
        <w:rPr>
          <w:rFonts w:ascii="Times New Roman" w:hAnsi="Times New Roman" w:cs="Times New Roman"/>
          <w:color w:val="000000" w:themeColor="text1"/>
          <w:sz w:val="22"/>
        </w:rPr>
        <w:t xml:space="preserve"> using Cell Counting Kit-8 (CCK-8) assays and plate colony</w:t>
      </w:r>
      <w:r>
        <w:rPr>
          <w:rFonts w:ascii="Times New Roman" w:hAnsi="Times New Roman" w:cs="Times New Roman"/>
          <w:color w:val="000000" w:themeColor="text1"/>
          <w:sz w:val="22"/>
        </w:rPr>
        <w:t>-</w:t>
      </w:r>
      <w:r w:rsidRPr="00D474A0">
        <w:rPr>
          <w:rFonts w:ascii="Times New Roman" w:hAnsi="Times New Roman" w:cs="Times New Roman"/>
          <w:color w:val="000000" w:themeColor="text1"/>
          <w:sz w:val="22"/>
        </w:rPr>
        <w:t xml:space="preserve">formation assays. Transfected cells were seeded (1,000 cells/well) in 96-well plates and incubated at 37°C. CCK-8 solution (10 µL) was added to each well at </w:t>
      </w:r>
      <w:r>
        <w:rPr>
          <w:rFonts w:ascii="Times New Roman" w:hAnsi="Times New Roman" w:cs="Times New Roman"/>
          <w:color w:val="000000" w:themeColor="text1"/>
          <w:sz w:val="22"/>
        </w:rPr>
        <w:t>a given</w:t>
      </w:r>
      <w:r w:rsidRPr="00D474A0">
        <w:rPr>
          <w:rFonts w:ascii="Times New Roman" w:hAnsi="Times New Roman" w:cs="Times New Roman"/>
          <w:color w:val="000000" w:themeColor="text1"/>
          <w:sz w:val="22"/>
        </w:rPr>
        <w:t xml:space="preserve"> time point. </w:t>
      </w:r>
      <w:r>
        <w:rPr>
          <w:rFonts w:ascii="Times New Roman" w:hAnsi="Times New Roman" w:cs="Times New Roman"/>
          <w:color w:val="000000" w:themeColor="text1"/>
          <w:sz w:val="22"/>
        </w:rPr>
        <w:t>O</w:t>
      </w:r>
      <w:r w:rsidRPr="00D474A0">
        <w:rPr>
          <w:rFonts w:ascii="Times New Roman" w:hAnsi="Times New Roman" w:cs="Times New Roman"/>
          <w:color w:val="000000" w:themeColor="text1"/>
          <w:sz w:val="22"/>
        </w:rPr>
        <w:t xml:space="preserve">ptical density (OD) at 450 nm </w:t>
      </w:r>
      <w:r>
        <w:rPr>
          <w:rFonts w:ascii="Times New Roman" w:hAnsi="Times New Roman" w:cs="Times New Roman"/>
          <w:color w:val="000000" w:themeColor="text1"/>
          <w:sz w:val="22"/>
        </w:rPr>
        <w:t>was</w:t>
      </w:r>
      <w:r w:rsidRPr="00694089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</w:rPr>
        <w:t>measured</w:t>
      </w:r>
      <w:r w:rsidRPr="00D474A0">
        <w:rPr>
          <w:rFonts w:ascii="Times New Roman" w:hAnsi="Times New Roman" w:cs="Times New Roman"/>
          <w:color w:val="000000" w:themeColor="text1"/>
          <w:sz w:val="22"/>
        </w:rPr>
        <w:t xml:space="preserve"> using an enzyme-labelled </w:t>
      </w:r>
      <w:proofErr w:type="spellStart"/>
      <w:r w:rsidRPr="00D474A0">
        <w:rPr>
          <w:rFonts w:ascii="Times New Roman" w:hAnsi="Times New Roman" w:cs="Times New Roman"/>
          <w:color w:val="000000" w:themeColor="text1"/>
          <w:sz w:val="22"/>
        </w:rPr>
        <w:t>analyser</w:t>
      </w:r>
      <w:proofErr w:type="spellEnd"/>
      <w:r w:rsidRPr="00D474A0">
        <w:rPr>
          <w:rFonts w:ascii="Times New Roman" w:hAnsi="Times New Roman" w:cs="Times New Roman"/>
          <w:color w:val="000000" w:themeColor="text1"/>
          <w:sz w:val="22"/>
        </w:rPr>
        <w:t xml:space="preserve"> after a 1-</w:t>
      </w:r>
      <w:r>
        <w:rPr>
          <w:rFonts w:ascii="Times New Roman" w:hAnsi="Times New Roman" w:cs="Times New Roman"/>
          <w:color w:val="000000" w:themeColor="text1"/>
          <w:sz w:val="22"/>
        </w:rPr>
        <w:t>h</w:t>
      </w:r>
      <w:r w:rsidRPr="00D474A0">
        <w:rPr>
          <w:rFonts w:ascii="Times New Roman" w:hAnsi="Times New Roman" w:cs="Times New Roman"/>
          <w:color w:val="000000" w:themeColor="text1"/>
          <w:sz w:val="22"/>
        </w:rPr>
        <w:t xml:space="preserve"> incubation. For the plate colony</w:t>
      </w:r>
      <w:r>
        <w:rPr>
          <w:rFonts w:ascii="Times New Roman" w:hAnsi="Times New Roman" w:cs="Times New Roman"/>
          <w:color w:val="000000" w:themeColor="text1"/>
          <w:sz w:val="22"/>
        </w:rPr>
        <w:t>-</w:t>
      </w:r>
      <w:r w:rsidRPr="00D474A0">
        <w:rPr>
          <w:rFonts w:ascii="Times New Roman" w:hAnsi="Times New Roman" w:cs="Times New Roman"/>
          <w:color w:val="000000" w:themeColor="text1"/>
          <w:sz w:val="22"/>
        </w:rPr>
        <w:t>formation assay, cells were seeded in 6‐well plates (1000 cells/well) and incubated for 14 d. The samples were fixed with 4% paraformaldehyde for 30 min and stained with 2% crystal violet (Sigma–Aldrich) for 15 min. The number of clones was counted using ImageJ. All assays were performed in triplicate and repeated three times independently.</w:t>
      </w:r>
    </w:p>
    <w:p w:rsidR="003614A7" w:rsidRPr="00D474A0" w:rsidRDefault="003614A7" w:rsidP="003614A7">
      <w:pPr>
        <w:keepNext/>
        <w:keepLines/>
        <w:numPr>
          <w:ilvl w:val="1"/>
          <w:numId w:val="1"/>
        </w:numPr>
        <w:spacing w:before="260" w:after="260" w:line="480" w:lineRule="auto"/>
        <w:ind w:left="565"/>
        <w:outlineLvl w:val="2"/>
        <w:rPr>
          <w:rFonts w:ascii="Times New Roman" w:hAnsi="Times New Roman"/>
          <w:b/>
          <w:color w:val="000000" w:themeColor="text1"/>
          <w:sz w:val="28"/>
        </w:rPr>
      </w:pPr>
      <w:r w:rsidRPr="00D474A0">
        <w:rPr>
          <w:rFonts w:ascii="Times New Roman" w:hAnsi="Times New Roman"/>
          <w:b/>
          <w:color w:val="000000" w:themeColor="text1"/>
          <w:sz w:val="28"/>
        </w:rPr>
        <w:t>Cell migration and invasion assays</w:t>
      </w:r>
    </w:p>
    <w:p w:rsidR="003614A7" w:rsidRPr="00D474A0" w:rsidRDefault="003614A7" w:rsidP="00797A28">
      <w:pPr>
        <w:spacing w:line="480" w:lineRule="auto"/>
        <w:ind w:firstLine="420"/>
        <w:rPr>
          <w:rFonts w:ascii="Times New Roman" w:hAnsi="Times New Roman" w:cs="Times New Roman"/>
          <w:color w:val="000000" w:themeColor="text1"/>
          <w:sz w:val="22"/>
        </w:rPr>
      </w:pPr>
      <w:r w:rsidRPr="00D474A0">
        <w:rPr>
          <w:rFonts w:ascii="Times New Roman" w:hAnsi="Times New Roman" w:cs="Times New Roman"/>
          <w:color w:val="000000" w:themeColor="text1"/>
          <w:sz w:val="22"/>
        </w:rPr>
        <w:t>Cell migration was examined using an in vitro scratch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D474A0">
        <w:rPr>
          <w:rFonts w:ascii="Times New Roman" w:hAnsi="Times New Roman" w:cs="Times New Roman"/>
          <w:color w:val="000000" w:themeColor="text1"/>
          <w:sz w:val="22"/>
        </w:rPr>
        <w:t>wound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D474A0">
        <w:rPr>
          <w:rFonts w:ascii="Times New Roman" w:hAnsi="Times New Roman" w:cs="Times New Roman"/>
          <w:color w:val="000000" w:themeColor="text1"/>
          <w:sz w:val="22"/>
        </w:rPr>
        <w:t xml:space="preserve">healing assay. Cells were </w:t>
      </w:r>
      <w:r w:rsidRPr="00D474A0">
        <w:rPr>
          <w:rFonts w:ascii="Times New Roman" w:hAnsi="Times New Roman" w:cs="Times New Roman"/>
          <w:color w:val="000000" w:themeColor="text1"/>
          <w:sz w:val="22"/>
        </w:rPr>
        <w:lastRenderedPageBreak/>
        <w:t xml:space="preserve">seeded into a 6-well plate and incubated until 80% </w:t>
      </w:r>
      <w:r w:rsidRPr="00D474A0">
        <w:rPr>
          <w:rFonts w:ascii="Times New Roman" w:eastAsia="等线" w:hAnsi="Times New Roman" w:cs="Times New Roman"/>
          <w:color w:val="000000"/>
          <w:sz w:val="22"/>
        </w:rPr>
        <w:t>confluence</w:t>
      </w:r>
      <w:r w:rsidRPr="00D474A0">
        <w:rPr>
          <w:rFonts w:ascii="Times New Roman" w:hAnsi="Times New Roman" w:cs="Times New Roman"/>
          <w:color w:val="000000" w:themeColor="text1"/>
          <w:sz w:val="22"/>
        </w:rPr>
        <w:t xml:space="preserve">. A wound was created by lightly scratching a straight line across the cell monolayer. </w:t>
      </w:r>
      <w:proofErr w:type="spellStart"/>
      <w:r w:rsidRPr="00D474A0">
        <w:rPr>
          <w:rFonts w:ascii="Times New Roman" w:hAnsi="Times New Roman" w:cs="Times New Roman"/>
          <w:color w:val="000000" w:themeColor="text1"/>
          <w:sz w:val="22"/>
        </w:rPr>
        <w:t>Transwell</w:t>
      </w:r>
      <w:proofErr w:type="spellEnd"/>
      <w:r w:rsidRPr="00D474A0">
        <w:rPr>
          <w:rFonts w:ascii="Times New Roman" w:hAnsi="Times New Roman" w:cs="Times New Roman"/>
          <w:color w:val="000000" w:themeColor="text1"/>
          <w:sz w:val="22"/>
        </w:rPr>
        <w:t xml:space="preserve"> invasion assays were performed to </w:t>
      </w:r>
      <w:r>
        <w:rPr>
          <w:rFonts w:ascii="Times New Roman" w:hAnsi="Times New Roman" w:cs="Times New Roman"/>
          <w:color w:val="000000" w:themeColor="text1"/>
          <w:sz w:val="22"/>
        </w:rPr>
        <w:t>determine</w:t>
      </w:r>
      <w:r w:rsidRPr="00D474A0">
        <w:rPr>
          <w:rFonts w:ascii="Times New Roman" w:hAnsi="Times New Roman" w:cs="Times New Roman"/>
          <w:color w:val="000000" w:themeColor="text1"/>
          <w:sz w:val="22"/>
        </w:rPr>
        <w:t xml:space="preserve"> cell invasion. Cells (2 × 104) were seeded into the upper chamber with 200 </w:t>
      </w:r>
      <w:proofErr w:type="spellStart"/>
      <w:r w:rsidRPr="00D474A0">
        <w:rPr>
          <w:rFonts w:ascii="Times New Roman" w:hAnsi="Times New Roman" w:cs="Times New Roman"/>
          <w:color w:val="000000" w:themeColor="text1"/>
          <w:sz w:val="22"/>
        </w:rPr>
        <w:t>μ</w:t>
      </w:r>
      <w:r>
        <w:rPr>
          <w:rFonts w:ascii="Times New Roman" w:hAnsi="Times New Roman" w:cs="Times New Roman"/>
          <w:color w:val="000000" w:themeColor="text1"/>
          <w:sz w:val="22"/>
        </w:rPr>
        <w:t>L</w:t>
      </w:r>
      <w:proofErr w:type="spellEnd"/>
      <w:r w:rsidRPr="00D474A0">
        <w:rPr>
          <w:rFonts w:ascii="Times New Roman" w:hAnsi="Times New Roman" w:cs="Times New Roman"/>
          <w:color w:val="000000" w:themeColor="text1"/>
          <w:sz w:val="22"/>
        </w:rPr>
        <w:t xml:space="preserve"> serum-free medium. A volume of 500 </w:t>
      </w:r>
      <w:proofErr w:type="spellStart"/>
      <w:r w:rsidRPr="00D474A0">
        <w:rPr>
          <w:rFonts w:ascii="Times New Roman" w:hAnsi="Times New Roman" w:cs="Times New Roman"/>
          <w:color w:val="000000" w:themeColor="text1"/>
          <w:sz w:val="22"/>
        </w:rPr>
        <w:t>μ</w:t>
      </w:r>
      <w:r>
        <w:rPr>
          <w:rFonts w:ascii="Times New Roman" w:hAnsi="Times New Roman" w:cs="Times New Roman"/>
          <w:color w:val="000000" w:themeColor="text1"/>
          <w:sz w:val="22"/>
        </w:rPr>
        <w:t>L</w:t>
      </w:r>
      <w:proofErr w:type="spellEnd"/>
      <w:r w:rsidRPr="00D474A0">
        <w:rPr>
          <w:rFonts w:ascii="Times New Roman" w:hAnsi="Times New Roman" w:cs="Times New Roman"/>
          <w:color w:val="000000" w:themeColor="text1"/>
          <w:sz w:val="22"/>
        </w:rPr>
        <w:t xml:space="preserve"> of appropriate medium supplemented with 10% FBS, which was used as a chemoattractant, was added to the lower chamber. After incubation for 48 h at 37°C, the invasive cells on the lower surface of the membrane insert were fixed in 4% paraformaldehyde and stained with 0.1% crystal violet (Sigma–Aldrich). Five random fields of view were selected, and images were captured for each chamber. All assays were performed in triplicate and repeated three times independently.</w:t>
      </w:r>
    </w:p>
    <w:p w:rsidR="003614A7" w:rsidRPr="00D474A0" w:rsidRDefault="003614A7" w:rsidP="003614A7">
      <w:pPr>
        <w:keepNext/>
        <w:keepLines/>
        <w:numPr>
          <w:ilvl w:val="1"/>
          <w:numId w:val="1"/>
        </w:numPr>
        <w:spacing w:before="260" w:after="260" w:line="480" w:lineRule="auto"/>
        <w:ind w:left="565"/>
        <w:outlineLvl w:val="2"/>
        <w:rPr>
          <w:rFonts w:ascii="Times New Roman" w:hAnsi="Times New Roman"/>
          <w:b/>
          <w:color w:val="000000" w:themeColor="text1"/>
          <w:sz w:val="28"/>
        </w:rPr>
      </w:pPr>
      <w:r w:rsidRPr="00D474A0">
        <w:rPr>
          <w:rFonts w:ascii="Times New Roman" w:hAnsi="Times New Roman"/>
          <w:b/>
          <w:color w:val="000000" w:themeColor="text1"/>
          <w:sz w:val="28"/>
        </w:rPr>
        <w:t>Cell cycle and apoptosis assays</w:t>
      </w:r>
    </w:p>
    <w:p w:rsidR="00246EAF" w:rsidRDefault="003614A7" w:rsidP="00797A28">
      <w:pPr>
        <w:spacing w:line="480" w:lineRule="auto"/>
        <w:ind w:firstLine="420"/>
        <w:rPr>
          <w:rFonts w:ascii="Times New Roman" w:hAnsi="Times New Roman" w:cs="Times New Roman"/>
          <w:color w:val="000000" w:themeColor="text1"/>
          <w:sz w:val="22"/>
        </w:rPr>
      </w:pPr>
      <w:r w:rsidRPr="00D474A0">
        <w:rPr>
          <w:rFonts w:ascii="Times New Roman" w:hAnsi="Times New Roman" w:cs="Times New Roman"/>
          <w:color w:val="000000" w:themeColor="text1"/>
          <w:sz w:val="22"/>
        </w:rPr>
        <w:t xml:space="preserve">Cell apoptosis analysis was performed using an Annexin V/PI apoptosis kit (Multi-Sciences, Hangzhou, China). Cells were collected via trypsinization and washed with PBS. The cells were double-stained with Annexin V-fluorescein isothiocyanate and propidium iodide. The apoptosis rate was detected using a flow cytometer (Beckman). Cells were harvested via </w:t>
      </w:r>
      <w:proofErr w:type="spellStart"/>
      <w:r w:rsidRPr="00D474A0">
        <w:rPr>
          <w:rFonts w:ascii="Times New Roman" w:hAnsi="Times New Roman" w:cs="Times New Roman"/>
          <w:color w:val="000000" w:themeColor="text1"/>
          <w:sz w:val="22"/>
        </w:rPr>
        <w:t>trypsini</w:t>
      </w:r>
      <w:r>
        <w:rPr>
          <w:rFonts w:ascii="Times New Roman" w:hAnsi="Times New Roman" w:cs="Times New Roman"/>
          <w:color w:val="000000" w:themeColor="text1"/>
          <w:sz w:val="22"/>
        </w:rPr>
        <w:t>s</w:t>
      </w:r>
      <w:r w:rsidRPr="00D474A0">
        <w:rPr>
          <w:rFonts w:ascii="Times New Roman" w:hAnsi="Times New Roman" w:cs="Times New Roman"/>
          <w:color w:val="000000" w:themeColor="text1"/>
          <w:sz w:val="22"/>
        </w:rPr>
        <w:t>ation</w:t>
      </w:r>
      <w:proofErr w:type="spellEnd"/>
      <w:r>
        <w:rPr>
          <w:rFonts w:ascii="Times New Roman" w:hAnsi="Times New Roman" w:cs="Times New Roman"/>
          <w:color w:val="000000" w:themeColor="text1"/>
          <w:sz w:val="22"/>
        </w:rPr>
        <w:t>,</w:t>
      </w:r>
      <w:r w:rsidRPr="00D474A0">
        <w:rPr>
          <w:rFonts w:ascii="Times New Roman" w:hAnsi="Times New Roman" w:cs="Times New Roman"/>
          <w:color w:val="000000" w:themeColor="text1"/>
          <w:sz w:val="22"/>
        </w:rPr>
        <w:t xml:space="preserve"> washed twice in ice‐cold PBS</w:t>
      </w:r>
      <w:r>
        <w:rPr>
          <w:rFonts w:ascii="Times New Roman" w:hAnsi="Times New Roman" w:cs="Times New Roman"/>
          <w:color w:val="000000" w:themeColor="text1"/>
          <w:sz w:val="22"/>
        </w:rPr>
        <w:t>, and</w:t>
      </w:r>
      <w:r w:rsidRPr="00D474A0">
        <w:rPr>
          <w:rFonts w:ascii="Times New Roman" w:hAnsi="Times New Roman" w:cs="Times New Roman"/>
          <w:color w:val="000000" w:themeColor="text1"/>
          <w:sz w:val="22"/>
        </w:rPr>
        <w:t xml:space="preserve"> stained with a cell cycle staining kit (Multi-Sciences, Hangzhou, China).</w:t>
      </w:r>
    </w:p>
    <w:p w:rsidR="00E85BCA" w:rsidRPr="00E85BCA" w:rsidRDefault="00E85BCA" w:rsidP="00E85BCA">
      <w:pPr>
        <w:keepNext/>
        <w:keepLines/>
        <w:numPr>
          <w:ilvl w:val="1"/>
          <w:numId w:val="1"/>
        </w:numPr>
        <w:spacing w:before="260" w:after="260" w:line="480" w:lineRule="auto"/>
        <w:ind w:left="565"/>
        <w:outlineLvl w:val="2"/>
        <w:rPr>
          <w:rFonts w:ascii="Times New Roman" w:hAnsi="Times New Roman"/>
          <w:b/>
          <w:color w:val="000000" w:themeColor="text1"/>
          <w:sz w:val="28"/>
        </w:rPr>
      </w:pPr>
      <w:r w:rsidRPr="00E85BCA">
        <w:rPr>
          <w:rFonts w:ascii="Times New Roman" w:hAnsi="Times New Roman"/>
          <w:b/>
          <w:color w:val="000000" w:themeColor="text1"/>
          <w:sz w:val="28"/>
        </w:rPr>
        <w:t>Nuclear and cytoplasmic RNA fractionation</w:t>
      </w:r>
    </w:p>
    <w:p w:rsidR="00E85BCA" w:rsidRPr="00871379" w:rsidRDefault="00E85BCA" w:rsidP="00E85BCA">
      <w:pPr>
        <w:spacing w:line="480" w:lineRule="auto"/>
        <w:ind w:firstLine="420"/>
        <w:rPr>
          <w:rFonts w:ascii="Times New Roman" w:hAnsi="Times New Roman" w:cs="Times New Roman"/>
          <w:color w:val="000000" w:themeColor="text1"/>
          <w:sz w:val="22"/>
        </w:rPr>
      </w:pPr>
      <w:bookmarkStart w:id="1" w:name="_GoBack"/>
      <w:r w:rsidRPr="00871379">
        <w:rPr>
          <w:rFonts w:ascii="Times New Roman" w:hAnsi="Times New Roman" w:cs="Times New Roman"/>
          <w:color w:val="000000" w:themeColor="text1"/>
          <w:sz w:val="22"/>
        </w:rPr>
        <w:t xml:space="preserve">Nuclear and cytoplasmic RNA was extracted using Nuclear and Cytoplasmic Extraction Reagents (Thermo Fisher Scientific, CA, United States) following the recommended protocol. RNA was subjected to qPCR detection. </w:t>
      </w:r>
      <w:bookmarkStart w:id="2" w:name="_Hlk117153867"/>
      <w:r w:rsidRPr="00871379">
        <w:rPr>
          <w:rFonts w:ascii="Times New Roman" w:hAnsi="Times New Roman" w:cs="Times New Roman"/>
          <w:color w:val="000000" w:themeColor="text1"/>
          <w:sz w:val="22"/>
        </w:rPr>
        <w:t>GAPDH</w:t>
      </w:r>
      <w:bookmarkEnd w:id="2"/>
      <w:r w:rsidRPr="00871379">
        <w:rPr>
          <w:rFonts w:ascii="Times New Roman" w:hAnsi="Times New Roman" w:cs="Times New Roman"/>
          <w:color w:val="000000" w:themeColor="text1"/>
          <w:sz w:val="22"/>
        </w:rPr>
        <w:t xml:space="preserve"> and U6 served as the cytoplasmic and nuclear </w:t>
      </w:r>
      <w:r w:rsidRPr="00871379">
        <w:rPr>
          <w:rFonts w:ascii="Times New Roman" w:hAnsi="Times New Roman" w:cs="Times New Roman"/>
          <w:color w:val="000000" w:themeColor="text1"/>
          <w:sz w:val="22"/>
        </w:rPr>
        <w:lastRenderedPageBreak/>
        <w:t>controls, respectively.</w:t>
      </w:r>
    </w:p>
    <w:bookmarkEnd w:id="1"/>
    <w:p w:rsidR="00797A28" w:rsidRPr="00E85BCA" w:rsidRDefault="00797A28" w:rsidP="00246EAF">
      <w:pPr>
        <w:spacing w:line="480" w:lineRule="auto"/>
        <w:rPr>
          <w:rFonts w:ascii="Times New Roman" w:hAnsi="Times New Roman" w:cs="Times New Roman" w:hint="eastAsia"/>
          <w:color w:val="000000" w:themeColor="text1"/>
          <w:sz w:val="22"/>
        </w:rPr>
      </w:pPr>
    </w:p>
    <w:sectPr w:rsidR="00797A28" w:rsidRPr="00E85B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44E0" w:rsidRDefault="009544E0" w:rsidP="00D512E0">
      <w:r>
        <w:separator/>
      </w:r>
    </w:p>
  </w:endnote>
  <w:endnote w:type="continuationSeparator" w:id="0">
    <w:p w:rsidR="009544E0" w:rsidRDefault="009544E0" w:rsidP="00D512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44E0" w:rsidRDefault="009544E0" w:rsidP="00D512E0">
      <w:r>
        <w:separator/>
      </w:r>
    </w:p>
  </w:footnote>
  <w:footnote w:type="continuationSeparator" w:id="0">
    <w:p w:rsidR="009544E0" w:rsidRDefault="009544E0" w:rsidP="00D512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031B84"/>
    <w:multiLevelType w:val="multilevel"/>
    <w:tmpl w:val="35F43BA8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59E"/>
    <w:rsid w:val="000B68AF"/>
    <w:rsid w:val="001B5EC9"/>
    <w:rsid w:val="001F157F"/>
    <w:rsid w:val="00246EAF"/>
    <w:rsid w:val="002805C0"/>
    <w:rsid w:val="00290AFC"/>
    <w:rsid w:val="0029236D"/>
    <w:rsid w:val="002B61D1"/>
    <w:rsid w:val="002E1C64"/>
    <w:rsid w:val="003614A7"/>
    <w:rsid w:val="00383772"/>
    <w:rsid w:val="003C4420"/>
    <w:rsid w:val="005B259E"/>
    <w:rsid w:val="00606C42"/>
    <w:rsid w:val="00704C32"/>
    <w:rsid w:val="00714BA0"/>
    <w:rsid w:val="00715E81"/>
    <w:rsid w:val="00797A28"/>
    <w:rsid w:val="00871379"/>
    <w:rsid w:val="009544E0"/>
    <w:rsid w:val="00954DBD"/>
    <w:rsid w:val="009768D7"/>
    <w:rsid w:val="00AA087E"/>
    <w:rsid w:val="00AC0067"/>
    <w:rsid w:val="00B83DF5"/>
    <w:rsid w:val="00CB5EEE"/>
    <w:rsid w:val="00D46B69"/>
    <w:rsid w:val="00D512E0"/>
    <w:rsid w:val="00DD515A"/>
    <w:rsid w:val="00E85BCA"/>
    <w:rsid w:val="00F25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D3BB73"/>
  <w15:chartTrackingRefBased/>
  <w15:docId w15:val="{DC73C1BE-F5AE-43CF-813A-775E6661D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5B259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B259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5B259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B259E"/>
    <w:rPr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D512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12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12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12E0"/>
    <w:rPr>
      <w:sz w:val="18"/>
      <w:szCs w:val="18"/>
    </w:rPr>
  </w:style>
  <w:style w:type="paragraph" w:styleId="a7">
    <w:name w:val="Subtitle"/>
    <w:aliases w:val="text"/>
    <w:basedOn w:val="a"/>
    <w:next w:val="a"/>
    <w:link w:val="a8"/>
    <w:uiPriority w:val="11"/>
    <w:qFormat/>
    <w:rsid w:val="00797A28"/>
    <w:rPr>
      <w:rFonts w:ascii="Times New Roman" w:hAnsi="Times New Roman" w:cs="Times New Roman"/>
      <w:sz w:val="20"/>
      <w:szCs w:val="20"/>
      <w:lang w:val="en-GB"/>
    </w:rPr>
  </w:style>
  <w:style w:type="character" w:customStyle="1" w:styleId="a8">
    <w:name w:val="副标题 字符"/>
    <w:aliases w:val="text 字符"/>
    <w:basedOn w:val="a0"/>
    <w:link w:val="a7"/>
    <w:uiPriority w:val="11"/>
    <w:rsid w:val="00797A28"/>
    <w:rPr>
      <w:rFonts w:ascii="Times New Roman" w:hAnsi="Times New Roman" w:cs="Times New Roman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703</Words>
  <Characters>4008</Characters>
  <Application>Microsoft Office Word</Application>
  <DocSecurity>0</DocSecurity>
  <Lines>33</Lines>
  <Paragraphs>9</Paragraphs>
  <ScaleCrop>false</ScaleCrop>
  <Company/>
  <LinksUpToDate>false</LinksUpToDate>
  <CharactersWithSpaces>4702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Jie</dc:creator>
  <cp:keywords/>
  <dc:description/>
  <cp:lastModifiedBy>Liu Jie</cp:lastModifiedBy>
  <cp:revision>15</cp:revision>
  <dcterms:created xsi:type="dcterms:W3CDTF">2022-03-02T13:53:00Z</dcterms:created>
  <dcterms:modified xsi:type="dcterms:W3CDTF">2022-10-28T10:00:00Z</dcterms:modified>
</cp:coreProperties>
</file>