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0EEE9" w14:textId="60D9CAED" w:rsidR="00E7364F" w:rsidRDefault="00E7364F" w:rsidP="00E7364F">
      <w:r>
        <w:rPr>
          <w:noProof/>
        </w:rPr>
        <w:drawing>
          <wp:inline distT="0" distB="0" distL="0" distR="0" wp14:anchorId="424A0A6D" wp14:editId="6AF985DF">
            <wp:extent cx="5274310" cy="401320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846"/>
                    <a:stretch/>
                  </pic:blipFill>
                  <pic:spPr bwMode="auto">
                    <a:xfrm>
                      <a:off x="0" y="0"/>
                      <a:ext cx="527431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167523" w14:textId="77777777" w:rsidR="00E7364F" w:rsidRPr="00E7364F" w:rsidRDefault="00E7364F" w:rsidP="00E7364F">
      <w:pPr>
        <w:rPr>
          <w:b/>
          <w:bCs/>
          <w:sz w:val="24"/>
          <w:szCs w:val="24"/>
        </w:rPr>
      </w:pPr>
      <w:r w:rsidRPr="00E7364F">
        <w:rPr>
          <w:b/>
          <w:bCs/>
          <w:sz w:val="24"/>
          <w:szCs w:val="24"/>
        </w:rPr>
        <w:t>Figure S1 PHMs were cultured and ORO staining</w:t>
      </w:r>
    </w:p>
    <w:p w14:paraId="3D2B1C37" w14:textId="44457853" w:rsidR="00E7364F" w:rsidRDefault="00E7364F" w:rsidP="00E7364F">
      <w:pPr>
        <w:rPr>
          <w:sz w:val="24"/>
          <w:szCs w:val="24"/>
        </w:rPr>
      </w:pPr>
      <w:r w:rsidRPr="00E7364F">
        <w:rPr>
          <w:sz w:val="24"/>
          <w:szCs w:val="24"/>
        </w:rPr>
        <w:t>(A) PHMs were isolated and cultured for 24 h and 48 h. The representative images were shown. (B) By ORO staining, cytosolic lipid droplets were increased markedly in lipotoxic PHMs (PA 400</w:t>
      </w:r>
      <w:r w:rsidR="009872C4">
        <w:rPr>
          <w:sz w:val="24"/>
          <w:szCs w:val="24"/>
        </w:rPr>
        <w:t xml:space="preserve"> </w:t>
      </w:r>
      <w:r w:rsidRPr="00E7364F">
        <w:rPr>
          <w:sz w:val="24"/>
          <w:szCs w:val="24"/>
        </w:rPr>
        <w:t>µM treated with 0, 6, 24 hours).</w:t>
      </w:r>
    </w:p>
    <w:p w14:paraId="70B6EACB" w14:textId="77777777" w:rsidR="00E7364F" w:rsidRDefault="00E7364F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8A896FD" w14:textId="1C9F3CEF" w:rsidR="00115677" w:rsidRDefault="00E7364F" w:rsidP="00E7364F">
      <w:pPr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D79CF1" wp14:editId="46574282">
            <wp:extent cx="4895850" cy="63563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429" b="6309"/>
                    <a:stretch/>
                  </pic:blipFill>
                  <pic:spPr bwMode="auto">
                    <a:xfrm>
                      <a:off x="0" y="0"/>
                      <a:ext cx="4895850" cy="635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75ADAA" w14:textId="77777777" w:rsidR="00E7364F" w:rsidRPr="00E7364F" w:rsidRDefault="00E7364F" w:rsidP="00E7364F">
      <w:pPr>
        <w:rPr>
          <w:sz w:val="24"/>
          <w:szCs w:val="24"/>
        </w:rPr>
      </w:pPr>
      <w:r w:rsidRPr="00E7364F">
        <w:rPr>
          <w:b/>
          <w:bCs/>
          <w:sz w:val="24"/>
          <w:szCs w:val="24"/>
        </w:rPr>
        <w:t xml:space="preserve">Figure S2 Quality control analyses and a landscape of </w:t>
      </w:r>
      <w:proofErr w:type="spellStart"/>
      <w:r w:rsidRPr="00E7364F">
        <w:rPr>
          <w:b/>
          <w:bCs/>
          <w:sz w:val="24"/>
          <w:szCs w:val="24"/>
        </w:rPr>
        <w:t>scRNA</w:t>
      </w:r>
      <w:proofErr w:type="spellEnd"/>
      <w:r w:rsidRPr="00E7364F">
        <w:rPr>
          <w:b/>
          <w:bCs/>
          <w:sz w:val="24"/>
          <w:szCs w:val="24"/>
        </w:rPr>
        <w:t>-seq of control and NASH mice</w:t>
      </w:r>
    </w:p>
    <w:p w14:paraId="2C943690" w14:textId="77777777" w:rsidR="00E7364F" w:rsidRPr="00E7364F" w:rsidRDefault="00E7364F" w:rsidP="00E7364F">
      <w:pPr>
        <w:rPr>
          <w:sz w:val="24"/>
          <w:szCs w:val="24"/>
        </w:rPr>
      </w:pPr>
      <w:r w:rsidRPr="00E7364F">
        <w:rPr>
          <w:sz w:val="24"/>
          <w:szCs w:val="24"/>
        </w:rPr>
        <w:t>(A) Quality control analyses was based on the unique feature counts, mRNA reads and the percentages of mitochondrial genes. (B) t-SNE plot showing NPC populations in all livers. The single NPCs were divided into 21 clusters. Each dot represents a single cell, and each color represents a different cluster.</w:t>
      </w:r>
    </w:p>
    <w:p w14:paraId="23F17026" w14:textId="1CAA4D8F" w:rsidR="00E7364F" w:rsidRDefault="00E7364F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C6E2AAF" w14:textId="3D9F0927" w:rsidR="00E7364F" w:rsidRDefault="00E7364F" w:rsidP="00E7364F">
      <w:pPr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7FE3BC" wp14:editId="223746AC">
            <wp:extent cx="5274310" cy="67843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8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C7E66" w14:textId="7341F0BA" w:rsidR="00E7364F" w:rsidRPr="00E7364F" w:rsidRDefault="00E7364F" w:rsidP="00E7364F">
      <w:pPr>
        <w:rPr>
          <w:sz w:val="24"/>
          <w:szCs w:val="24"/>
        </w:rPr>
      </w:pPr>
      <w:r w:rsidRPr="00E7364F">
        <w:rPr>
          <w:b/>
          <w:bCs/>
          <w:sz w:val="24"/>
          <w:szCs w:val="24"/>
        </w:rPr>
        <w:t xml:space="preserve">Figure S3 Top 10 DEGs of single-macrophage in </w:t>
      </w:r>
      <w:r w:rsidR="009872C4">
        <w:rPr>
          <w:b/>
          <w:bCs/>
          <w:sz w:val="24"/>
          <w:szCs w:val="24"/>
        </w:rPr>
        <w:t>C</w:t>
      </w:r>
      <w:r w:rsidRPr="00E7364F">
        <w:rPr>
          <w:b/>
          <w:bCs/>
          <w:sz w:val="24"/>
          <w:szCs w:val="24"/>
        </w:rPr>
        <w:t xml:space="preserve">uster 13 and </w:t>
      </w:r>
      <w:r w:rsidR="009872C4">
        <w:rPr>
          <w:b/>
          <w:bCs/>
          <w:sz w:val="24"/>
          <w:szCs w:val="24"/>
        </w:rPr>
        <w:t>C</w:t>
      </w:r>
      <w:r w:rsidRPr="00E7364F">
        <w:rPr>
          <w:b/>
          <w:bCs/>
          <w:sz w:val="24"/>
          <w:szCs w:val="24"/>
        </w:rPr>
        <w:t>luster 2</w:t>
      </w:r>
    </w:p>
    <w:p w14:paraId="62E9F674" w14:textId="799D940F" w:rsidR="00E7364F" w:rsidRPr="00E7364F" w:rsidRDefault="00E7364F" w:rsidP="00E7364F">
      <w:pPr>
        <w:rPr>
          <w:sz w:val="24"/>
          <w:szCs w:val="24"/>
        </w:rPr>
      </w:pPr>
      <w:r w:rsidRPr="00E7364F">
        <w:rPr>
          <w:sz w:val="24"/>
          <w:szCs w:val="24"/>
        </w:rPr>
        <w:t xml:space="preserve">Paired </w:t>
      </w:r>
      <w:proofErr w:type="spellStart"/>
      <w:r w:rsidRPr="00E7364F">
        <w:rPr>
          <w:sz w:val="24"/>
          <w:szCs w:val="24"/>
        </w:rPr>
        <w:t>tSNE</w:t>
      </w:r>
      <w:proofErr w:type="spellEnd"/>
      <w:r w:rsidRPr="00E7364F">
        <w:rPr>
          <w:sz w:val="24"/>
          <w:szCs w:val="24"/>
        </w:rPr>
        <w:t xml:space="preserve"> plots (left) and violin plots (right) showing expression levels of representative DEGs: (A) the top 10 specific DEGs of LAMs distributed in </w:t>
      </w:r>
      <w:r w:rsidR="009872C4">
        <w:rPr>
          <w:sz w:val="24"/>
          <w:szCs w:val="24"/>
        </w:rPr>
        <w:t>C</w:t>
      </w:r>
      <w:r w:rsidRPr="00E7364F">
        <w:rPr>
          <w:sz w:val="24"/>
          <w:szCs w:val="24"/>
        </w:rPr>
        <w:t>luster 13</w:t>
      </w:r>
      <w:r w:rsidRPr="00E7364F">
        <w:rPr>
          <w:rFonts w:hint="eastAsia"/>
          <w:sz w:val="24"/>
          <w:szCs w:val="24"/>
        </w:rPr>
        <w:t>；</w:t>
      </w:r>
      <w:r w:rsidRPr="00E7364F">
        <w:rPr>
          <w:sz w:val="24"/>
          <w:szCs w:val="24"/>
        </w:rPr>
        <w:t xml:space="preserve">  (B) the top 10 specific DEGs of resident KCs distributed in </w:t>
      </w:r>
      <w:r w:rsidR="009872C4">
        <w:rPr>
          <w:sz w:val="24"/>
          <w:szCs w:val="24"/>
        </w:rPr>
        <w:t>C</w:t>
      </w:r>
      <w:r w:rsidRPr="00E7364F">
        <w:rPr>
          <w:sz w:val="24"/>
          <w:szCs w:val="24"/>
        </w:rPr>
        <w:t>luster 2.</w:t>
      </w:r>
    </w:p>
    <w:p w14:paraId="192F00C0" w14:textId="77777777" w:rsidR="00E7364F" w:rsidRPr="009872C4" w:rsidRDefault="00E7364F" w:rsidP="00E7364F">
      <w:pPr>
        <w:rPr>
          <w:sz w:val="24"/>
          <w:szCs w:val="24"/>
        </w:rPr>
      </w:pPr>
    </w:p>
    <w:sectPr w:rsidR="00E7364F" w:rsidRPr="009872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CA92F" w14:textId="77777777" w:rsidR="00CE2270" w:rsidRDefault="00CE2270" w:rsidP="00F31D34">
      <w:r>
        <w:separator/>
      </w:r>
    </w:p>
  </w:endnote>
  <w:endnote w:type="continuationSeparator" w:id="0">
    <w:p w14:paraId="222249AE" w14:textId="77777777" w:rsidR="00CE2270" w:rsidRDefault="00CE2270" w:rsidP="00F31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6442D" w14:textId="77777777" w:rsidR="00CE2270" w:rsidRDefault="00CE2270" w:rsidP="00F31D34">
      <w:r>
        <w:separator/>
      </w:r>
    </w:p>
  </w:footnote>
  <w:footnote w:type="continuationSeparator" w:id="0">
    <w:p w14:paraId="02506A4B" w14:textId="77777777" w:rsidR="00CE2270" w:rsidRDefault="00CE2270" w:rsidP="00F31D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677"/>
    <w:rsid w:val="00115677"/>
    <w:rsid w:val="00141A75"/>
    <w:rsid w:val="009872C4"/>
    <w:rsid w:val="00CE2270"/>
    <w:rsid w:val="00E7364F"/>
    <w:rsid w:val="00F31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18F01E"/>
  <w15:chartTrackingRefBased/>
  <w15:docId w15:val="{CCC19E2A-F217-4746-9A5B-0DBB4A82B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Segoe UI"/>
        <w:color w:val="333333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677"/>
    <w:pPr>
      <w:widowControl w:val="0"/>
      <w:jc w:val="both"/>
    </w:pPr>
    <w:rPr>
      <w:rFonts w:cs="Times New Roman"/>
      <w:color w:val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1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1D34"/>
    <w:rPr>
      <w:rFonts w:cs="Times New Roman"/>
      <w:color w:val="auto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1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1D34"/>
    <w:rPr>
      <w:rFonts w:cs="Times New Roman"/>
      <w:color w:val="auto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5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3</cp:revision>
  <dcterms:created xsi:type="dcterms:W3CDTF">2022-10-06T05:07:00Z</dcterms:created>
  <dcterms:modified xsi:type="dcterms:W3CDTF">2022-10-16T07:45:00Z</dcterms:modified>
</cp:coreProperties>
</file>