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96EB4" w14:textId="77777777" w:rsidR="004968B3" w:rsidRPr="005A38E6" w:rsidRDefault="004968B3" w:rsidP="004968B3">
      <w:pPr>
        <w:pStyle w:val="2"/>
        <w:spacing w:line="480" w:lineRule="auto"/>
      </w:pPr>
      <w:r w:rsidRPr="005829C1">
        <w:t xml:space="preserve">Supplementary </w:t>
      </w:r>
      <w:r w:rsidRPr="005A38E6">
        <w:t>Information</w:t>
      </w:r>
    </w:p>
    <w:p w14:paraId="58F8B60C" w14:textId="77777777" w:rsidR="004968B3" w:rsidRDefault="004968B3" w:rsidP="004968B3">
      <w:pPr>
        <w:spacing w:line="480" w:lineRule="auto"/>
        <w:rPr>
          <w:rFonts w:ascii="Times New Roman" w:hAnsi="Times New Roman" w:cs="Times New Roman"/>
        </w:rPr>
      </w:pPr>
      <w:r w:rsidRPr="00DA48A0">
        <w:rPr>
          <w:rFonts w:ascii="Times New Roman" w:hAnsi="Times New Roman" w:cs="Times New Roman" w:hint="eastAsia"/>
          <w:b/>
          <w:bCs/>
        </w:rPr>
        <w:t>T</w:t>
      </w:r>
      <w:r w:rsidRPr="00DA48A0">
        <w:rPr>
          <w:rFonts w:ascii="Times New Roman" w:hAnsi="Times New Roman" w:cs="Times New Roman"/>
          <w:b/>
          <w:bCs/>
        </w:rPr>
        <w:t>able S1.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DA48A0">
        <w:rPr>
          <w:rFonts w:ascii="Times New Roman" w:hAnsi="Times New Roman" w:cs="Times New Roman"/>
        </w:rPr>
        <w:t>Cuproptosis</w:t>
      </w:r>
      <w:proofErr w:type="spellEnd"/>
      <w:r w:rsidRPr="00DA48A0">
        <w:rPr>
          <w:rFonts w:ascii="Times New Roman" w:hAnsi="Times New Roman" w:cs="Times New Roman"/>
        </w:rPr>
        <w:t>-related genes involved in our study</w:t>
      </w:r>
      <w:r>
        <w:rPr>
          <w:rFonts w:ascii="Times New Roman" w:hAnsi="Times New Roman" w:cs="Times New Roman"/>
        </w:rPr>
        <w:t>.</w:t>
      </w:r>
    </w:p>
    <w:p w14:paraId="586CCF36" w14:textId="77777777" w:rsidR="004968B3" w:rsidRDefault="004968B3" w:rsidP="004968B3">
      <w:pPr>
        <w:spacing w:line="480" w:lineRule="auto"/>
        <w:rPr>
          <w:rFonts w:ascii="Times New Roman" w:hAnsi="Times New Roman" w:cs="Times New Roman"/>
        </w:rPr>
      </w:pPr>
      <w:r w:rsidRPr="00DA48A0">
        <w:rPr>
          <w:rFonts w:ascii="Times New Roman" w:hAnsi="Times New Roman" w:cs="Times New Roman" w:hint="eastAsia"/>
          <w:b/>
          <w:bCs/>
        </w:rPr>
        <w:t>T</w:t>
      </w:r>
      <w:r w:rsidRPr="00DA48A0">
        <w:rPr>
          <w:rFonts w:ascii="Times New Roman" w:hAnsi="Times New Roman" w:cs="Times New Roman"/>
          <w:b/>
          <w:bCs/>
        </w:rPr>
        <w:t>able S2.</w:t>
      </w:r>
      <w:r w:rsidRPr="00DA48A0">
        <w:t xml:space="preserve"> </w:t>
      </w:r>
      <w:r w:rsidRPr="00DA48A0">
        <w:rPr>
          <w:rFonts w:ascii="Times New Roman" w:hAnsi="Times New Roman" w:cs="Times New Roman"/>
        </w:rPr>
        <w:t xml:space="preserve">185 DEGs </w:t>
      </w:r>
      <w:proofErr w:type="spellStart"/>
      <w:r w:rsidRPr="00DA48A0">
        <w:rPr>
          <w:rFonts w:ascii="Times New Roman" w:hAnsi="Times New Roman" w:cs="Times New Roman"/>
        </w:rPr>
        <w:t>idenfied</w:t>
      </w:r>
      <w:proofErr w:type="spellEnd"/>
      <w:r w:rsidRPr="00DA48A0">
        <w:rPr>
          <w:rFonts w:ascii="Times New Roman" w:hAnsi="Times New Roman" w:cs="Times New Roman"/>
        </w:rPr>
        <w:t xml:space="preserve"> among three CRG clusters</w:t>
      </w:r>
      <w:r>
        <w:rPr>
          <w:rFonts w:ascii="Times New Roman" w:hAnsi="Times New Roman" w:cs="Times New Roman"/>
        </w:rPr>
        <w:t>.</w:t>
      </w:r>
    </w:p>
    <w:p w14:paraId="61563730" w14:textId="77777777" w:rsidR="004968B3" w:rsidRDefault="004968B3" w:rsidP="004968B3">
      <w:pPr>
        <w:spacing w:line="480" w:lineRule="auto"/>
        <w:rPr>
          <w:rFonts w:ascii="Times New Roman" w:hAnsi="Times New Roman" w:cs="Times New Roman"/>
        </w:rPr>
      </w:pPr>
      <w:r w:rsidRPr="00C621F3">
        <w:rPr>
          <w:rFonts w:ascii="Times New Roman" w:hAnsi="Times New Roman" w:cs="Times New Roman" w:hint="eastAsia"/>
          <w:b/>
          <w:bCs/>
        </w:rPr>
        <w:t>F</w:t>
      </w:r>
      <w:r w:rsidRPr="00C621F3">
        <w:rPr>
          <w:rFonts w:ascii="Times New Roman" w:hAnsi="Times New Roman" w:cs="Times New Roman"/>
          <w:b/>
          <w:bCs/>
        </w:rPr>
        <w:t>igure S1.</w:t>
      </w:r>
      <w:r>
        <w:rPr>
          <w:rFonts w:ascii="Times New Roman" w:hAnsi="Times New Roman" w:cs="Times New Roman"/>
        </w:rPr>
        <w:t xml:space="preserve"> The relationships between expression </w:t>
      </w:r>
      <w:r>
        <w:rPr>
          <w:rFonts w:ascii="Times New Roman" w:hAnsi="Times New Roman" w:cs="Times New Roman" w:hint="eastAsia"/>
        </w:rPr>
        <w:t>of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cuproptosis</w:t>
      </w:r>
      <w:proofErr w:type="spellEnd"/>
      <w:r>
        <w:rPr>
          <w:rFonts w:ascii="Times New Roman" w:hAnsi="Times New Roman" w:cs="Times New Roman"/>
        </w:rPr>
        <w:t xml:space="preserve"> genes and OS. (A-L</w:t>
      </w:r>
      <w:r>
        <w:rPr>
          <w:rFonts w:ascii="Times New Roman" w:hAnsi="Times New Roman" w:cs="Times New Roman" w:hint="eastAsia"/>
        </w:rPr>
        <w:t xml:space="preserve">) </w:t>
      </w:r>
      <w:r w:rsidRPr="00B618CF">
        <w:rPr>
          <w:rFonts w:ascii="Times New Roman" w:hAnsi="Times New Roman" w:cs="Times New Roman"/>
        </w:rPr>
        <w:t xml:space="preserve">Kaplan–Meier </w:t>
      </w:r>
      <w:r>
        <w:rPr>
          <w:rFonts w:ascii="Times New Roman" w:hAnsi="Times New Roman" w:cs="Times New Roman"/>
        </w:rPr>
        <w:t>plots show the prognostic value of 12 CRGs in UC patients.</w:t>
      </w:r>
    </w:p>
    <w:p w14:paraId="43900DD8" w14:textId="77777777" w:rsidR="004968B3" w:rsidRDefault="004968B3" w:rsidP="004968B3">
      <w:pPr>
        <w:spacing w:line="480" w:lineRule="auto"/>
        <w:rPr>
          <w:rFonts w:ascii="Times New Roman" w:hAnsi="Times New Roman" w:cs="Times New Roman"/>
        </w:rPr>
      </w:pPr>
      <w:r w:rsidRPr="00C621F3">
        <w:rPr>
          <w:rFonts w:ascii="Times New Roman" w:hAnsi="Times New Roman" w:cs="Times New Roman" w:hint="eastAsia"/>
          <w:b/>
          <w:bCs/>
        </w:rPr>
        <w:t>F</w:t>
      </w:r>
      <w:r w:rsidRPr="00C621F3">
        <w:rPr>
          <w:rFonts w:ascii="Times New Roman" w:hAnsi="Times New Roman" w:cs="Times New Roman"/>
          <w:b/>
          <w:bCs/>
        </w:rPr>
        <w:t xml:space="preserve">igure S2. </w:t>
      </w:r>
      <w:r>
        <w:rPr>
          <w:rFonts w:ascii="Times New Roman" w:hAnsi="Times New Roman" w:cs="Times New Roman"/>
        </w:rPr>
        <w:t>Prognosis value of CRG risk model in training, validation, and entire cohorts. (A-I) Distribution of the survival status, CRG risk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score, and expression profiles of four genes in the training, validation, and entire sets.</w:t>
      </w:r>
    </w:p>
    <w:p w14:paraId="086FF668" w14:textId="77777777" w:rsidR="004968B3" w:rsidRPr="009A0C52" w:rsidRDefault="004968B3" w:rsidP="004968B3">
      <w:pPr>
        <w:spacing w:line="480" w:lineRule="auto"/>
        <w:rPr>
          <w:rFonts w:ascii="Times New Roman" w:hAnsi="Times New Roman" w:cs="Times New Roman"/>
        </w:rPr>
      </w:pPr>
      <w:r w:rsidRPr="00BA7111">
        <w:rPr>
          <w:rFonts w:ascii="Times New Roman" w:hAnsi="Times New Roman" w:cs="Times New Roman" w:hint="eastAsia"/>
          <w:b/>
          <w:bCs/>
        </w:rPr>
        <w:t>F</w:t>
      </w:r>
      <w:r w:rsidRPr="00BA7111">
        <w:rPr>
          <w:rFonts w:ascii="Times New Roman" w:hAnsi="Times New Roman" w:cs="Times New Roman"/>
          <w:b/>
          <w:bCs/>
        </w:rPr>
        <w:t xml:space="preserve">igure S3. </w:t>
      </w:r>
      <w:r>
        <w:rPr>
          <w:rFonts w:ascii="Times New Roman" w:hAnsi="Times New Roman" w:cs="Times New Roman"/>
        </w:rPr>
        <w:t>Association of immune infiltrating cells with CRG risk-score.</w:t>
      </w:r>
    </w:p>
    <w:p w14:paraId="2EA2411B" w14:textId="77777777" w:rsidR="006667A5" w:rsidRPr="004968B3" w:rsidRDefault="006667A5"/>
    <w:sectPr w:rsidR="006667A5" w:rsidRPr="004968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B0F402" w14:textId="77777777" w:rsidR="002757A9" w:rsidRDefault="002757A9" w:rsidP="004968B3">
      <w:r>
        <w:separator/>
      </w:r>
    </w:p>
  </w:endnote>
  <w:endnote w:type="continuationSeparator" w:id="0">
    <w:p w14:paraId="276B2A5B" w14:textId="77777777" w:rsidR="002757A9" w:rsidRDefault="002757A9" w:rsidP="00496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8D2B8" w14:textId="77777777" w:rsidR="002757A9" w:rsidRDefault="002757A9" w:rsidP="004968B3">
      <w:r>
        <w:separator/>
      </w:r>
    </w:p>
  </w:footnote>
  <w:footnote w:type="continuationSeparator" w:id="0">
    <w:p w14:paraId="2F26C9E5" w14:textId="77777777" w:rsidR="002757A9" w:rsidRDefault="002757A9" w:rsidP="004968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951"/>
    <w:rsid w:val="002757A9"/>
    <w:rsid w:val="004968B3"/>
    <w:rsid w:val="006667A5"/>
    <w:rsid w:val="00A8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1AE7C0F-2968-4B00-8940-343F4BB9E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68B3"/>
    <w:pPr>
      <w:widowControl w:val="0"/>
      <w:jc w:val="both"/>
    </w:pPr>
    <w:rPr>
      <w:rFonts w:ascii="Times" w:eastAsia="等线" w:hAnsi="Times"/>
    </w:rPr>
  </w:style>
  <w:style w:type="paragraph" w:styleId="2">
    <w:name w:val="heading 2"/>
    <w:basedOn w:val="a"/>
    <w:next w:val="a"/>
    <w:link w:val="20"/>
    <w:uiPriority w:val="9"/>
    <w:unhideWhenUsed/>
    <w:qFormat/>
    <w:rsid w:val="004968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68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68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68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68B3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4968B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彦浩</dc:creator>
  <cp:keywords/>
  <dc:description/>
  <cp:lastModifiedBy>王 彦浩</cp:lastModifiedBy>
  <cp:revision>2</cp:revision>
  <dcterms:created xsi:type="dcterms:W3CDTF">2022-11-03T03:50:00Z</dcterms:created>
  <dcterms:modified xsi:type="dcterms:W3CDTF">2022-11-03T03:50:00Z</dcterms:modified>
</cp:coreProperties>
</file>