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2F8BD" w14:textId="77777777" w:rsidR="00C41797" w:rsidRDefault="00C41797" w:rsidP="006B6712">
      <w:pPr>
        <w:spacing w:before="240" w:line="240" w:lineRule="auto"/>
        <w:rPr>
          <w:b/>
          <w:lang w:val="en-US"/>
        </w:rPr>
      </w:pPr>
    </w:p>
    <w:p w14:paraId="1B50B6C2" w14:textId="50880349" w:rsidR="00E52734" w:rsidRDefault="00D441E3" w:rsidP="006B6712">
      <w:pPr>
        <w:spacing w:before="240" w:line="240" w:lineRule="auto"/>
        <w:rPr>
          <w:b/>
          <w:lang w:val="en-US"/>
        </w:rPr>
      </w:pPr>
      <w:r w:rsidRPr="00D441E3">
        <w:rPr>
          <w:b/>
          <w:lang w:val="en-US"/>
        </w:rPr>
        <w:t xml:space="preserve">Table S1: Hematological profile of the study participants </w:t>
      </w:r>
    </w:p>
    <w:tbl>
      <w:tblPr>
        <w:tblStyle w:val="TableGrid"/>
        <w:tblW w:w="9409" w:type="dxa"/>
        <w:tblInd w:w="-45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1924"/>
        <w:gridCol w:w="1842"/>
        <w:gridCol w:w="1418"/>
      </w:tblGrid>
      <w:tr w:rsidR="00665BAC" w:rsidRPr="009267B1" w14:paraId="524C6F66" w14:textId="77777777" w:rsidTr="00665BAC">
        <w:trPr>
          <w:trHeight w:val="290"/>
        </w:trPr>
        <w:tc>
          <w:tcPr>
            <w:tcW w:w="4225" w:type="dxa"/>
            <w:tcBorders>
              <w:bottom w:val="single" w:sz="18" w:space="0" w:color="auto"/>
            </w:tcBorders>
            <w:noWrap/>
            <w:hideMark/>
          </w:tcPr>
          <w:p w14:paraId="027FF0EB" w14:textId="77777777" w:rsidR="00665BAC" w:rsidRPr="009267B1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b/>
                <w:bCs/>
                <w:szCs w:val="24"/>
              </w:rPr>
              <w:t>Variables</w:t>
            </w:r>
          </w:p>
        </w:tc>
        <w:tc>
          <w:tcPr>
            <w:tcW w:w="1924" w:type="dxa"/>
            <w:tcBorders>
              <w:bottom w:val="single" w:sz="18" w:space="0" w:color="auto"/>
            </w:tcBorders>
            <w:noWrap/>
            <w:hideMark/>
          </w:tcPr>
          <w:p w14:paraId="014A22F1" w14:textId="77777777" w:rsid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b/>
                <w:bCs/>
                <w:szCs w:val="24"/>
              </w:rPr>
              <w:t>Cases</w:t>
            </w:r>
          </w:p>
          <w:p w14:paraId="142B3A8B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>
              <w:rPr>
                <w:rFonts w:ascii="Adobe Devanagari" w:eastAsia="Calibri" w:hAnsi="Adobe Devanagari" w:cs="Adobe Devanagari"/>
                <w:b/>
                <w:bCs/>
                <w:szCs w:val="24"/>
              </w:rPr>
              <w:t>(n=146)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noWrap/>
            <w:hideMark/>
          </w:tcPr>
          <w:p w14:paraId="59719971" w14:textId="77777777" w:rsid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b/>
                <w:bCs/>
                <w:szCs w:val="24"/>
              </w:rPr>
              <w:t>Control</w:t>
            </w:r>
          </w:p>
          <w:p w14:paraId="76185E8B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>
              <w:rPr>
                <w:rFonts w:ascii="Adobe Devanagari" w:eastAsia="Calibri" w:hAnsi="Adobe Devanagari" w:cs="Adobe Devanagari"/>
                <w:b/>
                <w:bCs/>
                <w:szCs w:val="24"/>
              </w:rPr>
              <w:t>(n=146)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noWrap/>
            <w:hideMark/>
          </w:tcPr>
          <w:p w14:paraId="1FEFEC6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bCs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b/>
                <w:bCs/>
                <w:szCs w:val="24"/>
              </w:rPr>
              <w:t>P-value</w:t>
            </w:r>
          </w:p>
        </w:tc>
      </w:tr>
      <w:tr w:rsidR="00665BAC" w:rsidRPr="009267B1" w14:paraId="5477A1B0" w14:textId="77777777" w:rsidTr="00665BAC">
        <w:trPr>
          <w:trHeight w:val="290"/>
        </w:trPr>
        <w:tc>
          <w:tcPr>
            <w:tcW w:w="4225" w:type="dxa"/>
            <w:tcBorders>
              <w:top w:val="single" w:sz="18" w:space="0" w:color="auto"/>
            </w:tcBorders>
            <w:noWrap/>
            <w:hideMark/>
          </w:tcPr>
          <w:p w14:paraId="595A894D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Hb (13.0 -18.0M; 12.0 -16.0F) g/dL</w:t>
            </w:r>
          </w:p>
        </w:tc>
        <w:tc>
          <w:tcPr>
            <w:tcW w:w="1924" w:type="dxa"/>
            <w:tcBorders>
              <w:top w:val="single" w:sz="18" w:space="0" w:color="auto"/>
            </w:tcBorders>
            <w:noWrap/>
            <w:hideMark/>
          </w:tcPr>
          <w:p w14:paraId="0152225F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12.3(2.1)</w:t>
            </w:r>
          </w:p>
        </w:tc>
        <w:tc>
          <w:tcPr>
            <w:tcW w:w="1842" w:type="dxa"/>
            <w:tcBorders>
              <w:top w:val="single" w:sz="18" w:space="0" w:color="auto"/>
            </w:tcBorders>
            <w:noWrap/>
            <w:hideMark/>
          </w:tcPr>
          <w:p w14:paraId="46FD505B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12.9(1.9)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noWrap/>
            <w:hideMark/>
          </w:tcPr>
          <w:p w14:paraId="7F009596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0.009</w:t>
            </w:r>
          </w:p>
        </w:tc>
      </w:tr>
      <w:tr w:rsidR="00665BAC" w:rsidRPr="009267B1" w14:paraId="11FF90AE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0C82C311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Total WBC count (4.3 - 11.5) 109/L</w:t>
            </w:r>
          </w:p>
        </w:tc>
        <w:tc>
          <w:tcPr>
            <w:tcW w:w="1924" w:type="dxa"/>
            <w:noWrap/>
            <w:hideMark/>
          </w:tcPr>
          <w:p w14:paraId="0F822CC2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5.9(1.8)</w:t>
            </w:r>
          </w:p>
        </w:tc>
        <w:tc>
          <w:tcPr>
            <w:tcW w:w="1842" w:type="dxa"/>
            <w:noWrap/>
            <w:hideMark/>
          </w:tcPr>
          <w:p w14:paraId="0FFBD031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6.8(3.1)</w:t>
            </w:r>
          </w:p>
        </w:tc>
        <w:tc>
          <w:tcPr>
            <w:tcW w:w="1418" w:type="dxa"/>
            <w:noWrap/>
            <w:hideMark/>
          </w:tcPr>
          <w:p w14:paraId="4A6EA6BE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1E13B9D0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145E2BE5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Neutrophils (50.0 - 70.0%)</w:t>
            </w:r>
          </w:p>
        </w:tc>
        <w:tc>
          <w:tcPr>
            <w:tcW w:w="1924" w:type="dxa"/>
            <w:noWrap/>
            <w:hideMark/>
          </w:tcPr>
          <w:p w14:paraId="7BC6AB02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45.9(13.4)</w:t>
            </w:r>
          </w:p>
        </w:tc>
        <w:tc>
          <w:tcPr>
            <w:tcW w:w="1842" w:type="dxa"/>
            <w:noWrap/>
            <w:hideMark/>
          </w:tcPr>
          <w:p w14:paraId="0F9B5C1F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57.6(15.3)</w:t>
            </w:r>
          </w:p>
        </w:tc>
        <w:tc>
          <w:tcPr>
            <w:tcW w:w="1418" w:type="dxa"/>
            <w:noWrap/>
            <w:hideMark/>
          </w:tcPr>
          <w:p w14:paraId="5629D66B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4F12F327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75CC2C76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Lymphocytes (20.0 - 40.0%)</w:t>
            </w:r>
          </w:p>
        </w:tc>
        <w:tc>
          <w:tcPr>
            <w:tcW w:w="1924" w:type="dxa"/>
            <w:noWrap/>
            <w:hideMark/>
          </w:tcPr>
          <w:p w14:paraId="34D2AB25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44.1(13.0)</w:t>
            </w:r>
          </w:p>
        </w:tc>
        <w:tc>
          <w:tcPr>
            <w:tcW w:w="1842" w:type="dxa"/>
            <w:noWrap/>
            <w:hideMark/>
          </w:tcPr>
          <w:p w14:paraId="10FC831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32.8(14.2)</w:t>
            </w:r>
          </w:p>
        </w:tc>
        <w:tc>
          <w:tcPr>
            <w:tcW w:w="1418" w:type="dxa"/>
            <w:noWrap/>
            <w:hideMark/>
          </w:tcPr>
          <w:p w14:paraId="423D91E6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267E708B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25070DC4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Monocytes (3.0 -12.0%)</w:t>
            </w:r>
          </w:p>
        </w:tc>
        <w:tc>
          <w:tcPr>
            <w:tcW w:w="1924" w:type="dxa"/>
            <w:noWrap/>
            <w:hideMark/>
          </w:tcPr>
          <w:p w14:paraId="1AA7CF9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5.8(4.8)</w:t>
            </w:r>
          </w:p>
        </w:tc>
        <w:tc>
          <w:tcPr>
            <w:tcW w:w="1842" w:type="dxa"/>
            <w:noWrap/>
            <w:hideMark/>
          </w:tcPr>
          <w:p w14:paraId="32D31D29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6.9(2.7)</w:t>
            </w:r>
          </w:p>
        </w:tc>
        <w:tc>
          <w:tcPr>
            <w:tcW w:w="1418" w:type="dxa"/>
            <w:noWrap/>
            <w:hideMark/>
          </w:tcPr>
          <w:p w14:paraId="681270CE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0.013</w:t>
            </w:r>
          </w:p>
        </w:tc>
      </w:tr>
      <w:tr w:rsidR="00665BAC" w:rsidRPr="009267B1" w14:paraId="19C95A58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BB058F0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Eosinophils (0.5 - 5.0%)</w:t>
            </w:r>
          </w:p>
        </w:tc>
        <w:tc>
          <w:tcPr>
            <w:tcW w:w="1924" w:type="dxa"/>
            <w:noWrap/>
            <w:hideMark/>
          </w:tcPr>
          <w:p w14:paraId="1750E43A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3.2(3.1)</w:t>
            </w:r>
          </w:p>
        </w:tc>
        <w:tc>
          <w:tcPr>
            <w:tcW w:w="1842" w:type="dxa"/>
            <w:noWrap/>
            <w:hideMark/>
          </w:tcPr>
          <w:p w14:paraId="1550544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2.5(2.8)</w:t>
            </w:r>
          </w:p>
        </w:tc>
        <w:tc>
          <w:tcPr>
            <w:tcW w:w="1418" w:type="dxa"/>
            <w:noWrap/>
            <w:hideMark/>
          </w:tcPr>
          <w:p w14:paraId="45BDB4AE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0.028</w:t>
            </w:r>
          </w:p>
        </w:tc>
      </w:tr>
      <w:tr w:rsidR="00665BAC" w:rsidRPr="009267B1" w14:paraId="099FF271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C9BA15B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Basophils (0.0 -1.0%)</w:t>
            </w:r>
          </w:p>
        </w:tc>
        <w:tc>
          <w:tcPr>
            <w:tcW w:w="1924" w:type="dxa"/>
            <w:noWrap/>
            <w:hideMark/>
          </w:tcPr>
          <w:p w14:paraId="598A138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1.6(1.6)</w:t>
            </w:r>
          </w:p>
        </w:tc>
        <w:tc>
          <w:tcPr>
            <w:tcW w:w="1842" w:type="dxa"/>
            <w:noWrap/>
            <w:hideMark/>
          </w:tcPr>
          <w:p w14:paraId="211BD200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0.3(0.6)</w:t>
            </w:r>
          </w:p>
        </w:tc>
        <w:tc>
          <w:tcPr>
            <w:tcW w:w="1418" w:type="dxa"/>
            <w:noWrap/>
            <w:hideMark/>
          </w:tcPr>
          <w:p w14:paraId="43540711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6FBBFCED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82495AB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Platelets (100-300)x109/L</w:t>
            </w:r>
          </w:p>
        </w:tc>
        <w:tc>
          <w:tcPr>
            <w:tcW w:w="1924" w:type="dxa"/>
            <w:noWrap/>
            <w:hideMark/>
          </w:tcPr>
          <w:p w14:paraId="0E8E98F1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195(53)</w:t>
            </w:r>
          </w:p>
        </w:tc>
        <w:tc>
          <w:tcPr>
            <w:tcW w:w="1842" w:type="dxa"/>
            <w:noWrap/>
            <w:hideMark/>
          </w:tcPr>
          <w:p w14:paraId="0F8E0489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222(70)</w:t>
            </w:r>
          </w:p>
        </w:tc>
        <w:tc>
          <w:tcPr>
            <w:tcW w:w="1418" w:type="dxa"/>
            <w:noWrap/>
            <w:hideMark/>
          </w:tcPr>
          <w:p w14:paraId="5650AAF9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00338C99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19E31493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Hematocrit (37.0 - 54.0%)</w:t>
            </w:r>
          </w:p>
        </w:tc>
        <w:tc>
          <w:tcPr>
            <w:tcW w:w="1924" w:type="dxa"/>
            <w:noWrap/>
            <w:hideMark/>
          </w:tcPr>
          <w:p w14:paraId="3799044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36.7(6.7)</w:t>
            </w:r>
          </w:p>
        </w:tc>
        <w:tc>
          <w:tcPr>
            <w:tcW w:w="1842" w:type="dxa"/>
            <w:noWrap/>
            <w:hideMark/>
          </w:tcPr>
          <w:p w14:paraId="0445C61A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35.4(5.9)</w:t>
            </w:r>
          </w:p>
        </w:tc>
        <w:tc>
          <w:tcPr>
            <w:tcW w:w="1418" w:type="dxa"/>
            <w:noWrap/>
            <w:hideMark/>
          </w:tcPr>
          <w:p w14:paraId="03CD90AA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0.088</w:t>
            </w:r>
          </w:p>
        </w:tc>
      </w:tr>
      <w:tr w:rsidR="00665BAC" w:rsidRPr="009267B1" w14:paraId="667CD43F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4A57DF5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RBC's (3.5-5.5)x1012/L</w:t>
            </w:r>
          </w:p>
        </w:tc>
        <w:tc>
          <w:tcPr>
            <w:tcW w:w="1924" w:type="dxa"/>
            <w:noWrap/>
            <w:hideMark/>
          </w:tcPr>
          <w:p w14:paraId="6BDDF891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4.3(0.7)</w:t>
            </w:r>
          </w:p>
        </w:tc>
        <w:tc>
          <w:tcPr>
            <w:tcW w:w="1842" w:type="dxa"/>
            <w:noWrap/>
            <w:hideMark/>
          </w:tcPr>
          <w:p w14:paraId="3D95D5BA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4.2(0.6)</w:t>
            </w:r>
          </w:p>
        </w:tc>
        <w:tc>
          <w:tcPr>
            <w:tcW w:w="1418" w:type="dxa"/>
            <w:noWrap/>
            <w:hideMark/>
          </w:tcPr>
          <w:p w14:paraId="38350E92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0.134</w:t>
            </w:r>
          </w:p>
        </w:tc>
      </w:tr>
      <w:tr w:rsidR="00665BAC" w:rsidRPr="009267B1" w14:paraId="3C365419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DE77397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 xml:space="preserve">MCV (80.0 -100.0 </w:t>
            </w:r>
            <w:proofErr w:type="spellStart"/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fL</w:t>
            </w:r>
            <w:proofErr w:type="spellEnd"/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)</w:t>
            </w:r>
          </w:p>
        </w:tc>
        <w:tc>
          <w:tcPr>
            <w:tcW w:w="1924" w:type="dxa"/>
            <w:noWrap/>
            <w:hideMark/>
          </w:tcPr>
          <w:p w14:paraId="134A479E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83.2(11.1)</w:t>
            </w:r>
          </w:p>
        </w:tc>
        <w:tc>
          <w:tcPr>
            <w:tcW w:w="1842" w:type="dxa"/>
            <w:noWrap/>
            <w:hideMark/>
          </w:tcPr>
          <w:p w14:paraId="23AA311F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83.9(7.5)</w:t>
            </w:r>
          </w:p>
        </w:tc>
        <w:tc>
          <w:tcPr>
            <w:tcW w:w="1418" w:type="dxa"/>
            <w:noWrap/>
            <w:hideMark/>
          </w:tcPr>
          <w:p w14:paraId="532B38FE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0.474</w:t>
            </w:r>
          </w:p>
        </w:tc>
      </w:tr>
      <w:tr w:rsidR="00665BAC" w:rsidRPr="009267B1" w14:paraId="20B92F66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0B45052C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MCH (27.0 -34.0 pg)</w:t>
            </w:r>
          </w:p>
        </w:tc>
        <w:tc>
          <w:tcPr>
            <w:tcW w:w="1924" w:type="dxa"/>
            <w:noWrap/>
            <w:hideMark/>
          </w:tcPr>
          <w:p w14:paraId="71E4246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28.3(5.5)</w:t>
            </w:r>
          </w:p>
        </w:tc>
        <w:tc>
          <w:tcPr>
            <w:tcW w:w="1842" w:type="dxa"/>
            <w:noWrap/>
            <w:hideMark/>
          </w:tcPr>
          <w:p w14:paraId="58555ED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30.9(5.7)</w:t>
            </w:r>
          </w:p>
        </w:tc>
        <w:tc>
          <w:tcPr>
            <w:tcW w:w="1418" w:type="dxa"/>
            <w:noWrap/>
            <w:hideMark/>
          </w:tcPr>
          <w:p w14:paraId="5E23DBEE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4C016134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7B5C3225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MCHC (32.0 -36.0 g/dL)</w:t>
            </w:r>
          </w:p>
        </w:tc>
        <w:tc>
          <w:tcPr>
            <w:tcW w:w="1924" w:type="dxa"/>
            <w:noWrap/>
            <w:hideMark/>
          </w:tcPr>
          <w:p w14:paraId="1AFCAA55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32.9(3.2)</w:t>
            </w:r>
          </w:p>
        </w:tc>
        <w:tc>
          <w:tcPr>
            <w:tcW w:w="1842" w:type="dxa"/>
            <w:noWrap/>
            <w:hideMark/>
          </w:tcPr>
          <w:p w14:paraId="6A1F402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36.2(3.0)</w:t>
            </w:r>
          </w:p>
        </w:tc>
        <w:tc>
          <w:tcPr>
            <w:tcW w:w="1418" w:type="dxa"/>
            <w:noWrap/>
            <w:hideMark/>
          </w:tcPr>
          <w:p w14:paraId="4BEC86EF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5114179D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6BFAF4AF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RDW-CV (11.0 -16.0%)</w:t>
            </w:r>
          </w:p>
        </w:tc>
        <w:tc>
          <w:tcPr>
            <w:tcW w:w="1924" w:type="dxa"/>
            <w:noWrap/>
            <w:hideMark/>
          </w:tcPr>
          <w:p w14:paraId="1589D3E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15.3(4.4)</w:t>
            </w:r>
          </w:p>
        </w:tc>
        <w:tc>
          <w:tcPr>
            <w:tcW w:w="1842" w:type="dxa"/>
            <w:noWrap/>
            <w:hideMark/>
          </w:tcPr>
          <w:p w14:paraId="63927E1C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13.4(1.4)</w:t>
            </w:r>
          </w:p>
        </w:tc>
        <w:tc>
          <w:tcPr>
            <w:tcW w:w="1418" w:type="dxa"/>
            <w:noWrap/>
            <w:hideMark/>
          </w:tcPr>
          <w:p w14:paraId="05FCDF6D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3B376D31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0ADAB2A9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 xml:space="preserve">RDW-SD (35.0 - 56.0 </w:t>
            </w:r>
            <w:proofErr w:type="spellStart"/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fL</w:t>
            </w:r>
            <w:proofErr w:type="spellEnd"/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)</w:t>
            </w:r>
          </w:p>
        </w:tc>
        <w:tc>
          <w:tcPr>
            <w:tcW w:w="1924" w:type="dxa"/>
            <w:noWrap/>
            <w:hideMark/>
          </w:tcPr>
          <w:p w14:paraId="0304C1F5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46.7(7.8)</w:t>
            </w:r>
          </w:p>
        </w:tc>
        <w:tc>
          <w:tcPr>
            <w:tcW w:w="1842" w:type="dxa"/>
            <w:noWrap/>
            <w:hideMark/>
          </w:tcPr>
          <w:p w14:paraId="68918F32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42.8(5.4)</w:t>
            </w:r>
          </w:p>
        </w:tc>
        <w:tc>
          <w:tcPr>
            <w:tcW w:w="1418" w:type="dxa"/>
            <w:noWrap/>
            <w:hideMark/>
          </w:tcPr>
          <w:p w14:paraId="332F5E0A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4D200EED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5864B62F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PDW(9 -17)</w:t>
            </w:r>
          </w:p>
        </w:tc>
        <w:tc>
          <w:tcPr>
            <w:tcW w:w="1924" w:type="dxa"/>
            <w:noWrap/>
            <w:hideMark/>
          </w:tcPr>
          <w:p w14:paraId="2AAE0A8F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14.5(3.2)</w:t>
            </w:r>
          </w:p>
        </w:tc>
        <w:tc>
          <w:tcPr>
            <w:tcW w:w="1842" w:type="dxa"/>
            <w:noWrap/>
            <w:hideMark/>
          </w:tcPr>
          <w:p w14:paraId="71D7CF7C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15.9(2.3)</w:t>
            </w:r>
          </w:p>
        </w:tc>
        <w:tc>
          <w:tcPr>
            <w:tcW w:w="1418" w:type="dxa"/>
            <w:noWrap/>
            <w:hideMark/>
          </w:tcPr>
          <w:p w14:paraId="7F3FC972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  <w:tr w:rsidR="00665BAC" w:rsidRPr="009267B1" w14:paraId="7554B33D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61E98551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PCT (0.20 - 0.35%)</w:t>
            </w:r>
          </w:p>
        </w:tc>
        <w:tc>
          <w:tcPr>
            <w:tcW w:w="1924" w:type="dxa"/>
            <w:noWrap/>
            <w:hideMark/>
          </w:tcPr>
          <w:p w14:paraId="56AC71DB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0.23(0.07)</w:t>
            </w:r>
          </w:p>
        </w:tc>
        <w:tc>
          <w:tcPr>
            <w:tcW w:w="1842" w:type="dxa"/>
            <w:noWrap/>
            <w:hideMark/>
          </w:tcPr>
          <w:p w14:paraId="3098BAF2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0.22(0.07)</w:t>
            </w:r>
          </w:p>
        </w:tc>
        <w:tc>
          <w:tcPr>
            <w:tcW w:w="1418" w:type="dxa"/>
            <w:noWrap/>
            <w:hideMark/>
          </w:tcPr>
          <w:p w14:paraId="6E48AE5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0.59</w:t>
            </w:r>
          </w:p>
        </w:tc>
      </w:tr>
      <w:tr w:rsidR="00665BAC" w:rsidRPr="009267B1" w14:paraId="0266A67A" w14:textId="77777777" w:rsidTr="00665BAC">
        <w:trPr>
          <w:trHeight w:val="290"/>
        </w:trPr>
        <w:tc>
          <w:tcPr>
            <w:tcW w:w="4225" w:type="dxa"/>
            <w:noWrap/>
            <w:hideMark/>
          </w:tcPr>
          <w:p w14:paraId="4D6D2C90" w14:textId="77777777" w:rsidR="00665BAC" w:rsidRPr="00665BAC" w:rsidRDefault="00665BAC" w:rsidP="00665BAC">
            <w:pPr>
              <w:spacing w:line="240" w:lineRule="auto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MPV (8.0 - 11.5fL)</w:t>
            </w:r>
          </w:p>
        </w:tc>
        <w:tc>
          <w:tcPr>
            <w:tcW w:w="1924" w:type="dxa"/>
            <w:noWrap/>
            <w:hideMark/>
          </w:tcPr>
          <w:p w14:paraId="70535E76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12.2(4.3)</w:t>
            </w:r>
          </w:p>
        </w:tc>
        <w:tc>
          <w:tcPr>
            <w:tcW w:w="1842" w:type="dxa"/>
            <w:noWrap/>
            <w:hideMark/>
          </w:tcPr>
          <w:p w14:paraId="495BC004" w14:textId="77777777" w:rsidR="00665BAC" w:rsidRPr="009267B1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szCs w:val="24"/>
              </w:rPr>
            </w:pPr>
            <w:r w:rsidRPr="009267B1">
              <w:rPr>
                <w:rFonts w:ascii="Adobe Devanagari" w:eastAsia="Calibri" w:hAnsi="Adobe Devanagari" w:cs="Adobe Devanagari"/>
                <w:szCs w:val="24"/>
              </w:rPr>
              <w:t>9.8(1.3)</w:t>
            </w:r>
          </w:p>
        </w:tc>
        <w:tc>
          <w:tcPr>
            <w:tcW w:w="1418" w:type="dxa"/>
            <w:noWrap/>
            <w:hideMark/>
          </w:tcPr>
          <w:p w14:paraId="5FE229B3" w14:textId="77777777" w:rsidR="00665BAC" w:rsidRPr="00665BAC" w:rsidRDefault="00665BAC" w:rsidP="00665BAC">
            <w:pPr>
              <w:spacing w:line="240" w:lineRule="auto"/>
              <w:jc w:val="center"/>
              <w:rPr>
                <w:rFonts w:ascii="Adobe Devanagari" w:eastAsia="Calibri" w:hAnsi="Adobe Devanagari" w:cs="Adobe Devanagari"/>
                <w:b/>
                <w:szCs w:val="24"/>
              </w:rPr>
            </w:pPr>
            <w:r w:rsidRPr="00665BAC">
              <w:rPr>
                <w:rFonts w:ascii="Adobe Devanagari" w:eastAsia="Calibri" w:hAnsi="Adobe Devanagari" w:cs="Adobe Devanagari"/>
                <w:b/>
                <w:szCs w:val="24"/>
              </w:rPr>
              <w:t>&lt;0.001</w:t>
            </w:r>
          </w:p>
        </w:tc>
      </w:tr>
    </w:tbl>
    <w:p w14:paraId="370D3FC2" w14:textId="41C8440E" w:rsidR="00D441E3" w:rsidRPr="00C41797" w:rsidRDefault="00C41797">
      <w:pPr>
        <w:rPr>
          <w:rFonts w:ascii="Adobe Devanagari" w:hAnsi="Adobe Devanagari" w:cs="Adobe Devanagari"/>
          <w:b/>
          <w:lang w:val="en-US"/>
        </w:rPr>
      </w:pPr>
      <w:r w:rsidRPr="00C41797">
        <w:rPr>
          <w:rFonts w:ascii="Adobe Devanagari" w:hAnsi="Adobe Devanagari" w:cs="Adobe Devanagari"/>
          <w:b/>
          <w:bCs/>
          <w:lang w:val="en-US"/>
        </w:rPr>
        <w:t>Data is presented as means</w:t>
      </w:r>
      <w:r w:rsidRPr="00C41797">
        <w:rPr>
          <w:rFonts w:ascii="Adobe Devanagari" w:hAnsi="Adobe Devanagari" w:cs="Adobe Devanagari"/>
          <w:b/>
          <w:bCs/>
        </w:rPr>
        <w:t>±standard deviation,</w:t>
      </w:r>
    </w:p>
    <w:p w14:paraId="1253BA1E" w14:textId="77777777" w:rsidR="00665BAC" w:rsidRDefault="00665BAC">
      <w:pPr>
        <w:rPr>
          <w:b/>
          <w:lang w:val="en-US"/>
        </w:rPr>
      </w:pPr>
    </w:p>
    <w:p w14:paraId="3117C3B3" w14:textId="77777777" w:rsidR="00665BAC" w:rsidRDefault="00665BAC">
      <w:pPr>
        <w:rPr>
          <w:b/>
          <w:lang w:val="en-US"/>
        </w:rPr>
      </w:pPr>
    </w:p>
    <w:p w14:paraId="21E01691" w14:textId="77777777" w:rsidR="00C41797" w:rsidRDefault="00C41797" w:rsidP="00C41797">
      <w:pPr>
        <w:spacing w:after="0" w:line="240" w:lineRule="auto"/>
        <w:rPr>
          <w:rFonts w:ascii="Adobe Devanagari" w:hAnsi="Adobe Devanagari" w:cs="Adobe Devanagari"/>
          <w:b/>
          <w:bCs/>
        </w:rPr>
      </w:pPr>
    </w:p>
    <w:p w14:paraId="2CCE7871" w14:textId="603D2FBE" w:rsidR="00C41797" w:rsidRDefault="00C41797" w:rsidP="00C41797">
      <w:pPr>
        <w:spacing w:after="0" w:line="240" w:lineRule="auto"/>
        <w:rPr>
          <w:rFonts w:ascii="Adobe Devanagari" w:hAnsi="Adobe Devanagari" w:cs="Adobe Devanagari"/>
        </w:rPr>
      </w:pPr>
      <w:r w:rsidRPr="0026776D">
        <w:rPr>
          <w:rFonts w:ascii="Adobe Devanagari" w:hAnsi="Adobe Devanagari" w:cs="Adobe Devanagari"/>
          <w:b/>
          <w:bCs/>
        </w:rPr>
        <w:t>Figure S</w:t>
      </w:r>
      <w:r>
        <w:rPr>
          <w:rFonts w:ascii="Adobe Devanagari" w:hAnsi="Adobe Devanagari" w:cs="Adobe Devanagari"/>
          <w:b/>
          <w:bCs/>
        </w:rPr>
        <w:t>1</w:t>
      </w:r>
      <w:r w:rsidRPr="0026776D">
        <w:rPr>
          <w:rFonts w:ascii="Adobe Devanagari" w:hAnsi="Adobe Devanagari" w:cs="Adobe Devanagari"/>
        </w:rPr>
        <w:t xml:space="preserve"> shows the gel bands for the SNP rs2296651 obtained using the PCR-RFLP. MM= the molecular marker or ladder; NC = the negative control; C </w:t>
      </w:r>
      <w:r>
        <w:rPr>
          <w:rFonts w:ascii="Adobe Devanagari" w:hAnsi="Adobe Devanagari" w:cs="Adobe Devanagari"/>
        </w:rPr>
        <w:t>(200bp)</w:t>
      </w:r>
      <w:r w:rsidRPr="0026776D">
        <w:rPr>
          <w:rFonts w:ascii="Adobe Devanagari" w:hAnsi="Adobe Devanagari" w:cs="Adobe Devanagari"/>
        </w:rPr>
        <w:t xml:space="preserve">, T </w:t>
      </w:r>
      <w:r>
        <w:rPr>
          <w:rFonts w:ascii="Adobe Devanagari" w:hAnsi="Adobe Devanagari" w:cs="Adobe Devanagari"/>
        </w:rPr>
        <w:t>(120bp)</w:t>
      </w:r>
      <w:r w:rsidRPr="0026776D">
        <w:rPr>
          <w:rFonts w:ascii="Adobe Devanagari" w:hAnsi="Adobe Devanagari" w:cs="Adobe Devanagari"/>
        </w:rPr>
        <w:t>. Samples 51 – 60 are cases and samples 291 – 300 are controls</w:t>
      </w:r>
      <w:r>
        <w:rPr>
          <w:rFonts w:ascii="Adobe Devanagari" w:hAnsi="Adobe Devanagari" w:cs="Adobe Devanagari"/>
        </w:rPr>
        <w:t>.</w:t>
      </w:r>
    </w:p>
    <w:p w14:paraId="265D77FF" w14:textId="77777777" w:rsidR="00C41797" w:rsidRDefault="00C41797" w:rsidP="00C41797">
      <w:pPr>
        <w:spacing w:after="0" w:line="240" w:lineRule="auto"/>
        <w:rPr>
          <w:rFonts w:ascii="Adobe Devanagari" w:hAnsi="Adobe Devanagari" w:cs="Adobe Devanagari"/>
        </w:rPr>
      </w:pPr>
    </w:p>
    <w:p w14:paraId="07EF50A2" w14:textId="6AD141A8" w:rsidR="00C41797" w:rsidRDefault="00C41797" w:rsidP="00C41797">
      <w:pPr>
        <w:spacing w:after="0" w:line="240" w:lineRule="auto"/>
        <w:rPr>
          <w:rFonts w:ascii="Adobe Devanagari" w:hAnsi="Adobe Devanagari" w:cs="Adobe Devanagari"/>
        </w:rPr>
      </w:pPr>
      <w:r w:rsidRPr="0026776D">
        <w:rPr>
          <w:rFonts w:ascii="Adobe Devanagari" w:hAnsi="Adobe Devanagari" w:cs="Adobe Devanagari"/>
          <w:b/>
          <w:bCs/>
        </w:rPr>
        <w:t>Figure</w:t>
      </w:r>
      <w:r>
        <w:rPr>
          <w:rFonts w:ascii="Adobe Devanagari" w:hAnsi="Adobe Devanagari" w:cs="Adobe Devanagari"/>
          <w:b/>
          <w:bCs/>
        </w:rPr>
        <w:t xml:space="preserve"> S2 </w:t>
      </w:r>
      <w:r w:rsidRPr="0026776D">
        <w:rPr>
          <w:rFonts w:ascii="Adobe Devanagari" w:hAnsi="Adobe Devanagari" w:cs="Adobe Devanagari"/>
        </w:rPr>
        <w:t xml:space="preserve">shows the gel bands for the SNP rs61745930 obtained using the PCR-RFLP. MM= the molecular marker or ladder; NC = the negative control; C </w:t>
      </w:r>
      <w:r>
        <w:rPr>
          <w:rFonts w:ascii="Adobe Devanagari" w:hAnsi="Adobe Devanagari" w:cs="Adobe Devanagari"/>
        </w:rPr>
        <w:t>(400bp)</w:t>
      </w:r>
      <w:r w:rsidRPr="0026776D">
        <w:rPr>
          <w:rFonts w:ascii="Adobe Devanagari" w:hAnsi="Adobe Devanagari" w:cs="Adobe Devanagari"/>
        </w:rPr>
        <w:t>, T</w:t>
      </w:r>
      <w:r>
        <w:rPr>
          <w:rFonts w:ascii="Adobe Devanagari" w:hAnsi="Adobe Devanagari" w:cs="Adobe Devanagari"/>
        </w:rPr>
        <w:t xml:space="preserve"> (250)</w:t>
      </w:r>
      <w:r w:rsidRPr="0026776D">
        <w:rPr>
          <w:rFonts w:ascii="Adobe Devanagari" w:hAnsi="Adobe Devanagari" w:cs="Adobe Devanagari"/>
        </w:rPr>
        <w:t>. Ca = Cases and Co= Controls. Samples 22 –25, 27, 30 and 33 are cases and samples 243, 249,252, 318, 320 – 322 are controls.</w:t>
      </w:r>
    </w:p>
    <w:p w14:paraId="78D0C9EE" w14:textId="77777777" w:rsidR="00C41797" w:rsidRDefault="00C41797" w:rsidP="00C41797">
      <w:pPr>
        <w:spacing w:after="0" w:line="240" w:lineRule="auto"/>
        <w:rPr>
          <w:rFonts w:ascii="Adobe Devanagari" w:hAnsi="Adobe Devanagari" w:cs="Adobe Devanagari"/>
        </w:rPr>
      </w:pPr>
    </w:p>
    <w:p w14:paraId="02F51891" w14:textId="77777777" w:rsidR="00C41797" w:rsidRPr="0026776D" w:rsidRDefault="00C41797" w:rsidP="00C41797">
      <w:pPr>
        <w:spacing w:after="0" w:line="240" w:lineRule="auto"/>
        <w:jc w:val="left"/>
        <w:rPr>
          <w:rFonts w:ascii="Adobe Devanagari" w:eastAsia="Calibri" w:hAnsi="Adobe Devanagari" w:cs="Adobe Devanagari"/>
          <w:sz w:val="22"/>
          <w:lang w:val="en-US"/>
        </w:rPr>
      </w:pPr>
      <w:r w:rsidRPr="0026776D">
        <w:rPr>
          <w:rFonts w:ascii="Adobe Devanagari" w:eastAsia="Calibri" w:hAnsi="Adobe Devanagari" w:cs="Adobe Devanagari"/>
          <w:b/>
          <w:bCs/>
          <w:szCs w:val="24"/>
        </w:rPr>
        <w:t>Figure S</w:t>
      </w:r>
      <w:r>
        <w:rPr>
          <w:rFonts w:ascii="Adobe Devanagari" w:eastAsia="Calibri" w:hAnsi="Adobe Devanagari" w:cs="Adobe Devanagari"/>
          <w:b/>
          <w:bCs/>
          <w:szCs w:val="24"/>
        </w:rPr>
        <w:t>3</w:t>
      </w:r>
      <w:r w:rsidRPr="0026776D">
        <w:rPr>
          <w:rFonts w:ascii="Adobe Devanagari" w:eastAsia="Calibri" w:hAnsi="Adobe Devanagari" w:cs="Adobe Devanagari"/>
          <w:szCs w:val="24"/>
        </w:rPr>
        <w:t xml:space="preserve"> shows the gel bands for the SNP rs4646287 obtained using the PCR-RFLP. MM= the molecular marker or ladder; C</w:t>
      </w:r>
      <w:r>
        <w:rPr>
          <w:rFonts w:ascii="Adobe Devanagari" w:eastAsia="Calibri" w:hAnsi="Adobe Devanagari" w:cs="Adobe Devanagari"/>
          <w:szCs w:val="24"/>
        </w:rPr>
        <w:t>(240bp)</w:t>
      </w:r>
      <w:r w:rsidRPr="0026776D">
        <w:rPr>
          <w:rFonts w:ascii="Adobe Devanagari" w:eastAsia="Calibri" w:hAnsi="Adobe Devanagari" w:cs="Adobe Devanagari"/>
          <w:szCs w:val="24"/>
        </w:rPr>
        <w:t>, T</w:t>
      </w:r>
      <w:r>
        <w:rPr>
          <w:rFonts w:ascii="Adobe Devanagari" w:eastAsia="Calibri" w:hAnsi="Adobe Devanagari" w:cs="Adobe Devanagari"/>
          <w:szCs w:val="24"/>
        </w:rPr>
        <w:t xml:space="preserve"> (140)</w:t>
      </w:r>
      <w:r w:rsidRPr="0026776D">
        <w:rPr>
          <w:rFonts w:ascii="Adobe Devanagari" w:eastAsia="Calibri" w:hAnsi="Adobe Devanagari" w:cs="Adobe Devanagari"/>
          <w:szCs w:val="24"/>
        </w:rPr>
        <w:t>. Samples 35 – 46 are cases; and samples 201 – 205 plus 286 - 290 are controls.</w:t>
      </w:r>
    </w:p>
    <w:p w14:paraId="77BB89B5" w14:textId="77777777" w:rsidR="00665BAC" w:rsidRDefault="00665BAC">
      <w:pPr>
        <w:rPr>
          <w:b/>
          <w:lang w:val="en-US"/>
        </w:rPr>
      </w:pPr>
    </w:p>
    <w:p w14:paraId="709EE33B" w14:textId="77777777" w:rsidR="00665BAC" w:rsidRDefault="00665BAC">
      <w:pPr>
        <w:rPr>
          <w:b/>
          <w:lang w:val="en-US"/>
        </w:rPr>
      </w:pPr>
    </w:p>
    <w:p w14:paraId="1A803FA7" w14:textId="77777777" w:rsidR="00665BAC" w:rsidRDefault="00665BAC">
      <w:pPr>
        <w:rPr>
          <w:b/>
          <w:lang w:val="en-US"/>
        </w:rPr>
      </w:pPr>
    </w:p>
    <w:p w14:paraId="4516AED4" w14:textId="77777777" w:rsidR="00665BAC" w:rsidRDefault="00665BAC">
      <w:pPr>
        <w:rPr>
          <w:b/>
          <w:lang w:val="en-US"/>
        </w:rPr>
      </w:pPr>
    </w:p>
    <w:p w14:paraId="123DC798" w14:textId="77777777" w:rsidR="00665BAC" w:rsidRDefault="00665BAC">
      <w:pPr>
        <w:rPr>
          <w:b/>
          <w:lang w:val="en-US"/>
        </w:rPr>
      </w:pPr>
    </w:p>
    <w:p w14:paraId="671EDE1E" w14:textId="77777777" w:rsidR="00665BAC" w:rsidRDefault="00665BAC">
      <w:pPr>
        <w:rPr>
          <w:b/>
          <w:lang w:val="en-US"/>
        </w:rPr>
      </w:pPr>
    </w:p>
    <w:p w14:paraId="263C252D" w14:textId="77777777" w:rsidR="00665BAC" w:rsidRDefault="00665BAC">
      <w:pPr>
        <w:rPr>
          <w:b/>
          <w:lang w:val="en-US"/>
        </w:rPr>
      </w:pPr>
    </w:p>
    <w:p w14:paraId="6C6B07FC" w14:textId="77777777" w:rsidR="00665BAC" w:rsidRDefault="00665BAC">
      <w:pPr>
        <w:rPr>
          <w:b/>
          <w:lang w:val="en-US"/>
        </w:rPr>
      </w:pPr>
    </w:p>
    <w:p w14:paraId="611E4A2D" w14:textId="77777777" w:rsidR="00665BAC" w:rsidRDefault="00665BAC">
      <w:pPr>
        <w:rPr>
          <w:b/>
          <w:lang w:val="en-US"/>
        </w:rPr>
      </w:pPr>
    </w:p>
    <w:sectPr w:rsidR="00665BA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0NLW0MDWyMDYztbRU0lEKTi0uzszPAykwrgUAAy7p/SwAAAA="/>
  </w:docVars>
  <w:rsids>
    <w:rsidRoot w:val="00D441E3"/>
    <w:rsid w:val="0042196E"/>
    <w:rsid w:val="005F7641"/>
    <w:rsid w:val="00665BAC"/>
    <w:rsid w:val="006B6712"/>
    <w:rsid w:val="0092268B"/>
    <w:rsid w:val="00B21A85"/>
    <w:rsid w:val="00C41797"/>
    <w:rsid w:val="00D441E3"/>
    <w:rsid w:val="00D56C1F"/>
    <w:rsid w:val="00D66C6D"/>
    <w:rsid w:val="00E5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82D6C"/>
  <w15:chartTrackingRefBased/>
  <w15:docId w15:val="{2C9DCAA9-282C-49EE-82C0-6A091941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1E3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BA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65B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5BAC"/>
    <w:pPr>
      <w:spacing w:line="240" w:lineRule="auto"/>
      <w:jc w:val="left"/>
    </w:pPr>
    <w:rPr>
      <w:rFonts w:asciiTheme="minorHAnsi" w:hAnsiTheme="minorHAns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5BAC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B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Adu</dc:creator>
  <cp:keywords/>
  <dc:description/>
  <cp:lastModifiedBy>Emmanuel Acheampong</cp:lastModifiedBy>
  <cp:revision>8</cp:revision>
  <dcterms:created xsi:type="dcterms:W3CDTF">2020-03-11T11:53:00Z</dcterms:created>
  <dcterms:modified xsi:type="dcterms:W3CDTF">2020-04-16T12:48:00Z</dcterms:modified>
</cp:coreProperties>
</file>