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867B3" w14:textId="17A7384F" w:rsidR="008F1C2D" w:rsidRPr="008A47F8" w:rsidRDefault="008F1C2D" w:rsidP="008A47F8">
      <w:pPr>
        <w:pStyle w:val="ListParagraph"/>
        <w:numPr>
          <w:ilvl w:val="0"/>
          <w:numId w:val="2"/>
        </w:numPr>
        <w:spacing w:line="480" w:lineRule="auto"/>
        <w:ind w:left="567" w:hanging="567"/>
        <w:rPr>
          <w:rFonts w:asciiTheme="majorHAnsi" w:hAnsiTheme="majorHAnsi" w:cstheme="majorHAnsi"/>
          <w:b/>
        </w:rPr>
      </w:pPr>
      <w:r w:rsidRPr="008A47F8">
        <w:rPr>
          <w:rFonts w:asciiTheme="majorHAnsi" w:hAnsiTheme="majorHAnsi" w:cstheme="majorHAnsi"/>
          <w:b/>
        </w:rPr>
        <w:t xml:space="preserve">Study design, children cohort, recruitment, </w:t>
      </w:r>
      <w:r w:rsidR="00B644C7" w:rsidRPr="008A47F8">
        <w:rPr>
          <w:rFonts w:asciiTheme="majorHAnsi" w:hAnsiTheme="majorHAnsi" w:cstheme="majorHAnsi"/>
          <w:b/>
        </w:rPr>
        <w:t>sampling framework and sample characteristics</w:t>
      </w:r>
    </w:p>
    <w:p w14:paraId="5A514B83" w14:textId="6CEDC84C" w:rsidR="00261BA0" w:rsidRPr="008A47F8" w:rsidRDefault="00261BA0" w:rsidP="008A47F8">
      <w:pPr>
        <w:pStyle w:val="ListParagraph"/>
        <w:numPr>
          <w:ilvl w:val="0"/>
          <w:numId w:val="2"/>
        </w:numPr>
        <w:spacing w:line="480" w:lineRule="auto"/>
        <w:ind w:left="567" w:hanging="567"/>
        <w:rPr>
          <w:rFonts w:asciiTheme="majorHAnsi" w:hAnsiTheme="majorHAnsi" w:cstheme="majorHAnsi"/>
          <w:b/>
        </w:rPr>
      </w:pPr>
      <w:r w:rsidRPr="008A47F8">
        <w:rPr>
          <w:rFonts w:asciiTheme="majorHAnsi" w:hAnsiTheme="majorHAnsi" w:cstheme="majorHAnsi"/>
          <w:b/>
        </w:rPr>
        <w:t>DNA extraction</w:t>
      </w:r>
    </w:p>
    <w:p w14:paraId="39A9631B" w14:textId="1BB864F8" w:rsidR="00C61BD9" w:rsidRPr="008A47F8" w:rsidRDefault="00C61BD9" w:rsidP="008A47F8">
      <w:pPr>
        <w:pStyle w:val="ListParagraph"/>
        <w:numPr>
          <w:ilvl w:val="0"/>
          <w:numId w:val="2"/>
        </w:numPr>
        <w:spacing w:line="480" w:lineRule="auto"/>
        <w:ind w:left="567" w:hanging="567"/>
        <w:rPr>
          <w:rFonts w:asciiTheme="majorHAnsi" w:hAnsiTheme="majorHAnsi" w:cstheme="majorHAnsi"/>
          <w:b/>
        </w:rPr>
      </w:pPr>
      <w:r w:rsidRPr="008A47F8">
        <w:rPr>
          <w:rFonts w:asciiTheme="majorHAnsi" w:hAnsiTheme="majorHAnsi" w:cstheme="majorHAnsi"/>
          <w:b/>
        </w:rPr>
        <w:t xml:space="preserve">Bacterial 16S rRNA gene library preparation and Illumina MiSeq sequencing </w:t>
      </w:r>
    </w:p>
    <w:p w14:paraId="324BE784" w14:textId="77777777" w:rsidR="00C61BD9" w:rsidRPr="008A47F8" w:rsidRDefault="00C61BD9" w:rsidP="008A47F8">
      <w:pPr>
        <w:pStyle w:val="ListParagraph"/>
        <w:numPr>
          <w:ilvl w:val="0"/>
          <w:numId w:val="2"/>
        </w:numPr>
        <w:spacing w:line="480" w:lineRule="auto"/>
        <w:ind w:left="567" w:hanging="567"/>
        <w:rPr>
          <w:rFonts w:asciiTheme="majorHAnsi" w:hAnsiTheme="majorHAnsi" w:cstheme="majorHAnsi"/>
          <w:b/>
        </w:rPr>
      </w:pPr>
      <w:r w:rsidRPr="008A47F8">
        <w:rPr>
          <w:rFonts w:asciiTheme="majorHAnsi" w:hAnsiTheme="majorHAnsi" w:cstheme="majorHAnsi"/>
          <w:b/>
        </w:rPr>
        <w:t>Bioinformatics and Statistic</w:t>
      </w:r>
    </w:p>
    <w:p w14:paraId="24FD823B" w14:textId="212CF813" w:rsidR="00C61BD9" w:rsidRPr="008A47F8" w:rsidRDefault="00C61BD9" w:rsidP="008A47F8">
      <w:pPr>
        <w:pStyle w:val="ListParagraph"/>
        <w:numPr>
          <w:ilvl w:val="1"/>
          <w:numId w:val="6"/>
        </w:numPr>
        <w:spacing w:line="480" w:lineRule="auto"/>
        <w:rPr>
          <w:rFonts w:asciiTheme="majorHAnsi" w:hAnsiTheme="majorHAnsi" w:cstheme="majorHAnsi"/>
        </w:rPr>
      </w:pPr>
      <w:r w:rsidRPr="008A47F8">
        <w:rPr>
          <w:rFonts w:asciiTheme="majorHAnsi" w:hAnsiTheme="majorHAnsi" w:cstheme="majorHAnsi"/>
        </w:rPr>
        <w:t>Bacterial 16S rRNA marker gene analysis</w:t>
      </w:r>
      <w:r w:rsidRPr="008A47F8">
        <w:rPr>
          <w:rFonts w:asciiTheme="majorHAnsi" w:hAnsiTheme="majorHAnsi" w:cstheme="majorHAnsi"/>
        </w:rPr>
        <w:tab/>
      </w:r>
      <w:r w:rsidRPr="008A47F8">
        <w:rPr>
          <w:rFonts w:asciiTheme="majorHAnsi" w:hAnsiTheme="majorHAnsi" w:cstheme="majorHAnsi"/>
        </w:rPr>
        <w:tab/>
      </w:r>
      <w:r w:rsidRPr="008A47F8">
        <w:rPr>
          <w:rFonts w:asciiTheme="majorHAnsi" w:hAnsiTheme="majorHAnsi" w:cstheme="majorHAnsi"/>
        </w:rPr>
        <w:tab/>
      </w:r>
      <w:r w:rsidRPr="008A47F8">
        <w:rPr>
          <w:rFonts w:asciiTheme="majorHAnsi" w:hAnsiTheme="majorHAnsi" w:cstheme="majorHAnsi"/>
        </w:rPr>
        <w:tab/>
      </w:r>
      <w:r w:rsidRPr="008A47F8">
        <w:rPr>
          <w:rFonts w:asciiTheme="majorHAnsi" w:hAnsiTheme="majorHAnsi" w:cstheme="majorHAnsi"/>
        </w:rPr>
        <w:tab/>
      </w:r>
      <w:r w:rsidRPr="008A47F8">
        <w:rPr>
          <w:rFonts w:asciiTheme="majorHAnsi" w:hAnsiTheme="majorHAnsi" w:cstheme="majorHAnsi"/>
        </w:rPr>
        <w:tab/>
      </w:r>
    </w:p>
    <w:p w14:paraId="2C79CBA8" w14:textId="5E761C17" w:rsidR="00C61BD9" w:rsidRPr="008A47F8" w:rsidRDefault="00261BA0" w:rsidP="008A47F8">
      <w:pPr>
        <w:pStyle w:val="ListParagraph"/>
        <w:widowControl w:val="0"/>
        <w:autoSpaceDE w:val="0"/>
        <w:autoSpaceDN w:val="0"/>
        <w:adjustRightInd w:val="0"/>
        <w:spacing w:line="480" w:lineRule="auto"/>
        <w:ind w:left="567"/>
        <w:rPr>
          <w:rFonts w:asciiTheme="majorHAnsi" w:hAnsiTheme="majorHAnsi" w:cstheme="majorHAnsi"/>
        </w:rPr>
      </w:pPr>
      <w:r w:rsidRPr="008A47F8">
        <w:rPr>
          <w:rFonts w:asciiTheme="majorHAnsi" w:hAnsiTheme="majorHAnsi" w:cstheme="majorHAnsi"/>
          <w:color w:val="000000" w:themeColor="text1"/>
          <w:lang w:val="en-US"/>
        </w:rPr>
        <w:t xml:space="preserve">4.2 </w:t>
      </w:r>
      <w:r w:rsidR="00C61BD9" w:rsidRPr="008A47F8">
        <w:rPr>
          <w:rFonts w:asciiTheme="majorHAnsi" w:hAnsiTheme="majorHAnsi" w:cstheme="majorHAnsi"/>
          <w:color w:val="000000" w:themeColor="text1"/>
          <w:lang w:val="en-US"/>
        </w:rPr>
        <w:t>Oligotyping and species identification</w:t>
      </w:r>
      <w:r w:rsidR="00C61BD9" w:rsidRPr="008A47F8">
        <w:rPr>
          <w:rFonts w:asciiTheme="majorHAnsi" w:hAnsiTheme="majorHAnsi" w:cstheme="majorHAnsi"/>
          <w:color w:val="000000" w:themeColor="text1"/>
          <w:lang w:val="en-US"/>
        </w:rPr>
        <w:tab/>
      </w:r>
      <w:r w:rsidR="00C61BD9" w:rsidRPr="008A47F8">
        <w:rPr>
          <w:rFonts w:asciiTheme="majorHAnsi" w:hAnsiTheme="majorHAnsi" w:cstheme="majorHAnsi"/>
          <w:color w:val="000000" w:themeColor="text1"/>
          <w:lang w:val="en-US"/>
        </w:rPr>
        <w:tab/>
      </w:r>
      <w:r w:rsidR="00C61BD9" w:rsidRPr="008A47F8">
        <w:rPr>
          <w:rFonts w:asciiTheme="majorHAnsi" w:hAnsiTheme="majorHAnsi" w:cstheme="majorHAnsi"/>
          <w:color w:val="000000" w:themeColor="text1"/>
          <w:lang w:val="en-US"/>
        </w:rPr>
        <w:tab/>
      </w:r>
      <w:r w:rsidR="00C61BD9" w:rsidRPr="008A47F8">
        <w:rPr>
          <w:rFonts w:asciiTheme="majorHAnsi" w:hAnsiTheme="majorHAnsi" w:cstheme="majorHAnsi"/>
          <w:color w:val="000000" w:themeColor="text1"/>
          <w:lang w:val="en-US"/>
        </w:rPr>
        <w:tab/>
      </w:r>
      <w:r w:rsidR="00C61BD9" w:rsidRPr="008A47F8">
        <w:rPr>
          <w:rFonts w:asciiTheme="majorHAnsi" w:hAnsiTheme="majorHAnsi" w:cstheme="majorHAnsi"/>
          <w:color w:val="000000" w:themeColor="text1"/>
          <w:lang w:val="en-US"/>
        </w:rPr>
        <w:tab/>
      </w:r>
    </w:p>
    <w:p w14:paraId="5786A4AD" w14:textId="5D6C60DA" w:rsidR="00C61BD9" w:rsidRPr="008A47F8" w:rsidRDefault="00261BA0" w:rsidP="008A47F8">
      <w:pPr>
        <w:pStyle w:val="ListParagraph"/>
        <w:widowControl w:val="0"/>
        <w:autoSpaceDE w:val="0"/>
        <w:autoSpaceDN w:val="0"/>
        <w:adjustRightInd w:val="0"/>
        <w:spacing w:line="480" w:lineRule="auto"/>
        <w:ind w:left="567"/>
        <w:rPr>
          <w:rFonts w:asciiTheme="majorHAnsi" w:hAnsiTheme="majorHAnsi" w:cstheme="majorHAnsi"/>
        </w:rPr>
      </w:pPr>
      <w:r w:rsidRPr="008A47F8">
        <w:rPr>
          <w:rFonts w:asciiTheme="majorHAnsi" w:hAnsiTheme="majorHAnsi" w:cstheme="majorHAnsi"/>
        </w:rPr>
        <w:t xml:space="preserve">4.3 </w:t>
      </w:r>
      <w:r w:rsidR="00C61BD9" w:rsidRPr="008A47F8">
        <w:rPr>
          <w:rFonts w:asciiTheme="majorHAnsi" w:hAnsiTheme="majorHAnsi" w:cstheme="majorHAnsi"/>
        </w:rPr>
        <w:t xml:space="preserve">Alpha diversity analysis </w:t>
      </w:r>
    </w:p>
    <w:p w14:paraId="636866F9" w14:textId="02C90682" w:rsidR="00C61BD9" w:rsidRPr="008A47F8" w:rsidRDefault="00261BA0" w:rsidP="008A47F8">
      <w:pPr>
        <w:pStyle w:val="ListParagraph"/>
        <w:widowControl w:val="0"/>
        <w:autoSpaceDE w:val="0"/>
        <w:autoSpaceDN w:val="0"/>
        <w:adjustRightInd w:val="0"/>
        <w:spacing w:line="480" w:lineRule="auto"/>
        <w:ind w:left="567"/>
        <w:rPr>
          <w:rFonts w:asciiTheme="majorHAnsi" w:hAnsiTheme="majorHAnsi" w:cstheme="majorHAnsi"/>
        </w:rPr>
      </w:pPr>
      <w:r w:rsidRPr="008A47F8">
        <w:rPr>
          <w:rFonts w:asciiTheme="majorHAnsi" w:hAnsiTheme="majorHAnsi" w:cstheme="majorHAnsi"/>
        </w:rPr>
        <w:t xml:space="preserve">4.4 </w:t>
      </w:r>
      <w:r w:rsidR="00C61BD9" w:rsidRPr="008A47F8">
        <w:rPr>
          <w:rFonts w:asciiTheme="majorHAnsi" w:hAnsiTheme="majorHAnsi" w:cstheme="majorHAnsi"/>
        </w:rPr>
        <w:t>Beta diversity analysis</w:t>
      </w:r>
    </w:p>
    <w:p w14:paraId="7266806B" w14:textId="1DDB9BC6" w:rsidR="0038782E" w:rsidRPr="008A47F8" w:rsidRDefault="00573BB9" w:rsidP="008A47F8">
      <w:pPr>
        <w:pStyle w:val="ListParagraph"/>
        <w:widowControl w:val="0"/>
        <w:autoSpaceDE w:val="0"/>
        <w:autoSpaceDN w:val="0"/>
        <w:adjustRightInd w:val="0"/>
        <w:spacing w:line="480" w:lineRule="auto"/>
        <w:ind w:left="567"/>
        <w:rPr>
          <w:rFonts w:asciiTheme="majorHAnsi" w:hAnsiTheme="majorHAnsi" w:cstheme="majorHAnsi"/>
        </w:rPr>
      </w:pPr>
      <w:r w:rsidRPr="008A47F8">
        <w:rPr>
          <w:rFonts w:asciiTheme="majorHAnsi" w:hAnsiTheme="majorHAnsi" w:cstheme="majorHAnsi"/>
        </w:rPr>
        <w:t>4.</w:t>
      </w:r>
      <w:r w:rsidR="00797BBB" w:rsidRPr="008A47F8">
        <w:rPr>
          <w:rFonts w:asciiTheme="majorHAnsi" w:hAnsiTheme="majorHAnsi" w:cstheme="majorHAnsi"/>
        </w:rPr>
        <w:t>5</w:t>
      </w:r>
      <w:r w:rsidRPr="008A47F8">
        <w:rPr>
          <w:rFonts w:asciiTheme="majorHAnsi" w:hAnsiTheme="majorHAnsi" w:cstheme="majorHAnsi"/>
        </w:rPr>
        <w:t xml:space="preserve"> </w:t>
      </w:r>
      <w:r w:rsidR="000128A6" w:rsidRPr="008A47F8">
        <w:rPr>
          <w:rFonts w:asciiTheme="majorHAnsi" w:hAnsiTheme="majorHAnsi" w:cstheme="majorHAnsi"/>
        </w:rPr>
        <w:t>Principal Coordinate Analysis</w:t>
      </w:r>
    </w:p>
    <w:p w14:paraId="15980EC4" w14:textId="57BDBC48" w:rsidR="00910936" w:rsidRPr="008A47F8" w:rsidRDefault="00910936" w:rsidP="008A47F8">
      <w:pPr>
        <w:pStyle w:val="ListParagraph"/>
        <w:widowControl w:val="0"/>
        <w:autoSpaceDE w:val="0"/>
        <w:autoSpaceDN w:val="0"/>
        <w:adjustRightInd w:val="0"/>
        <w:spacing w:line="480" w:lineRule="auto"/>
        <w:ind w:left="567"/>
        <w:rPr>
          <w:rFonts w:asciiTheme="majorHAnsi" w:hAnsiTheme="majorHAnsi" w:cstheme="majorHAnsi"/>
        </w:rPr>
      </w:pPr>
      <w:r w:rsidRPr="008A47F8">
        <w:rPr>
          <w:rFonts w:asciiTheme="majorHAnsi" w:hAnsiTheme="majorHAnsi" w:cstheme="majorHAnsi"/>
        </w:rPr>
        <w:t>4.</w:t>
      </w:r>
      <w:r w:rsidR="00797BBB" w:rsidRPr="008A47F8">
        <w:rPr>
          <w:rFonts w:asciiTheme="majorHAnsi" w:hAnsiTheme="majorHAnsi" w:cstheme="majorHAnsi"/>
        </w:rPr>
        <w:t>6</w:t>
      </w:r>
      <w:r w:rsidRPr="008A47F8">
        <w:rPr>
          <w:rFonts w:asciiTheme="majorHAnsi" w:hAnsiTheme="majorHAnsi" w:cstheme="majorHAnsi"/>
        </w:rPr>
        <w:t xml:space="preserve"> Data plottin</w:t>
      </w:r>
      <w:r w:rsidR="00207B7E" w:rsidRPr="008A47F8">
        <w:rPr>
          <w:rFonts w:asciiTheme="majorHAnsi" w:hAnsiTheme="majorHAnsi" w:cstheme="majorHAnsi"/>
        </w:rPr>
        <w:t>g</w:t>
      </w:r>
    </w:p>
    <w:p w14:paraId="24ED079A" w14:textId="632EDA5F" w:rsidR="001E1916" w:rsidRDefault="001E1916" w:rsidP="008A47F8">
      <w:pPr>
        <w:pStyle w:val="ListParagraph"/>
        <w:widowControl w:val="0"/>
        <w:autoSpaceDE w:val="0"/>
        <w:autoSpaceDN w:val="0"/>
        <w:adjustRightInd w:val="0"/>
        <w:spacing w:line="480" w:lineRule="auto"/>
        <w:ind w:left="567"/>
        <w:rPr>
          <w:rFonts w:asciiTheme="majorHAnsi" w:hAnsiTheme="majorHAnsi" w:cstheme="majorHAnsi"/>
        </w:rPr>
      </w:pPr>
      <w:r w:rsidRPr="008A47F8">
        <w:rPr>
          <w:rFonts w:asciiTheme="majorHAnsi" w:hAnsiTheme="majorHAnsi" w:cstheme="majorHAnsi"/>
        </w:rPr>
        <w:t>4.7 Statistical analysis</w:t>
      </w:r>
    </w:p>
    <w:p w14:paraId="177C5EE8" w14:textId="04D9E5DE" w:rsidR="007250E0" w:rsidRPr="008A47F8" w:rsidRDefault="007250E0" w:rsidP="008A47F8">
      <w:pPr>
        <w:pStyle w:val="ListParagraph"/>
        <w:widowControl w:val="0"/>
        <w:autoSpaceDE w:val="0"/>
        <w:autoSpaceDN w:val="0"/>
        <w:adjustRightInd w:val="0"/>
        <w:spacing w:line="480" w:lineRule="auto"/>
        <w:ind w:left="567"/>
        <w:rPr>
          <w:rFonts w:asciiTheme="majorHAnsi" w:hAnsiTheme="majorHAnsi" w:cstheme="majorHAnsi"/>
        </w:rPr>
      </w:pPr>
      <w:r>
        <w:rPr>
          <w:rFonts w:asciiTheme="majorHAnsi" w:hAnsiTheme="majorHAnsi" w:cstheme="majorHAnsi"/>
        </w:rPr>
        <w:t>4.8 Antibiotic information</w:t>
      </w:r>
    </w:p>
    <w:p w14:paraId="685F7A99" w14:textId="58F82BFB" w:rsidR="00323CD3" w:rsidRPr="008A47F8" w:rsidRDefault="00261BA0" w:rsidP="008A47F8">
      <w:pPr>
        <w:widowControl w:val="0"/>
        <w:tabs>
          <w:tab w:val="left" w:pos="567"/>
        </w:tabs>
        <w:autoSpaceDE w:val="0"/>
        <w:autoSpaceDN w:val="0"/>
        <w:adjustRightInd w:val="0"/>
        <w:spacing w:line="480" w:lineRule="auto"/>
        <w:rPr>
          <w:rFonts w:asciiTheme="majorHAnsi" w:hAnsiTheme="majorHAnsi" w:cstheme="majorHAnsi"/>
          <w:b/>
        </w:rPr>
      </w:pPr>
      <w:r w:rsidRPr="008A47F8">
        <w:rPr>
          <w:rFonts w:asciiTheme="majorHAnsi" w:hAnsiTheme="majorHAnsi" w:cstheme="majorHAnsi"/>
          <w:b/>
        </w:rPr>
        <w:t>5</w:t>
      </w:r>
      <w:r w:rsidR="00323CD3" w:rsidRPr="008A47F8">
        <w:rPr>
          <w:rFonts w:asciiTheme="majorHAnsi" w:hAnsiTheme="majorHAnsi" w:cstheme="majorHAnsi"/>
          <w:b/>
        </w:rPr>
        <w:t xml:space="preserve">) </w:t>
      </w:r>
      <w:r w:rsidR="00323CD3" w:rsidRPr="008A47F8">
        <w:rPr>
          <w:rFonts w:asciiTheme="majorHAnsi" w:hAnsiTheme="majorHAnsi" w:cstheme="majorHAnsi"/>
          <w:b/>
        </w:rPr>
        <w:tab/>
        <w:t xml:space="preserve">Bacterial </w:t>
      </w:r>
      <w:r w:rsidR="00F9669A" w:rsidRPr="008A47F8">
        <w:rPr>
          <w:rFonts w:asciiTheme="majorHAnsi" w:hAnsiTheme="majorHAnsi" w:cstheme="majorHAnsi"/>
          <w:b/>
        </w:rPr>
        <w:t xml:space="preserve">tropic </w:t>
      </w:r>
      <w:r w:rsidR="00323CD3" w:rsidRPr="008A47F8">
        <w:rPr>
          <w:rFonts w:asciiTheme="majorHAnsi" w:hAnsiTheme="majorHAnsi" w:cstheme="majorHAnsi"/>
          <w:b/>
        </w:rPr>
        <w:t>network analysis</w:t>
      </w:r>
    </w:p>
    <w:p w14:paraId="42C919B3" w14:textId="398BB0CA" w:rsidR="002F081E" w:rsidRPr="008A47F8" w:rsidRDefault="00323CD3" w:rsidP="008A47F8">
      <w:pPr>
        <w:widowControl w:val="0"/>
        <w:autoSpaceDE w:val="0"/>
        <w:autoSpaceDN w:val="0"/>
        <w:adjustRightInd w:val="0"/>
        <w:spacing w:line="480" w:lineRule="auto"/>
        <w:ind w:left="567" w:hanging="567"/>
        <w:rPr>
          <w:rFonts w:asciiTheme="majorHAnsi" w:hAnsiTheme="majorHAnsi" w:cstheme="majorHAnsi"/>
        </w:rPr>
      </w:pPr>
      <w:r w:rsidRPr="008A47F8">
        <w:rPr>
          <w:rFonts w:asciiTheme="majorHAnsi" w:hAnsiTheme="majorHAnsi" w:cstheme="majorHAnsi"/>
        </w:rPr>
        <w:tab/>
      </w:r>
      <w:r w:rsidR="00F9669A" w:rsidRPr="008A47F8">
        <w:rPr>
          <w:rFonts w:asciiTheme="majorHAnsi" w:hAnsiTheme="majorHAnsi" w:cstheme="majorHAnsi"/>
        </w:rPr>
        <w:t xml:space="preserve">5.1 Bacterial tropic network </w:t>
      </w:r>
      <w:r w:rsidR="00833699" w:rsidRPr="008A47F8">
        <w:rPr>
          <w:rFonts w:asciiTheme="majorHAnsi" w:hAnsiTheme="majorHAnsi" w:cstheme="majorHAnsi"/>
        </w:rPr>
        <w:t>using heatmap presentation</w:t>
      </w:r>
      <w:r w:rsidR="0098331A" w:rsidRPr="008A47F8">
        <w:rPr>
          <w:rFonts w:asciiTheme="majorHAnsi" w:hAnsiTheme="majorHAnsi" w:cstheme="majorHAnsi"/>
        </w:rPr>
        <w:t xml:space="preserve"> </w:t>
      </w:r>
    </w:p>
    <w:p w14:paraId="01A5098B" w14:textId="5FB4EFA4" w:rsidR="002F081E" w:rsidRPr="008A47F8" w:rsidRDefault="00261BA0" w:rsidP="008A47F8">
      <w:pPr>
        <w:widowControl w:val="0"/>
        <w:autoSpaceDE w:val="0"/>
        <w:autoSpaceDN w:val="0"/>
        <w:adjustRightInd w:val="0"/>
        <w:spacing w:line="480" w:lineRule="auto"/>
        <w:ind w:left="640" w:hanging="73"/>
        <w:rPr>
          <w:rFonts w:asciiTheme="majorHAnsi" w:hAnsiTheme="majorHAnsi" w:cstheme="majorHAnsi"/>
          <w:color w:val="000000" w:themeColor="text1"/>
          <w:lang w:val="en-US"/>
        </w:rPr>
      </w:pPr>
      <w:r w:rsidRPr="008A47F8">
        <w:rPr>
          <w:rFonts w:asciiTheme="majorHAnsi" w:hAnsiTheme="majorHAnsi" w:cstheme="majorHAnsi"/>
          <w:color w:val="000000" w:themeColor="text1"/>
          <w:lang w:val="en-US"/>
        </w:rPr>
        <w:t>5.</w:t>
      </w:r>
      <w:r w:rsidR="003C4B84" w:rsidRPr="008A47F8">
        <w:rPr>
          <w:rFonts w:asciiTheme="majorHAnsi" w:hAnsiTheme="majorHAnsi" w:cstheme="majorHAnsi"/>
          <w:color w:val="000000" w:themeColor="text1"/>
          <w:lang w:val="en-US"/>
        </w:rPr>
        <w:t>2</w:t>
      </w:r>
      <w:r w:rsidRPr="008A47F8">
        <w:rPr>
          <w:rFonts w:asciiTheme="majorHAnsi" w:hAnsiTheme="majorHAnsi" w:cstheme="majorHAnsi"/>
          <w:color w:val="000000" w:themeColor="text1"/>
          <w:lang w:val="en-US"/>
        </w:rPr>
        <w:t xml:space="preserve"> </w:t>
      </w:r>
      <w:r w:rsidR="002F081E" w:rsidRPr="008A47F8">
        <w:rPr>
          <w:rFonts w:asciiTheme="majorHAnsi" w:hAnsiTheme="majorHAnsi" w:cstheme="majorHAnsi"/>
          <w:color w:val="000000" w:themeColor="text1"/>
          <w:lang w:val="en-US"/>
        </w:rPr>
        <w:t xml:space="preserve">Bacterial </w:t>
      </w:r>
      <w:r w:rsidR="00F9669A" w:rsidRPr="008A47F8">
        <w:rPr>
          <w:rFonts w:asciiTheme="majorHAnsi" w:hAnsiTheme="majorHAnsi" w:cstheme="majorHAnsi"/>
          <w:color w:val="000000" w:themeColor="text1"/>
          <w:lang w:val="en-US"/>
        </w:rPr>
        <w:t xml:space="preserve">tropic </w:t>
      </w:r>
      <w:r w:rsidR="003C4B84" w:rsidRPr="008A47F8">
        <w:rPr>
          <w:rFonts w:asciiTheme="majorHAnsi" w:hAnsiTheme="majorHAnsi" w:cstheme="majorHAnsi"/>
          <w:color w:val="000000" w:themeColor="text1"/>
          <w:lang w:val="en-US"/>
        </w:rPr>
        <w:t xml:space="preserve">network </w:t>
      </w:r>
      <w:r w:rsidR="00F9669A" w:rsidRPr="008A47F8">
        <w:rPr>
          <w:rFonts w:asciiTheme="majorHAnsi" w:hAnsiTheme="majorHAnsi" w:cstheme="majorHAnsi"/>
          <w:color w:val="000000" w:themeColor="text1"/>
          <w:lang w:val="en-US"/>
        </w:rPr>
        <w:t xml:space="preserve">using </w:t>
      </w:r>
      <w:r w:rsidR="00833699" w:rsidRPr="008A47F8">
        <w:rPr>
          <w:rFonts w:asciiTheme="majorHAnsi" w:hAnsiTheme="majorHAnsi" w:cstheme="majorHAnsi"/>
          <w:color w:val="000000" w:themeColor="text1"/>
          <w:lang w:val="en-US"/>
        </w:rPr>
        <w:t>Spearman correlation coefficient analysis</w:t>
      </w:r>
    </w:p>
    <w:p w14:paraId="3B5A62A9" w14:textId="329EAFC1" w:rsidR="00833699" w:rsidRPr="008A47F8" w:rsidRDefault="00833699" w:rsidP="008A47F8">
      <w:pPr>
        <w:widowControl w:val="0"/>
        <w:autoSpaceDE w:val="0"/>
        <w:autoSpaceDN w:val="0"/>
        <w:adjustRightInd w:val="0"/>
        <w:spacing w:line="480" w:lineRule="auto"/>
        <w:ind w:left="567" w:hanging="567"/>
        <w:rPr>
          <w:rFonts w:asciiTheme="majorHAnsi" w:hAnsiTheme="majorHAnsi" w:cstheme="majorHAnsi"/>
          <w:b/>
          <w:bCs/>
          <w:color w:val="000000" w:themeColor="text1"/>
          <w:lang w:val="en-US"/>
        </w:rPr>
      </w:pPr>
      <w:r w:rsidRPr="008A47F8">
        <w:rPr>
          <w:rFonts w:asciiTheme="majorHAnsi" w:hAnsiTheme="majorHAnsi" w:cstheme="majorHAnsi"/>
          <w:b/>
          <w:bCs/>
          <w:color w:val="000000" w:themeColor="text1"/>
          <w:lang w:val="en-US"/>
        </w:rPr>
        <w:t>6)</w:t>
      </w:r>
      <w:r w:rsidRPr="008A47F8">
        <w:rPr>
          <w:rFonts w:asciiTheme="majorHAnsi" w:hAnsiTheme="majorHAnsi" w:cstheme="majorHAnsi"/>
          <w:b/>
          <w:bCs/>
          <w:color w:val="000000" w:themeColor="text1"/>
          <w:lang w:val="en-US"/>
        </w:rPr>
        <w:tab/>
        <w:t>Bacterial tropic network species development</w:t>
      </w:r>
    </w:p>
    <w:p w14:paraId="0CC96099" w14:textId="2912B51C" w:rsidR="002C0D70" w:rsidRPr="008A47F8" w:rsidRDefault="002C0D70" w:rsidP="008A47F8">
      <w:pPr>
        <w:widowControl w:val="0"/>
        <w:autoSpaceDE w:val="0"/>
        <w:autoSpaceDN w:val="0"/>
        <w:adjustRightInd w:val="0"/>
        <w:spacing w:line="480" w:lineRule="auto"/>
        <w:ind w:left="567" w:hanging="567"/>
        <w:rPr>
          <w:rFonts w:asciiTheme="majorHAnsi" w:hAnsiTheme="majorHAnsi" w:cstheme="majorHAnsi"/>
          <w:b/>
          <w:bCs/>
          <w:color w:val="000000" w:themeColor="text1"/>
          <w:lang w:val="en-US"/>
        </w:rPr>
      </w:pPr>
      <w:r w:rsidRPr="008A47F8">
        <w:rPr>
          <w:rFonts w:asciiTheme="majorHAnsi" w:hAnsiTheme="majorHAnsi" w:cstheme="majorHAnsi"/>
          <w:b/>
          <w:bCs/>
          <w:color w:val="000000" w:themeColor="text1"/>
          <w:lang w:val="en-US"/>
        </w:rPr>
        <w:t>7)</w:t>
      </w:r>
      <w:r w:rsidRPr="008A47F8">
        <w:rPr>
          <w:rFonts w:asciiTheme="majorHAnsi" w:hAnsiTheme="majorHAnsi" w:cstheme="majorHAnsi"/>
          <w:b/>
          <w:bCs/>
          <w:color w:val="000000" w:themeColor="text1"/>
          <w:lang w:val="en-US"/>
        </w:rPr>
        <w:tab/>
        <w:t>Multivariate linear regression to identify an association between bacterial taxa and anthropometric Z-scores</w:t>
      </w:r>
    </w:p>
    <w:p w14:paraId="042D557D" w14:textId="53AD276D" w:rsidR="009047E3" w:rsidRPr="008A47F8" w:rsidRDefault="002C0D70" w:rsidP="008A47F8">
      <w:pPr>
        <w:widowControl w:val="0"/>
        <w:autoSpaceDE w:val="0"/>
        <w:autoSpaceDN w:val="0"/>
        <w:adjustRightInd w:val="0"/>
        <w:spacing w:line="480" w:lineRule="auto"/>
        <w:ind w:left="567" w:hanging="567"/>
        <w:rPr>
          <w:rFonts w:asciiTheme="majorHAnsi" w:hAnsiTheme="majorHAnsi" w:cstheme="majorHAnsi"/>
          <w:b/>
          <w:bCs/>
          <w:color w:val="000000" w:themeColor="text1"/>
          <w:lang w:val="en-US"/>
        </w:rPr>
      </w:pPr>
      <w:r w:rsidRPr="008A47F8">
        <w:rPr>
          <w:rFonts w:asciiTheme="majorHAnsi" w:hAnsiTheme="majorHAnsi" w:cstheme="majorHAnsi"/>
          <w:b/>
          <w:bCs/>
          <w:color w:val="000000" w:themeColor="text1"/>
          <w:lang w:val="en-US"/>
        </w:rPr>
        <w:t>8</w:t>
      </w:r>
      <w:r w:rsidR="009047E3" w:rsidRPr="008A47F8">
        <w:rPr>
          <w:rFonts w:asciiTheme="majorHAnsi" w:hAnsiTheme="majorHAnsi" w:cstheme="majorHAnsi"/>
          <w:b/>
          <w:bCs/>
          <w:color w:val="000000" w:themeColor="text1"/>
          <w:lang w:val="en-US"/>
        </w:rPr>
        <w:t>)</w:t>
      </w:r>
      <w:r w:rsidR="009047E3" w:rsidRPr="008A47F8">
        <w:rPr>
          <w:rFonts w:asciiTheme="majorHAnsi" w:hAnsiTheme="majorHAnsi" w:cstheme="majorHAnsi"/>
          <w:b/>
          <w:bCs/>
          <w:color w:val="000000" w:themeColor="text1"/>
          <w:lang w:val="en-US"/>
        </w:rPr>
        <w:tab/>
        <w:t>References</w:t>
      </w:r>
    </w:p>
    <w:p w14:paraId="1E621B1D" w14:textId="34B6EC52" w:rsidR="00927E28" w:rsidRPr="008A47F8" w:rsidRDefault="00927E28" w:rsidP="008A47F8">
      <w:pPr>
        <w:pStyle w:val="ListParagraph"/>
        <w:autoSpaceDE w:val="0"/>
        <w:autoSpaceDN w:val="0"/>
        <w:adjustRightInd w:val="0"/>
        <w:spacing w:line="480" w:lineRule="auto"/>
        <w:ind w:left="0"/>
        <w:contextualSpacing w:val="0"/>
        <w:rPr>
          <w:rFonts w:asciiTheme="majorHAnsi" w:hAnsiTheme="majorHAnsi" w:cstheme="majorHAnsi"/>
          <w:u w:val="single"/>
        </w:rPr>
      </w:pPr>
    </w:p>
    <w:p w14:paraId="6894D5E3" w14:textId="30DE45F9" w:rsidR="00927E28" w:rsidRPr="008A47F8" w:rsidRDefault="00927E28" w:rsidP="008A47F8">
      <w:pPr>
        <w:pStyle w:val="ListParagraph"/>
        <w:autoSpaceDE w:val="0"/>
        <w:autoSpaceDN w:val="0"/>
        <w:adjustRightInd w:val="0"/>
        <w:spacing w:line="480" w:lineRule="auto"/>
        <w:ind w:left="0"/>
        <w:contextualSpacing w:val="0"/>
        <w:rPr>
          <w:rFonts w:asciiTheme="majorHAnsi" w:hAnsiTheme="majorHAnsi" w:cstheme="majorHAnsi"/>
          <w:u w:val="single"/>
        </w:rPr>
      </w:pPr>
    </w:p>
    <w:p w14:paraId="5A2F397F" w14:textId="60BDA762" w:rsidR="00927E28" w:rsidRPr="008A47F8" w:rsidRDefault="00927E28" w:rsidP="008A47F8">
      <w:pPr>
        <w:pStyle w:val="ListParagraph"/>
        <w:autoSpaceDE w:val="0"/>
        <w:autoSpaceDN w:val="0"/>
        <w:adjustRightInd w:val="0"/>
        <w:spacing w:line="480" w:lineRule="auto"/>
        <w:ind w:left="0"/>
        <w:contextualSpacing w:val="0"/>
        <w:rPr>
          <w:rFonts w:asciiTheme="majorHAnsi" w:hAnsiTheme="majorHAnsi" w:cstheme="majorHAnsi"/>
          <w:u w:val="single"/>
        </w:rPr>
      </w:pPr>
    </w:p>
    <w:p w14:paraId="66CB4A2B" w14:textId="1FE93F38" w:rsidR="00927E28" w:rsidRPr="008A47F8" w:rsidRDefault="00927E28" w:rsidP="008A47F8">
      <w:pPr>
        <w:pStyle w:val="ListParagraph"/>
        <w:autoSpaceDE w:val="0"/>
        <w:autoSpaceDN w:val="0"/>
        <w:adjustRightInd w:val="0"/>
        <w:spacing w:line="480" w:lineRule="auto"/>
        <w:ind w:left="0"/>
        <w:contextualSpacing w:val="0"/>
        <w:rPr>
          <w:rFonts w:asciiTheme="majorHAnsi" w:hAnsiTheme="majorHAnsi" w:cstheme="majorHAnsi"/>
          <w:u w:val="single"/>
        </w:rPr>
      </w:pPr>
    </w:p>
    <w:p w14:paraId="02261E05" w14:textId="281BACF0" w:rsidR="007C0CF1" w:rsidRPr="008A47F8" w:rsidRDefault="007C0CF1" w:rsidP="008A47F8">
      <w:pPr>
        <w:pStyle w:val="ListParagraph"/>
        <w:numPr>
          <w:ilvl w:val="0"/>
          <w:numId w:val="10"/>
        </w:numPr>
        <w:spacing w:line="480" w:lineRule="auto"/>
        <w:ind w:left="567" w:hanging="567"/>
        <w:rPr>
          <w:rFonts w:asciiTheme="majorHAnsi" w:hAnsiTheme="majorHAnsi" w:cstheme="majorHAnsi"/>
          <w:b/>
        </w:rPr>
      </w:pPr>
      <w:r w:rsidRPr="008A47F8">
        <w:rPr>
          <w:rFonts w:asciiTheme="majorHAnsi" w:hAnsiTheme="majorHAnsi" w:cstheme="majorHAnsi"/>
          <w:b/>
        </w:rPr>
        <w:lastRenderedPageBreak/>
        <w:t>Study design</w:t>
      </w:r>
      <w:r w:rsidR="00161102" w:rsidRPr="008A47F8">
        <w:rPr>
          <w:rFonts w:asciiTheme="majorHAnsi" w:hAnsiTheme="majorHAnsi" w:cstheme="majorHAnsi"/>
          <w:b/>
        </w:rPr>
        <w:t xml:space="preserve">, </w:t>
      </w:r>
      <w:r w:rsidRPr="008A47F8">
        <w:rPr>
          <w:rFonts w:asciiTheme="majorHAnsi" w:hAnsiTheme="majorHAnsi" w:cstheme="majorHAnsi"/>
          <w:b/>
        </w:rPr>
        <w:t>children cohort</w:t>
      </w:r>
      <w:r w:rsidR="00161102" w:rsidRPr="008A47F8">
        <w:rPr>
          <w:rFonts w:asciiTheme="majorHAnsi" w:hAnsiTheme="majorHAnsi" w:cstheme="majorHAnsi"/>
          <w:b/>
        </w:rPr>
        <w:t>,</w:t>
      </w:r>
      <w:r w:rsidR="00AF7C1C" w:rsidRPr="008A47F8">
        <w:rPr>
          <w:rFonts w:asciiTheme="majorHAnsi" w:hAnsiTheme="majorHAnsi" w:cstheme="majorHAnsi"/>
          <w:b/>
        </w:rPr>
        <w:t xml:space="preserve"> </w:t>
      </w:r>
      <w:r w:rsidR="00161102" w:rsidRPr="008A47F8">
        <w:rPr>
          <w:rFonts w:asciiTheme="majorHAnsi" w:hAnsiTheme="majorHAnsi" w:cstheme="majorHAnsi"/>
          <w:b/>
        </w:rPr>
        <w:t>recruitment</w:t>
      </w:r>
      <w:r w:rsidR="00B644C7" w:rsidRPr="008A47F8">
        <w:rPr>
          <w:rFonts w:asciiTheme="majorHAnsi" w:hAnsiTheme="majorHAnsi" w:cstheme="majorHAnsi"/>
          <w:b/>
        </w:rPr>
        <w:t>, sampling framework and sample characteristics</w:t>
      </w:r>
    </w:p>
    <w:p w14:paraId="672DF3E9" w14:textId="2E0EC620" w:rsidR="007C0CF1" w:rsidRPr="008A47F8" w:rsidRDefault="00833699" w:rsidP="008A47F8">
      <w:pPr>
        <w:spacing w:line="480" w:lineRule="auto"/>
        <w:rPr>
          <w:rFonts w:asciiTheme="majorHAnsi" w:hAnsiTheme="majorHAnsi" w:cstheme="majorHAnsi"/>
          <w:lang w:eastAsia="ja-JP"/>
        </w:rPr>
      </w:pPr>
      <w:r w:rsidRPr="008A47F8">
        <w:rPr>
          <w:rFonts w:asciiTheme="majorHAnsi" w:hAnsiTheme="majorHAnsi" w:cstheme="majorHAnsi"/>
          <w:color w:val="000000" w:themeColor="text1"/>
          <w:lang w:val="en-US"/>
        </w:rPr>
        <w:t>The stool samples used in this study were taken from the IHAT-GUT “</w:t>
      </w:r>
      <w:r w:rsidR="007C0CF1" w:rsidRPr="008A47F8">
        <w:rPr>
          <w:rFonts w:asciiTheme="majorHAnsi" w:hAnsiTheme="majorHAnsi" w:cstheme="majorHAnsi"/>
          <w:color w:val="000000" w:themeColor="text1"/>
          <w:lang w:val="en-US"/>
        </w:rPr>
        <w:t xml:space="preserve">The </w:t>
      </w:r>
      <w:r w:rsidR="007C0CF1" w:rsidRPr="008A47F8">
        <w:rPr>
          <w:rFonts w:asciiTheme="majorHAnsi" w:hAnsiTheme="majorHAnsi" w:cstheme="majorHAnsi"/>
          <w:b/>
          <w:color w:val="000000" w:themeColor="text1"/>
          <w:lang w:val="en-US"/>
        </w:rPr>
        <w:t>I</w:t>
      </w:r>
      <w:r w:rsidR="007C0CF1" w:rsidRPr="008A47F8">
        <w:rPr>
          <w:rFonts w:asciiTheme="majorHAnsi" w:hAnsiTheme="majorHAnsi" w:cstheme="majorHAnsi"/>
          <w:color w:val="000000" w:themeColor="text1"/>
          <w:lang w:val="en-US"/>
        </w:rPr>
        <w:t xml:space="preserve">ron </w:t>
      </w:r>
      <w:r w:rsidR="007C0CF1" w:rsidRPr="008A47F8">
        <w:rPr>
          <w:rFonts w:asciiTheme="majorHAnsi" w:hAnsiTheme="majorHAnsi" w:cstheme="majorHAnsi"/>
          <w:b/>
          <w:color w:val="000000" w:themeColor="text1"/>
          <w:lang w:val="en-US"/>
        </w:rPr>
        <w:t>H</w:t>
      </w:r>
      <w:r w:rsidR="007C0CF1" w:rsidRPr="008A47F8">
        <w:rPr>
          <w:rFonts w:asciiTheme="majorHAnsi" w:hAnsiTheme="majorHAnsi" w:cstheme="majorHAnsi"/>
          <w:color w:val="000000" w:themeColor="text1"/>
          <w:lang w:val="en-US"/>
        </w:rPr>
        <w:t xml:space="preserve">ydroxide </w:t>
      </w:r>
      <w:r w:rsidR="007C0CF1" w:rsidRPr="008A47F8">
        <w:rPr>
          <w:rFonts w:asciiTheme="majorHAnsi" w:hAnsiTheme="majorHAnsi" w:cstheme="majorHAnsi"/>
          <w:b/>
          <w:color w:val="000000" w:themeColor="text1"/>
          <w:lang w:val="en-US"/>
        </w:rPr>
        <w:t>A</w:t>
      </w:r>
      <w:r w:rsidR="007C0CF1" w:rsidRPr="008A47F8">
        <w:rPr>
          <w:rFonts w:asciiTheme="majorHAnsi" w:hAnsiTheme="majorHAnsi" w:cstheme="majorHAnsi"/>
          <w:color w:val="000000" w:themeColor="text1"/>
          <w:lang w:val="en-US"/>
        </w:rPr>
        <w:t xml:space="preserve">dipate </w:t>
      </w:r>
      <w:r w:rsidR="007C0CF1" w:rsidRPr="008A47F8">
        <w:rPr>
          <w:rFonts w:asciiTheme="majorHAnsi" w:hAnsiTheme="majorHAnsi" w:cstheme="majorHAnsi"/>
          <w:b/>
          <w:color w:val="000000" w:themeColor="text1"/>
          <w:lang w:val="en-US"/>
        </w:rPr>
        <w:t>T</w:t>
      </w:r>
      <w:r w:rsidR="007C0CF1" w:rsidRPr="008A47F8">
        <w:rPr>
          <w:rFonts w:asciiTheme="majorHAnsi" w:hAnsiTheme="majorHAnsi" w:cstheme="majorHAnsi"/>
          <w:color w:val="000000" w:themeColor="text1"/>
          <w:lang w:val="en-US"/>
        </w:rPr>
        <w:t>artrate</w:t>
      </w:r>
      <w:r w:rsidRPr="008A47F8">
        <w:rPr>
          <w:rFonts w:asciiTheme="majorHAnsi" w:hAnsiTheme="majorHAnsi" w:cstheme="majorHAnsi"/>
          <w:color w:val="000000" w:themeColor="text1"/>
          <w:lang w:val="en-US"/>
        </w:rPr>
        <w:t xml:space="preserve">” </w:t>
      </w:r>
      <w:r w:rsidR="007C0CF1" w:rsidRPr="008A47F8">
        <w:rPr>
          <w:rFonts w:asciiTheme="majorHAnsi" w:hAnsiTheme="majorHAnsi" w:cstheme="majorHAnsi"/>
          <w:color w:val="000000" w:themeColor="text1"/>
          <w:lang w:val="en-US"/>
        </w:rPr>
        <w:t xml:space="preserve">trial </w:t>
      </w:r>
      <w:r w:rsidRPr="008A47F8">
        <w:rPr>
          <w:rFonts w:asciiTheme="majorHAnsi" w:hAnsiTheme="majorHAnsi" w:cstheme="majorHAnsi"/>
          <w:lang w:eastAsia="ja-JP"/>
        </w:rPr>
        <w:t>(</w:t>
      </w:r>
      <w:r w:rsidRPr="008A47F8">
        <w:rPr>
          <w:rFonts w:asciiTheme="majorHAnsi" w:hAnsiTheme="majorHAnsi" w:cstheme="majorHAnsi"/>
          <w:color w:val="0260BF"/>
          <w:lang w:eastAsia="ja-JP"/>
        </w:rPr>
        <w:t>NCT02941081</w:t>
      </w:r>
      <w:r w:rsidRPr="008A47F8">
        <w:rPr>
          <w:rFonts w:asciiTheme="majorHAnsi" w:hAnsiTheme="majorHAnsi" w:cstheme="majorHAnsi"/>
          <w:lang w:eastAsia="ja-JP"/>
        </w:rPr>
        <w:t xml:space="preserve">) </w:t>
      </w:r>
      <w:r w:rsidRPr="008A47F8">
        <w:rPr>
          <w:rFonts w:asciiTheme="majorHAnsi" w:hAnsiTheme="majorHAnsi" w:cstheme="majorHAnsi"/>
          <w:color w:val="000000" w:themeColor="text1"/>
          <w:lang w:val="en-US"/>
        </w:rPr>
        <w:t xml:space="preserve">which </w:t>
      </w:r>
      <w:r w:rsidR="007C0CF1" w:rsidRPr="008A47F8">
        <w:rPr>
          <w:rFonts w:asciiTheme="majorHAnsi" w:hAnsiTheme="majorHAnsi" w:cstheme="majorHAnsi"/>
          <w:color w:val="000000" w:themeColor="text1"/>
          <w:lang w:val="en-US"/>
        </w:rPr>
        <w:t xml:space="preserve">is a three-arm, parallel, </w:t>
      </w:r>
      <w:r w:rsidR="00161A65" w:rsidRPr="008A47F8">
        <w:rPr>
          <w:rFonts w:asciiTheme="majorHAnsi" w:hAnsiTheme="majorHAnsi" w:cstheme="majorHAnsi"/>
          <w:color w:val="000000" w:themeColor="text1"/>
          <w:lang w:val="en-US"/>
        </w:rPr>
        <w:t>randomized</w:t>
      </w:r>
      <w:r w:rsidR="007C0CF1" w:rsidRPr="008A47F8">
        <w:rPr>
          <w:rFonts w:asciiTheme="majorHAnsi" w:hAnsiTheme="majorHAnsi" w:cstheme="majorHAnsi"/>
          <w:color w:val="000000" w:themeColor="text1"/>
          <w:lang w:val="en-US"/>
        </w:rPr>
        <w:t>,</w:t>
      </w:r>
      <w:r w:rsidRPr="008A47F8">
        <w:rPr>
          <w:rFonts w:asciiTheme="majorHAnsi" w:hAnsiTheme="majorHAnsi" w:cstheme="majorHAnsi"/>
          <w:color w:val="000000" w:themeColor="text1"/>
          <w:lang w:val="en-US"/>
        </w:rPr>
        <w:t xml:space="preserve"> </w:t>
      </w:r>
      <w:r w:rsidR="007C0CF1" w:rsidRPr="008A47F8">
        <w:rPr>
          <w:rFonts w:asciiTheme="majorHAnsi" w:eastAsiaTheme="minorHAnsi" w:hAnsiTheme="majorHAnsi" w:cstheme="majorHAnsi"/>
          <w:color w:val="000000" w:themeColor="text1"/>
          <w:lang w:val="en-US"/>
        </w:rPr>
        <w:t>placebo-controlled, double-blind study with iron supplementation</w:t>
      </w:r>
      <w:r w:rsidR="007C0CF1" w:rsidRPr="008A47F8">
        <w:rPr>
          <w:rFonts w:asciiTheme="majorHAnsi" w:hAnsiTheme="majorHAnsi" w:cstheme="majorHAnsi"/>
          <w:color w:val="000000" w:themeColor="text1"/>
          <w:lang w:val="en-US"/>
        </w:rPr>
        <w:t xml:space="preserve"> </w:t>
      </w:r>
      <w:r w:rsidR="007C0CF1" w:rsidRPr="008A47F8">
        <w:rPr>
          <w:rFonts w:asciiTheme="majorHAnsi" w:eastAsiaTheme="minorHAnsi" w:hAnsiTheme="majorHAnsi" w:cstheme="majorHAnsi"/>
          <w:color w:val="000000" w:themeColor="text1"/>
          <w:lang w:val="en-US"/>
        </w:rPr>
        <w:t>in young children with mild to moderate iron deficient</w:t>
      </w:r>
      <w:r w:rsidR="007C0CF1" w:rsidRPr="008A47F8">
        <w:rPr>
          <w:rFonts w:asciiTheme="majorHAnsi" w:hAnsiTheme="majorHAnsi" w:cstheme="majorHAnsi"/>
          <w:color w:val="000000" w:themeColor="text1"/>
          <w:lang w:val="en-US"/>
        </w:rPr>
        <w:t xml:space="preserve"> </w:t>
      </w:r>
      <w:r w:rsidR="007C0CF1" w:rsidRPr="008A47F8">
        <w:rPr>
          <w:rFonts w:asciiTheme="majorHAnsi" w:eastAsiaTheme="minorHAnsi" w:hAnsiTheme="majorHAnsi" w:cstheme="majorHAnsi"/>
          <w:color w:val="000000" w:themeColor="text1"/>
          <w:lang w:val="en-US"/>
        </w:rPr>
        <w:t>anaemia</w:t>
      </w:r>
      <w:r w:rsidR="007C0CF1" w:rsidRPr="008A47F8">
        <w:rPr>
          <w:rFonts w:asciiTheme="majorHAnsi" w:hAnsiTheme="majorHAnsi" w:cstheme="majorHAnsi"/>
          <w:color w:val="000000" w:themeColor="text1"/>
          <w:lang w:val="en-US"/>
        </w:rPr>
        <w:t xml:space="preserve"> </w:t>
      </w:r>
      <w:r w:rsidRPr="008A47F8">
        <w:rPr>
          <w:rFonts w:asciiTheme="majorHAnsi" w:hAnsiTheme="majorHAnsi" w:cstheme="majorHAnsi"/>
          <w:color w:val="000000" w:themeColor="text1"/>
          <w:lang w:val="en-US"/>
        </w:rPr>
        <w:fldChar w:fldCharType="begin" w:fldLock="1"/>
      </w:r>
      <w:r w:rsidR="001E1916" w:rsidRPr="008A47F8">
        <w:rPr>
          <w:rFonts w:asciiTheme="majorHAnsi" w:hAnsiTheme="majorHAnsi" w:cstheme="majorHAnsi"/>
          <w:color w:val="000000" w:themeColor="text1"/>
          <w:lang w:val="en-US"/>
        </w:rPr>
        <w:instrText>ADDIN CSL_CITATION {"citationItems":[{"id":"ITEM-1","itemData":{"DOI":"10.12688/gatesopenres.12866.2","ISSN":"2572-4754","abstract":"Background: Iron deficiency and its associated anaemia (IDA) are the leading forms of micronutrient malnutrition worldwide. Here we describe the rationale and design of the first clinical trial evaluating the efficacy and safety of an innovative nano iron supplement, iron hydroxide adipate tartrate (IHAT), for the treatment of IDA in young children (IHAT-GUT trial). Oral iron is often ineffective due to poor absorption and/or gastrointestinal adverse effects. IHAT is novel since it is effectively absorbed whilst remaining nanoparticulate in the gut, therefore should enable supplementation with fewer symptoms.","author":[{"dropping-particle":"","family":"Pereira","given":"Dora I.A.","non-dropping-particle":"","parse-names":false,"suffix":""},{"dropping-particle":"","family":"Mohammed","given":"Nuredin I.","non-dropping-particle":"","parse-names":false,"suffix":""},{"dropping-particle":"","family":"Ofordile","given":"Ogochukwu","non-dropping-particle":"","parse-names":false,"suffix":""},{"dropping-particle":"","family":"Camara","given":"Famalang","non-dropping-particle":"","parse-names":false,"suffix":""},{"dropping-particle":"","family":"Baldeh","given":"Bakary","non-dropping-particle":"","parse-names":false,"suffix":""},{"dropping-particle":"","family":"Mendy","given":"Thomas","non-dropping-particle":"","parse-names":false,"suffix":""},{"dropping-particle":"","family":"Sanyang","given":"Chilel","non-dropping-particle":"","parse-names":false,"suffix":""},{"dropping-particle":"","family":"Jallow","given":"Amadou T.","non-dropping-particle":"","parse-names":false,"suffix":""},{"dropping-particle":"","family":"Hossain","given":"Ilias","non-dropping-particle":"","parse-names":false,"suffix":""},{"dropping-particle":"","family":"Wason","given":"James","non-dropping-particle":"","parse-names":false,"suffix":""},{"dropping-particle":"","family":"Prentice","given":"Andrew M.","non-dropping-particle":"","parse-names":false,"suffix":""}],"container-title":"Gates Open Research","id":"ITEM-1","issued":{"date-parts":[["2018","10","11"]]},"page":"48","title":"A novel nano-iron supplement to safely combat iron deficiency and anaemia in young children: The IHAT-GUT double-blind, randomised, placebo-controlled trial protocol","type":"article-journal","volume":"2"},"uris":["http://www.mendeley.com/documents/?uuid=cd519afc-3ca8-461d-978b-201936c831ef"]},{"id":"ITEM-2","itemData":{"ISBN":"9789241510196","PMID":"27195351","abstract":"This guideline provides a global, evidence-informed recommendation on daily iron supplementation in menstruating adult women and adolescents, as a public-health intervention for the prevention of anaemia and iron deficiency. The guideline aims to help Member States and their partners in their efforts to make informed decisions on the appropriate nutrition actions to achieve the Sustainable Development Goals, in particular, Goal 2: End hunger, achieve food security and improved nutrition and promote sustainable agriculture. It will also support Member States in their efforts to achieve the global targets set in the Comprehensive implementation plan on maternal, infant and young child nutrition, as endorsed by the Sixty-fifth World Health Assembly in 2012, in resolution WHA65.6, and the Global strategy for women’s, children’s and adolescents' health (2016–2030). The recommendation in this guideline is intended for a wide audience, including policy-makers, their expert advisers, and technical and programme staff at government institutions and organizations involved in the design, implementation and scaling-up of programmes for anaemia prevention and control, and in nutrition actions for public health. This guideline is intended to contribute to discussions among stakeholders when selecting or prioritizing interventions to be undertaken in their specific context. This document presents the key recommendation and a summary of the supporting evidence.","author":[{"dropping-particle":"","family":"WHO","given":"","non-dropping-particle":"","parse-names":false,"suffix":""}],"container-title":"Daily Iron Supplimentation in infants and children","id":"ITEM-2","issued":{"date-parts":[["2016"]]},"title":"Guideline daily iron supplementation in infants and children","type":"paper-conference"},"uris":["http://www.mendeley.com/documents/?uuid=c403da8a-ac94-4554-9798-389833b24fe5"]}],"mendeley":{"formattedCitation":"&lt;sup&gt;1,2&lt;/sup&gt;","plainTextFormattedCitation":"1,2","previouslyFormattedCitation":"&lt;sup&gt;1,2&lt;/sup&gt;"},"properties":{"noteIndex":0},"schema":"https://github.com/citation-style-language/schema/raw/master/csl-citation.json"}</w:instrText>
      </w:r>
      <w:r w:rsidRPr="008A47F8">
        <w:rPr>
          <w:rFonts w:asciiTheme="majorHAnsi" w:hAnsiTheme="majorHAnsi" w:cstheme="majorHAnsi"/>
          <w:color w:val="000000" w:themeColor="text1"/>
          <w:lang w:val="en-US"/>
        </w:rPr>
        <w:fldChar w:fldCharType="separate"/>
      </w:r>
      <w:r w:rsidRPr="008A47F8">
        <w:rPr>
          <w:rFonts w:asciiTheme="majorHAnsi" w:hAnsiTheme="majorHAnsi" w:cstheme="majorHAnsi"/>
          <w:noProof/>
          <w:color w:val="000000" w:themeColor="text1"/>
          <w:vertAlign w:val="superscript"/>
          <w:lang w:val="en-US"/>
        </w:rPr>
        <w:t>1,2</w:t>
      </w:r>
      <w:r w:rsidRPr="008A47F8">
        <w:rPr>
          <w:rFonts w:asciiTheme="majorHAnsi" w:hAnsiTheme="majorHAnsi" w:cstheme="majorHAnsi"/>
          <w:color w:val="000000" w:themeColor="text1"/>
          <w:lang w:val="en-US"/>
        </w:rPr>
        <w:fldChar w:fldCharType="end"/>
      </w:r>
      <w:r w:rsidR="007C0CF1" w:rsidRPr="008A47F8">
        <w:rPr>
          <w:rFonts w:asciiTheme="majorHAnsi" w:hAnsiTheme="majorHAnsi" w:cstheme="majorHAnsi"/>
          <w:color w:val="000000" w:themeColor="text1"/>
          <w:lang w:val="en-US"/>
        </w:rPr>
        <w:t xml:space="preserve">. </w:t>
      </w:r>
      <w:r w:rsidR="00AF7C1C" w:rsidRPr="008A47F8">
        <w:rPr>
          <w:rFonts w:asciiTheme="majorHAnsi" w:hAnsiTheme="majorHAnsi" w:cstheme="majorHAnsi"/>
          <w:lang w:eastAsia="ja-JP"/>
        </w:rPr>
        <w:t xml:space="preserve">The study population in IHAT-GUT were children under the age of 3 years living in the north bank rural communities in the Upper River Region (URR) of The Gambia in West Africa. The study area included 45 villages in the Wuli and Sandu districts, situated approximately 400 km east of the capital Banjul, on the north bank of the river Gambia. All villages had access to borehole tap water at central places and are typical of rural sub-Saharan Africa. </w:t>
      </w:r>
      <w:r w:rsidR="007C0CF1" w:rsidRPr="008A47F8">
        <w:rPr>
          <w:rFonts w:asciiTheme="majorHAnsi" w:eastAsiaTheme="minorHAnsi" w:hAnsiTheme="majorHAnsi" w:cstheme="majorHAnsi"/>
          <w:color w:val="000000" w:themeColor="text1"/>
          <w:lang w:val="en-US"/>
        </w:rPr>
        <w:t>A detailed description of the study design</w:t>
      </w:r>
      <w:r w:rsidR="00161102" w:rsidRPr="008A47F8">
        <w:rPr>
          <w:rFonts w:asciiTheme="majorHAnsi" w:eastAsiaTheme="minorHAnsi" w:hAnsiTheme="majorHAnsi" w:cstheme="majorHAnsi"/>
          <w:color w:val="000000" w:themeColor="text1"/>
          <w:lang w:val="en-US"/>
        </w:rPr>
        <w:t>,</w:t>
      </w:r>
      <w:r w:rsidR="007C0CF1" w:rsidRPr="008A47F8">
        <w:rPr>
          <w:rFonts w:asciiTheme="majorHAnsi" w:eastAsiaTheme="minorHAnsi" w:hAnsiTheme="majorHAnsi" w:cstheme="majorHAnsi"/>
          <w:color w:val="000000" w:themeColor="text1"/>
          <w:lang w:val="en-US"/>
        </w:rPr>
        <w:t xml:space="preserve"> </w:t>
      </w:r>
      <w:r w:rsidR="00161102" w:rsidRPr="008A47F8">
        <w:rPr>
          <w:rFonts w:asciiTheme="majorHAnsi" w:hAnsiTheme="majorHAnsi" w:cstheme="majorHAnsi"/>
        </w:rPr>
        <w:t>children cohort, recruitment, screening, intervention</w:t>
      </w:r>
      <w:r w:rsidR="00161102" w:rsidRPr="008A47F8">
        <w:rPr>
          <w:rFonts w:asciiTheme="majorHAnsi" w:eastAsiaTheme="minorHAnsi" w:hAnsiTheme="majorHAnsi" w:cstheme="majorHAnsi"/>
          <w:color w:val="000000" w:themeColor="text1"/>
          <w:lang w:val="en-US"/>
        </w:rPr>
        <w:t xml:space="preserve"> </w:t>
      </w:r>
      <w:r w:rsidR="007C0CF1" w:rsidRPr="008A47F8">
        <w:rPr>
          <w:rFonts w:asciiTheme="majorHAnsi" w:eastAsiaTheme="minorHAnsi" w:hAnsiTheme="majorHAnsi" w:cstheme="majorHAnsi"/>
          <w:color w:val="000000" w:themeColor="text1"/>
          <w:lang w:val="en-US"/>
        </w:rPr>
        <w:t>and ethnic statement are present in</w:t>
      </w:r>
      <w:r w:rsidR="00161102" w:rsidRPr="008A47F8">
        <w:rPr>
          <w:rFonts w:asciiTheme="majorHAnsi" w:eastAsiaTheme="minorHAnsi" w:hAnsiTheme="majorHAnsi" w:cstheme="majorHAnsi"/>
          <w:color w:val="000000" w:themeColor="text1"/>
          <w:lang w:val="en-US"/>
        </w:rPr>
        <w:t xml:space="preserve"> Gates open research</w:t>
      </w:r>
      <w:r w:rsidR="007C0CF1" w:rsidRPr="008A47F8">
        <w:rPr>
          <w:rFonts w:asciiTheme="majorHAnsi" w:eastAsiaTheme="minorHAnsi" w:hAnsiTheme="majorHAnsi" w:cstheme="majorHAnsi"/>
          <w:color w:val="000000" w:themeColor="text1"/>
          <w:lang w:val="en-US"/>
        </w:rPr>
        <w:t xml:space="preserve"> </w:t>
      </w:r>
      <w:r w:rsidR="00161102" w:rsidRPr="008A47F8">
        <w:rPr>
          <w:rFonts w:asciiTheme="majorHAnsi" w:eastAsiaTheme="minorHAnsi" w:hAnsiTheme="majorHAnsi" w:cstheme="majorHAnsi"/>
          <w:color w:val="000000" w:themeColor="text1"/>
          <w:lang w:val="en-US"/>
        </w:rPr>
        <w:fldChar w:fldCharType="begin" w:fldLock="1"/>
      </w:r>
      <w:r w:rsidR="0066041C" w:rsidRPr="008A47F8">
        <w:rPr>
          <w:rFonts w:asciiTheme="majorHAnsi" w:eastAsiaTheme="minorHAnsi" w:hAnsiTheme="majorHAnsi" w:cstheme="majorHAnsi"/>
          <w:color w:val="000000" w:themeColor="text1"/>
          <w:lang w:val="en-US"/>
        </w:rPr>
        <w:instrText>ADDIN CSL_CITATION {"citationItems":[{"id":"ITEM-1","itemData":{"DOI":"10.12688/gatesopenres.12866.2","ISSN":"2572-4754","abstract":"Background: Iron deficiency and its associated anaemia (IDA) are the leading forms of micronutrient malnutrition worldwide. Here we describe the rationale and design of the first clinical trial evaluating the efficacy and safety of an innovative nano iron supplement, iron hydroxide adipate tartrate (IHAT), for the treatment of IDA in young children (IHAT-GUT trial). Oral iron is often ineffective due to poor absorption and/or gastrointestinal adverse effects. IHAT is novel since it is effectively absorbed whilst remaining nanoparticulate in the gut, therefore should enable supplementation with fewer symptoms.","author":[{"dropping-particle":"","family":"Pereira","given":"Dora I.A.","non-dropping-particle":"","parse-names":false,"suffix":""},{"dropping-particle":"","family":"Mohammed","given":"Nuredin I.","non-dropping-particle":"","parse-names":false,"suffix":""},{"dropping-particle":"","family":"Ofordile","given":"Ogochukwu","non-dropping-particle":"","parse-names":false,"suffix":""},{"dropping-particle":"","family":"Camara","given":"Famalang","non-dropping-particle":"","parse-names":false,"suffix":""},{"dropping-particle":"","family":"Baldeh","given":"Bakary","non-dropping-particle":"","parse-names":false,"suffix":""},{"dropping-particle":"","family":"Mendy","given":"Thomas","non-dropping-particle":"","parse-names":false,"suffix":""},{"dropping-particle":"","family":"Sanyang","given":"Chilel","non-dropping-particle":"","parse-names":false,"suffix":""},{"dropping-particle":"","family":"Jallow","given":"Amadou T.","non-dropping-particle":"","parse-names":false,"suffix":""},{"dropping-particle":"","family":"Hossain","given":"Ilias","non-dropping-particle":"","parse-names":false,"suffix":""},{"dropping-particle":"","family":"Wason","given":"James","non-dropping-particle":"","parse-names":false,"suffix":""},{"dropping-particle":"","family":"Prentice","given":"Andrew M.","non-dropping-particle":"","parse-names":false,"suffix":""}],"container-title":"Gates Open Research","id":"ITEM-1","issued":{"date-parts":[["2018","10","11"]]},"page":"48","title":"A novel nano-iron supplement to safely combat iron deficiency and anaemia in young children: The IHAT-GUT double-blind, randomised, placebo-controlled trial protocol","type":"article-journal","volume":"2"},"uris":["http://www.mendeley.com/documents/?uuid=cd519afc-3ca8-461d-978b-201936c831ef"]}],"mendeley":{"formattedCitation":"&lt;sup&gt;1&lt;/sup&gt;","plainTextFormattedCitation":"1","previouslyFormattedCitation":"&lt;sup&gt;1&lt;/sup&gt;"},"properties":{"noteIndex":0},"schema":"https://github.com/citation-style-language/schema/raw/master/csl-citation.json"}</w:instrText>
      </w:r>
      <w:r w:rsidR="00161102" w:rsidRPr="008A47F8">
        <w:rPr>
          <w:rFonts w:asciiTheme="majorHAnsi" w:eastAsiaTheme="minorHAnsi" w:hAnsiTheme="majorHAnsi" w:cstheme="majorHAnsi"/>
          <w:color w:val="000000" w:themeColor="text1"/>
          <w:lang w:val="en-US"/>
        </w:rPr>
        <w:fldChar w:fldCharType="separate"/>
      </w:r>
      <w:r w:rsidR="00161102" w:rsidRPr="008A47F8">
        <w:rPr>
          <w:rFonts w:asciiTheme="majorHAnsi" w:eastAsiaTheme="minorHAnsi" w:hAnsiTheme="majorHAnsi" w:cstheme="majorHAnsi"/>
          <w:noProof/>
          <w:color w:val="000000" w:themeColor="text1"/>
          <w:vertAlign w:val="superscript"/>
          <w:lang w:val="en-US"/>
        </w:rPr>
        <w:t>1</w:t>
      </w:r>
      <w:r w:rsidR="00161102" w:rsidRPr="008A47F8">
        <w:rPr>
          <w:rFonts w:asciiTheme="majorHAnsi" w:eastAsiaTheme="minorHAnsi" w:hAnsiTheme="majorHAnsi" w:cstheme="majorHAnsi"/>
          <w:color w:val="000000" w:themeColor="text1"/>
          <w:lang w:val="en-US"/>
        </w:rPr>
        <w:fldChar w:fldCharType="end"/>
      </w:r>
      <w:r w:rsidR="00161102" w:rsidRPr="008A47F8">
        <w:rPr>
          <w:rFonts w:asciiTheme="majorHAnsi" w:eastAsiaTheme="minorHAnsi" w:hAnsiTheme="majorHAnsi" w:cstheme="majorHAnsi"/>
          <w:color w:val="000000" w:themeColor="text1"/>
          <w:lang w:val="en-US"/>
        </w:rPr>
        <w:t xml:space="preserve">. Stool samples were collected at baseline (Day1), at day 15 and at day 85. </w:t>
      </w:r>
      <w:r w:rsidR="008F1C2D" w:rsidRPr="008A47F8">
        <w:rPr>
          <w:rFonts w:asciiTheme="majorHAnsi" w:eastAsiaTheme="minorHAnsi" w:hAnsiTheme="majorHAnsi" w:cstheme="majorHAnsi"/>
          <w:lang w:val="en-US"/>
        </w:rPr>
        <w:t xml:space="preserve">Stool samples collected in the OMNIgene® GUT tube contain a DNA </w:t>
      </w:r>
      <w:r w:rsidRPr="008A47F8">
        <w:rPr>
          <w:rFonts w:asciiTheme="majorHAnsi" w:hAnsiTheme="majorHAnsi" w:cstheme="majorHAnsi"/>
          <w:lang w:val="en-US"/>
        </w:rPr>
        <w:t>stabilizing</w:t>
      </w:r>
      <w:r w:rsidR="008F1C2D" w:rsidRPr="008A47F8">
        <w:rPr>
          <w:rFonts w:asciiTheme="majorHAnsi" w:eastAsiaTheme="minorHAnsi" w:hAnsiTheme="majorHAnsi" w:cstheme="majorHAnsi"/>
          <w:lang w:val="en-US"/>
        </w:rPr>
        <w:t xml:space="preserve"> agent that ensures that samples can be kept at ambient temperature for 60 days. Total stool DNA is extracted from these samples using the Mo Bio PowerLyzer® PowerSoil® DNA Isolation Kit (Qiagen) within 6 weeks of sample collection. </w:t>
      </w:r>
    </w:p>
    <w:p w14:paraId="19DCC735" w14:textId="77777777" w:rsidR="00833699" w:rsidRPr="008A47F8" w:rsidRDefault="00833699" w:rsidP="008A47F8">
      <w:pPr>
        <w:spacing w:line="480" w:lineRule="auto"/>
        <w:rPr>
          <w:rFonts w:asciiTheme="majorHAnsi" w:hAnsiTheme="majorHAnsi" w:cstheme="majorHAnsi"/>
          <w:lang w:eastAsia="ja-JP"/>
        </w:rPr>
      </w:pPr>
      <w:r w:rsidRPr="008A47F8">
        <w:rPr>
          <w:rFonts w:asciiTheme="majorHAnsi" w:hAnsiTheme="majorHAnsi" w:cstheme="majorHAnsi"/>
          <w:lang w:eastAsia="ja-JP"/>
        </w:rPr>
        <w:t xml:space="preserve">The trial was conducted in accordance with the ethical principles that have their origin in the Declaration of Helsinki, and that are consistent with the International Conference on Harmonisation (ICH) requirements for Good Clinical Practice (GCP), and the applicable regulatory requirements. The study sponsor was the London School of Hygiene and Tropical Medicine (LSHTM) and the study was conducted at the Medical Research Council (MRC) Unit </w:t>
      </w:r>
    </w:p>
    <w:p w14:paraId="45D30ED3" w14:textId="4F65B669" w:rsidR="00833699" w:rsidRPr="008A47F8" w:rsidRDefault="00833699" w:rsidP="008A47F8">
      <w:pPr>
        <w:spacing w:line="480" w:lineRule="auto"/>
        <w:rPr>
          <w:rFonts w:asciiTheme="majorHAnsi" w:hAnsiTheme="majorHAnsi" w:cstheme="majorHAnsi"/>
          <w:lang w:eastAsia="ja-JP"/>
        </w:rPr>
      </w:pPr>
      <w:r w:rsidRPr="008A47F8">
        <w:rPr>
          <w:rFonts w:asciiTheme="majorHAnsi" w:hAnsiTheme="majorHAnsi" w:cstheme="majorHAnsi"/>
          <w:lang w:eastAsia="ja-JP"/>
        </w:rPr>
        <w:t>The Gambia at LSHTM (MRCG). The study protocol and any subsequent amendments have 1</w:t>
      </w:r>
    </w:p>
    <w:p w14:paraId="4CEC94EF" w14:textId="34E085DF" w:rsidR="00833699" w:rsidRPr="008A47F8" w:rsidRDefault="00833699" w:rsidP="008A47F8">
      <w:pPr>
        <w:spacing w:line="480" w:lineRule="auto"/>
        <w:rPr>
          <w:rFonts w:asciiTheme="majorHAnsi" w:hAnsiTheme="majorHAnsi" w:cstheme="majorHAnsi"/>
          <w:lang w:eastAsia="ja-JP"/>
        </w:rPr>
      </w:pPr>
      <w:r w:rsidRPr="008A47F8">
        <w:rPr>
          <w:rFonts w:asciiTheme="majorHAnsi" w:hAnsiTheme="majorHAnsi" w:cstheme="majorHAnsi"/>
          <w:lang w:eastAsia="ja-JP"/>
        </w:rPr>
        <w:lastRenderedPageBreak/>
        <w:t>been reviewed and approved by The Gambia Government/MRC Joint Ethics Committee (reference SCC1489). Clinical Trials Authorisation was granted by the Medicines Control Agency, The Gambia (HP373/347/16/</w:t>
      </w:r>
      <w:proofErr w:type="gramStart"/>
      <w:r w:rsidRPr="008A47F8">
        <w:rPr>
          <w:rFonts w:asciiTheme="majorHAnsi" w:hAnsiTheme="majorHAnsi" w:cstheme="majorHAnsi"/>
          <w:lang w:eastAsia="ja-JP"/>
        </w:rPr>
        <w:t>MJK(</w:t>
      </w:r>
      <w:proofErr w:type="gramEnd"/>
      <w:r w:rsidRPr="008A47F8">
        <w:rPr>
          <w:rFonts w:asciiTheme="majorHAnsi" w:hAnsiTheme="majorHAnsi" w:cstheme="majorHAnsi"/>
          <w:lang w:eastAsia="ja-JP"/>
        </w:rPr>
        <w:t xml:space="preserve">80)). The trial was funded by The Bill and Melinda Gates Foundation (OPP1140952), the funder had no input into the study design or decision to publish. Informed consent for a child to participate in the study was provided by their </w:t>
      </w:r>
      <w:r w:rsidR="00AF7C1C" w:rsidRPr="008A47F8">
        <w:rPr>
          <w:rFonts w:asciiTheme="majorHAnsi" w:hAnsiTheme="majorHAnsi" w:cstheme="majorHAnsi"/>
          <w:lang w:eastAsia="ja-JP"/>
        </w:rPr>
        <w:t xml:space="preserve">parent before enrolment in the study. </w:t>
      </w:r>
    </w:p>
    <w:p w14:paraId="247C9328" w14:textId="14FD8FE3" w:rsidR="00B644C7" w:rsidRPr="008A47F8" w:rsidRDefault="00B644C7" w:rsidP="008A47F8">
      <w:pPr>
        <w:spacing w:line="480" w:lineRule="auto"/>
        <w:rPr>
          <w:rFonts w:asciiTheme="majorHAnsi" w:hAnsiTheme="majorHAnsi" w:cstheme="majorHAnsi"/>
          <w:b/>
          <w:bCs/>
          <w:lang w:eastAsia="ja-JP"/>
        </w:rPr>
      </w:pPr>
      <w:r w:rsidRPr="008A47F8">
        <w:rPr>
          <w:rFonts w:asciiTheme="majorHAnsi" w:hAnsiTheme="majorHAnsi" w:cstheme="majorHAnsi"/>
          <w:b/>
          <w:bCs/>
          <w:lang w:eastAsia="ja-JP"/>
        </w:rPr>
        <w:t>Sampling framework and sample characteristics</w:t>
      </w:r>
    </w:p>
    <w:p w14:paraId="0757D3AF" w14:textId="0CF64201" w:rsidR="00B644C7" w:rsidRDefault="00B644C7" w:rsidP="008A47F8">
      <w:pPr>
        <w:spacing w:line="480" w:lineRule="auto"/>
        <w:rPr>
          <w:rFonts w:asciiTheme="majorHAnsi" w:hAnsiTheme="majorHAnsi" w:cstheme="majorHAnsi"/>
          <w:bCs/>
        </w:rPr>
      </w:pPr>
      <w:r w:rsidRPr="008A47F8">
        <w:rPr>
          <w:rFonts w:asciiTheme="majorHAnsi" w:hAnsiTheme="majorHAnsi" w:cstheme="majorHAnsi"/>
        </w:rPr>
        <w:t xml:space="preserve">We performed 16S rDNA amplification and sequencing on a total of 1546 samples (1466 stool samples, 46 negative and 34 positive controls). In total, we generated </w:t>
      </w:r>
      <w:r w:rsidRPr="008A47F8">
        <w:rPr>
          <w:rFonts w:asciiTheme="majorHAnsi" w:hAnsiTheme="majorHAnsi" w:cstheme="majorHAnsi"/>
          <w:bCs/>
        </w:rPr>
        <w:t>146,603,504 bacterial</w:t>
      </w:r>
      <w:r w:rsidRPr="008A47F8">
        <w:rPr>
          <w:rFonts w:asciiTheme="majorHAnsi" w:hAnsiTheme="majorHAnsi" w:cstheme="majorHAnsi"/>
          <w:b/>
          <w:bCs/>
        </w:rPr>
        <w:t xml:space="preserve"> </w:t>
      </w:r>
      <w:r w:rsidRPr="008A47F8">
        <w:rPr>
          <w:rFonts w:asciiTheme="majorHAnsi" w:hAnsiTheme="majorHAnsi" w:cstheme="majorHAnsi"/>
        </w:rPr>
        <w:t xml:space="preserve">V1-V2 16S rRNA gene reads. Fifty-six stool samples had less than 1000 high quality reads and were removed from further analysis; this was mainly due to watery samples containing very low biomass which did not provide sufficient DNA for amplification. Of the remaining 1410 samples, 1372 samples were sub-sampled to 20,000 high quality reads per sample and for 38 samples (with 1000-20,000 sequence reads) all reads were kept. Of the 1410 samples left after quality filtering three more samples were removed by the </w:t>
      </w:r>
      <w:r w:rsidR="00161A65" w:rsidRPr="008A47F8">
        <w:rPr>
          <w:rFonts w:asciiTheme="majorHAnsi" w:hAnsiTheme="majorHAnsi" w:cstheme="majorHAnsi"/>
        </w:rPr>
        <w:t>Oligotyping</w:t>
      </w:r>
      <w:r w:rsidRPr="008A47F8">
        <w:rPr>
          <w:rFonts w:asciiTheme="majorHAnsi" w:hAnsiTheme="majorHAnsi" w:cstheme="majorHAnsi"/>
        </w:rPr>
        <w:t xml:space="preserve"> filtering step leaving </w:t>
      </w:r>
      <w:r w:rsidRPr="008A47F8">
        <w:rPr>
          <w:rFonts w:asciiTheme="majorHAnsi" w:hAnsiTheme="majorHAnsi" w:cstheme="majorHAnsi"/>
          <w:bCs/>
        </w:rPr>
        <w:t>1407 samples from 616 patients</w:t>
      </w:r>
      <w:r w:rsidRPr="008A47F8">
        <w:rPr>
          <w:rFonts w:asciiTheme="majorHAnsi" w:hAnsiTheme="majorHAnsi" w:cstheme="majorHAnsi"/>
        </w:rPr>
        <w:t xml:space="preserve"> for detailed analysis. The </w:t>
      </w:r>
      <w:r w:rsidRPr="008A47F8">
        <w:rPr>
          <w:rFonts w:asciiTheme="majorHAnsi" w:hAnsiTheme="majorHAnsi" w:cstheme="majorHAnsi"/>
          <w:bCs/>
        </w:rPr>
        <w:t xml:space="preserve">samples were collected at three different timepoints during an iron intervention trial in The Gambia </w:t>
      </w:r>
      <w:r w:rsidRPr="008A47F8">
        <w:rPr>
          <w:rFonts w:asciiTheme="majorHAnsi" w:hAnsiTheme="majorHAnsi" w:cstheme="majorHAnsi"/>
          <w:bCs/>
        </w:rPr>
        <w:fldChar w:fldCharType="begin" w:fldLock="1"/>
      </w:r>
      <w:r w:rsidR="003F0F57">
        <w:rPr>
          <w:rFonts w:asciiTheme="majorHAnsi" w:hAnsiTheme="majorHAnsi" w:cstheme="majorHAnsi"/>
          <w:bCs/>
        </w:rPr>
        <w:instrText>ADDIN CSL_CITATION {"citationItems":[{"id":"ITEM-1","itemData":{"DOI":"10.12688/gatesopenres.12866.2","ISSN":"25724754","abstract":"Background: Iron deficiency and its associated anaemia (IDA) are the leading forms of micronutrient malnutrition worldwide. Here we describe the rationale and design of the first clinical trial evaluating the efficacy and safety of an innovative nano iron supplement, iron hydroxide adipate tartrate (IHAT), for the treatment of IDA in young children (IHAT-GUT trial). Oral iron is often ineffective due to poor absorption and/or gastrointestinal adverse effects. IHAT is novel since it is effectively absorbed whilst remaining nanoparticulate in the gut, therefore should enable supplementation with fewer symptoms. Methods: IHAT-GUT is a three-arm, double-blind, randomised, placebo-controlled phase II trial conducted in Gambian children 6-35 months of age. The intervention consists of a 12-week supplementation with either IHAT, ferrous sulphate (both at doses bioequivalent to 12.5 mg Fe/day) or placebo. The trial aims to include 705 children with IDA who will be randomly assigned (1:1:1) to each arm. The primary objectives are to test non-inferiority of IHAT in relation to ferrous sulphate at treating IDA, and to test superiority of IHAT in relation to ferrous sulphate and non-inferiority in relation to placebo in terms of diarrhoea incidence and prevalence. Secondary objectives are mechanistic assessments, to test whether IHAT reduces the burden of enteric pathogens, morbidity, and intestinal inflammation, and that it does not cause detrimental changes to the gut microbiome, particularly in relation to Lactobacillaceae, Bifidobacteriaceae and Enterobacteriaceae. Discussion: This trial will test the hypothesis that supplementation with IHAT eliminates iron deficiency and improves haemoglobin levels without inducing gastrointestinal adverse effects. If shown to be the case, this would open the possibility for further testing and use of IHAT as a novel iron source for micronutrient intervention strategies in resource-poor countries, with the ultimate aim to help reduce the IDA global burden.","author":[{"dropping-particle":"","family":"Pereira","given":"Dora I.A.","non-dropping-particle":"","parse-names":false,"suffix":""},{"dropping-particle":"","family":"Mohammed","given":"Nuredin I.","non-dropping-particle":"","parse-names":false,"suffix":""},{"dropping-particle":"","family":"Ofordile","given":"Ogochukwu","non-dropping-particle":"","parse-names":false,"suffix":""},{"dropping-particle":"","family":"Camara","given":"Famalang","non-dropping-particle":"","parse-names":false,"suffix":""},{"dropping-particle":"","family":"Baldeh","given":"Bakary","non-dropping-particle":"","parse-names":false,"suffix":""},{"dropping-particle":"","family":"Mendy","given":"Thomas","non-dropping-particle":"","parse-names":false,"suffix":""},{"dropping-particle":"","family":"Sanyang","given":"Chilel","non-dropping-particle":"","parse-names":false,"suffix":""},{"dropping-particle":"","family":"Jallow","given":"Amadou T.","non-dropping-particle":"","parse-names":false,"suffix":""},{"dropping-particle":"","family":"Hossain","given":"Ilias","non-dropping-particle":"","parse-names":false,"suffix":""},{"dropping-particle":"","family":"Wason","given":"James","non-dropping-particle":"","parse-names":false,"suffix":""},{"dropping-particle":"","family":"Prentice","given":"Andrew M.","non-dropping-particle":"","parse-names":false,"suffix":""}],"container-title":"Gates Open Research","id":"ITEM-1","issued":{"date-parts":[["2018"]]},"title":"A novel nano-iron supplement to safely combat iron deficiency and anaemia in young children: The IHAT-GUT double-blind, randomised, placebo-controlled trial protocol","type":"article-journal"},"uris":["http://www.mendeley.com/documents/?uuid=b71f99a1-4ab3-4366-a5d1-ecb18a811798"]}],"mendeley":{"formattedCitation":"&lt;sup&gt;3&lt;/sup&gt;","plainTextFormattedCitation":"3","previouslyFormattedCitation":"&lt;sup&gt;3&lt;/sup&gt;"},"properties":{"noteIndex":0},"schema":"https://github.com/citation-style-language/schema/raw/master/csl-citation.json"}</w:instrText>
      </w:r>
      <w:r w:rsidRPr="008A47F8">
        <w:rPr>
          <w:rFonts w:asciiTheme="majorHAnsi" w:hAnsiTheme="majorHAnsi" w:cstheme="majorHAnsi"/>
          <w:bCs/>
        </w:rPr>
        <w:fldChar w:fldCharType="separate"/>
      </w:r>
      <w:r w:rsidR="00161A65" w:rsidRPr="008A47F8">
        <w:rPr>
          <w:rFonts w:asciiTheme="majorHAnsi" w:hAnsiTheme="majorHAnsi" w:cstheme="majorHAnsi"/>
          <w:bCs/>
          <w:noProof/>
          <w:vertAlign w:val="superscript"/>
        </w:rPr>
        <w:t>3</w:t>
      </w:r>
      <w:r w:rsidRPr="008A47F8">
        <w:rPr>
          <w:rFonts w:asciiTheme="majorHAnsi" w:hAnsiTheme="majorHAnsi" w:cstheme="majorHAnsi"/>
          <w:bCs/>
        </w:rPr>
        <w:fldChar w:fldCharType="end"/>
      </w:r>
      <w:r w:rsidRPr="008A47F8">
        <w:rPr>
          <w:rFonts w:asciiTheme="majorHAnsi" w:hAnsiTheme="majorHAnsi" w:cstheme="majorHAnsi"/>
          <w:bCs/>
        </w:rPr>
        <w:t xml:space="preserve"> were available for detailed developmental and bacterial trophic network analysis.</w:t>
      </w:r>
    </w:p>
    <w:p w14:paraId="6D005CE9" w14:textId="77777777" w:rsidR="008A47F8" w:rsidRPr="008A47F8" w:rsidRDefault="008A47F8" w:rsidP="008A47F8">
      <w:pPr>
        <w:spacing w:line="480" w:lineRule="auto"/>
        <w:rPr>
          <w:rFonts w:asciiTheme="majorHAnsi" w:hAnsiTheme="majorHAnsi" w:cstheme="majorHAnsi"/>
        </w:rPr>
      </w:pPr>
    </w:p>
    <w:p w14:paraId="08326869" w14:textId="7356ACAA" w:rsidR="00261BA0" w:rsidRPr="008A47F8" w:rsidRDefault="00261BA0" w:rsidP="008A47F8">
      <w:pPr>
        <w:pStyle w:val="ListParagraph"/>
        <w:numPr>
          <w:ilvl w:val="0"/>
          <w:numId w:val="10"/>
        </w:numPr>
        <w:autoSpaceDE w:val="0"/>
        <w:autoSpaceDN w:val="0"/>
        <w:adjustRightInd w:val="0"/>
        <w:spacing w:line="480" w:lineRule="auto"/>
        <w:ind w:left="567" w:hanging="567"/>
        <w:contextualSpacing w:val="0"/>
        <w:rPr>
          <w:rFonts w:asciiTheme="majorHAnsi" w:hAnsiTheme="majorHAnsi" w:cstheme="majorHAnsi"/>
          <w:b/>
        </w:rPr>
      </w:pPr>
      <w:r w:rsidRPr="008A47F8">
        <w:rPr>
          <w:rFonts w:asciiTheme="majorHAnsi" w:hAnsiTheme="majorHAnsi" w:cstheme="majorHAnsi"/>
          <w:b/>
        </w:rPr>
        <w:t>DNA extraction</w:t>
      </w:r>
    </w:p>
    <w:p w14:paraId="2059FC06" w14:textId="4170FAF8" w:rsidR="00B9370D" w:rsidRPr="008A47F8" w:rsidRDefault="00B9370D" w:rsidP="008A47F8">
      <w:pPr>
        <w:spacing w:line="480" w:lineRule="auto"/>
        <w:rPr>
          <w:rFonts w:asciiTheme="majorHAnsi" w:hAnsiTheme="majorHAnsi" w:cstheme="majorHAnsi"/>
        </w:rPr>
      </w:pPr>
      <w:r w:rsidRPr="008A47F8">
        <w:rPr>
          <w:rFonts w:asciiTheme="majorHAnsi" w:hAnsiTheme="majorHAnsi" w:cstheme="majorHAnsi"/>
        </w:rPr>
        <w:t xml:space="preserve">Extraction of total genomic DNA was conducted on stool samples collected on visit Days 1, 15 and 85, using the MO BIO Laboratories (now Qiagen) DNeasy PowerLyzer® PowerSoil® Kit (cat. 12855-100). Each extraction </w:t>
      </w:r>
      <w:r w:rsidR="0044411D" w:rsidRPr="008A47F8">
        <w:rPr>
          <w:rFonts w:asciiTheme="majorHAnsi" w:hAnsiTheme="majorHAnsi" w:cstheme="majorHAnsi"/>
        </w:rPr>
        <w:t xml:space="preserve">was done with </w:t>
      </w:r>
      <w:r w:rsidRPr="008A47F8">
        <w:rPr>
          <w:rFonts w:asciiTheme="majorHAnsi" w:hAnsiTheme="majorHAnsi" w:cstheme="majorHAnsi"/>
        </w:rPr>
        <w:t xml:space="preserve">24 samples (23 study samples and one reagent blank). About 250μl of the OMNIGENE (OMNIgene•GUT | OM-200 (DNA Genotek)) </w:t>
      </w:r>
      <w:r w:rsidRPr="008A47F8">
        <w:rPr>
          <w:rFonts w:asciiTheme="majorHAnsi" w:hAnsiTheme="majorHAnsi" w:cstheme="majorHAnsi"/>
        </w:rPr>
        <w:lastRenderedPageBreak/>
        <w:t xml:space="preserve">sample mix (from a total of 2 mL sample + stabilising liquid mix) </w:t>
      </w:r>
      <w:r w:rsidR="0044411D" w:rsidRPr="008A47F8">
        <w:rPr>
          <w:rFonts w:asciiTheme="majorHAnsi" w:hAnsiTheme="majorHAnsi" w:cstheme="majorHAnsi"/>
        </w:rPr>
        <w:t>was</w:t>
      </w:r>
      <w:r w:rsidRPr="008A47F8">
        <w:rPr>
          <w:rFonts w:asciiTheme="majorHAnsi" w:hAnsiTheme="majorHAnsi" w:cstheme="majorHAnsi"/>
        </w:rPr>
        <w:t xml:space="preserve"> aliquoted into a labelled PowerLyzer® Glass Bead Tube, 0.1 mm (</w:t>
      </w:r>
      <w:r w:rsidRPr="008A47F8">
        <w:rPr>
          <w:rFonts w:asciiTheme="majorHAnsi" w:hAnsiTheme="majorHAnsi" w:cstheme="majorHAnsi"/>
          <w:lang w:val="en-GB"/>
        </w:rPr>
        <w:t>13118-100-GBT</w:t>
      </w:r>
      <w:r w:rsidRPr="008A47F8">
        <w:rPr>
          <w:rFonts w:asciiTheme="majorHAnsi" w:hAnsiTheme="majorHAnsi" w:cstheme="majorHAnsi"/>
        </w:rPr>
        <w:t xml:space="preserve">) and then gently mixed with 750μl of </w:t>
      </w:r>
      <w:r w:rsidRPr="008A47F8">
        <w:rPr>
          <w:rFonts w:asciiTheme="majorHAnsi" w:hAnsiTheme="majorHAnsi" w:cstheme="majorHAnsi"/>
          <w:lang w:val="en-GB"/>
        </w:rPr>
        <w:t xml:space="preserve">PowerSoil® Bead Solution </w:t>
      </w:r>
      <w:r w:rsidRPr="008A47F8">
        <w:rPr>
          <w:rFonts w:asciiTheme="majorHAnsi" w:hAnsiTheme="majorHAnsi" w:cstheme="majorHAnsi"/>
        </w:rPr>
        <w:t>(</w:t>
      </w:r>
      <w:r w:rsidRPr="008A47F8">
        <w:rPr>
          <w:rFonts w:asciiTheme="majorHAnsi" w:hAnsiTheme="majorHAnsi" w:cstheme="majorHAnsi"/>
          <w:lang w:val="en-GB"/>
        </w:rPr>
        <w:t>12855-100-BS</w:t>
      </w:r>
      <w:r w:rsidRPr="008A47F8">
        <w:rPr>
          <w:rFonts w:asciiTheme="majorHAnsi" w:hAnsiTheme="majorHAnsi" w:cstheme="majorHAnsi"/>
        </w:rPr>
        <w:t xml:space="preserve">). About 60μl of </w:t>
      </w:r>
      <w:r w:rsidR="0044411D" w:rsidRPr="008A47F8">
        <w:rPr>
          <w:rFonts w:asciiTheme="majorHAnsi" w:hAnsiTheme="majorHAnsi" w:cstheme="majorHAnsi"/>
        </w:rPr>
        <w:t>s</w:t>
      </w:r>
      <w:r w:rsidRPr="008A47F8">
        <w:rPr>
          <w:rFonts w:asciiTheme="majorHAnsi" w:hAnsiTheme="majorHAnsi" w:cstheme="majorHAnsi"/>
        </w:rPr>
        <w:t>olution C1 (12888-100-1)</w:t>
      </w:r>
      <w:r w:rsidR="0044411D" w:rsidRPr="008A47F8">
        <w:rPr>
          <w:rFonts w:asciiTheme="majorHAnsi" w:hAnsiTheme="majorHAnsi" w:cstheme="majorHAnsi"/>
        </w:rPr>
        <w:t xml:space="preserve"> was</w:t>
      </w:r>
      <w:r w:rsidRPr="008A47F8">
        <w:rPr>
          <w:rFonts w:asciiTheme="majorHAnsi" w:hAnsiTheme="majorHAnsi" w:cstheme="majorHAnsi"/>
        </w:rPr>
        <w:t xml:space="preserve"> then added and vortexed briefly. The samples </w:t>
      </w:r>
      <w:r w:rsidR="0044411D" w:rsidRPr="008A47F8">
        <w:rPr>
          <w:rFonts w:asciiTheme="majorHAnsi" w:hAnsiTheme="majorHAnsi" w:cstheme="majorHAnsi"/>
        </w:rPr>
        <w:t>were</w:t>
      </w:r>
      <w:r w:rsidRPr="008A47F8">
        <w:rPr>
          <w:rFonts w:asciiTheme="majorHAnsi" w:hAnsiTheme="majorHAnsi" w:cstheme="majorHAnsi"/>
        </w:rPr>
        <w:t xml:space="preserve"> then homogenised for 45 seconds at 3000 RPM using a Mo Bio PowerLyzer24 bead beater (cat. 13155). About 400-500μl of supernatant </w:t>
      </w:r>
      <w:r w:rsidR="0044411D" w:rsidRPr="008A47F8">
        <w:rPr>
          <w:rFonts w:asciiTheme="majorHAnsi" w:hAnsiTheme="majorHAnsi" w:cstheme="majorHAnsi"/>
        </w:rPr>
        <w:t>was</w:t>
      </w:r>
      <w:r w:rsidRPr="008A47F8">
        <w:rPr>
          <w:rFonts w:asciiTheme="majorHAnsi" w:hAnsiTheme="majorHAnsi" w:cstheme="majorHAnsi"/>
        </w:rPr>
        <w:t xml:space="preserve"> transferred to a clean 2 ml Collection Tube (12888-100-T) following centrifugation of the bead tubes at 10,000 x g for 30 seconds at room temperature. Th</w:t>
      </w:r>
      <w:r w:rsidR="0044411D" w:rsidRPr="008A47F8">
        <w:rPr>
          <w:rFonts w:asciiTheme="majorHAnsi" w:hAnsiTheme="majorHAnsi" w:cstheme="majorHAnsi"/>
        </w:rPr>
        <w:t>e</w:t>
      </w:r>
      <w:r w:rsidRPr="008A47F8">
        <w:rPr>
          <w:rFonts w:asciiTheme="majorHAnsi" w:hAnsiTheme="majorHAnsi" w:cstheme="majorHAnsi"/>
        </w:rPr>
        <w:t xml:space="preserve"> supernatant </w:t>
      </w:r>
      <w:r w:rsidR="0044411D" w:rsidRPr="008A47F8">
        <w:rPr>
          <w:rFonts w:asciiTheme="majorHAnsi" w:hAnsiTheme="majorHAnsi" w:cstheme="majorHAnsi"/>
        </w:rPr>
        <w:t>was</w:t>
      </w:r>
      <w:r w:rsidRPr="008A47F8">
        <w:rPr>
          <w:rFonts w:asciiTheme="majorHAnsi" w:hAnsiTheme="majorHAnsi" w:cstheme="majorHAnsi"/>
        </w:rPr>
        <w:t xml:space="preserve"> then subjected to several purification steps. To precipitate any non-DNA material, 250μl of </w:t>
      </w:r>
      <w:r w:rsidR="0044411D" w:rsidRPr="008A47F8">
        <w:rPr>
          <w:rFonts w:asciiTheme="majorHAnsi" w:hAnsiTheme="majorHAnsi" w:cstheme="majorHAnsi"/>
        </w:rPr>
        <w:t>s</w:t>
      </w:r>
      <w:r w:rsidRPr="008A47F8">
        <w:rPr>
          <w:rFonts w:asciiTheme="majorHAnsi" w:hAnsiTheme="majorHAnsi" w:cstheme="majorHAnsi"/>
        </w:rPr>
        <w:t xml:space="preserve">olution C2 (12888-100-2) </w:t>
      </w:r>
      <w:r w:rsidR="0044411D" w:rsidRPr="008A47F8">
        <w:rPr>
          <w:rFonts w:asciiTheme="majorHAnsi" w:hAnsiTheme="majorHAnsi" w:cstheme="majorHAnsi"/>
        </w:rPr>
        <w:t>was</w:t>
      </w:r>
      <w:r w:rsidRPr="008A47F8">
        <w:rPr>
          <w:rFonts w:asciiTheme="majorHAnsi" w:hAnsiTheme="majorHAnsi" w:cstheme="majorHAnsi"/>
        </w:rPr>
        <w:t xml:space="preserve"> added, the supernatant vortexed and then Incubated at 4 °C for 5 minutes. The samples </w:t>
      </w:r>
      <w:r w:rsidR="0044411D" w:rsidRPr="008A47F8">
        <w:rPr>
          <w:rFonts w:asciiTheme="majorHAnsi" w:hAnsiTheme="majorHAnsi" w:cstheme="majorHAnsi"/>
        </w:rPr>
        <w:t>were</w:t>
      </w:r>
      <w:r w:rsidRPr="008A47F8">
        <w:rPr>
          <w:rFonts w:asciiTheme="majorHAnsi" w:hAnsiTheme="majorHAnsi" w:cstheme="majorHAnsi"/>
        </w:rPr>
        <w:t xml:space="preserve"> </w:t>
      </w:r>
      <w:r w:rsidR="0044411D" w:rsidRPr="008A47F8">
        <w:rPr>
          <w:rFonts w:asciiTheme="majorHAnsi" w:hAnsiTheme="majorHAnsi" w:cstheme="majorHAnsi"/>
        </w:rPr>
        <w:t>c</w:t>
      </w:r>
      <w:r w:rsidRPr="008A47F8">
        <w:rPr>
          <w:rFonts w:asciiTheme="majorHAnsi" w:hAnsiTheme="majorHAnsi" w:cstheme="majorHAnsi"/>
        </w:rPr>
        <w:t xml:space="preserve">entrifuged at room temperature for 1 minute at 10,000 x g and up to 600μl of supernatant </w:t>
      </w:r>
      <w:r w:rsidR="0044411D" w:rsidRPr="008A47F8">
        <w:rPr>
          <w:rFonts w:asciiTheme="majorHAnsi" w:hAnsiTheme="majorHAnsi" w:cstheme="majorHAnsi"/>
        </w:rPr>
        <w:t>was</w:t>
      </w:r>
      <w:r w:rsidRPr="008A47F8">
        <w:rPr>
          <w:rFonts w:asciiTheme="majorHAnsi" w:hAnsiTheme="majorHAnsi" w:cstheme="majorHAnsi"/>
        </w:rPr>
        <w:t xml:space="preserve"> then transferred into another clean 2 ml collection tube. About 200μl of </w:t>
      </w:r>
      <w:r w:rsidR="0044411D" w:rsidRPr="008A47F8">
        <w:rPr>
          <w:rFonts w:asciiTheme="majorHAnsi" w:hAnsiTheme="majorHAnsi" w:cstheme="majorHAnsi"/>
        </w:rPr>
        <w:t>s</w:t>
      </w:r>
      <w:r w:rsidRPr="008A47F8">
        <w:rPr>
          <w:rFonts w:asciiTheme="majorHAnsi" w:hAnsiTheme="majorHAnsi" w:cstheme="majorHAnsi"/>
        </w:rPr>
        <w:t xml:space="preserve">olution C3 (12888-100-3) </w:t>
      </w:r>
      <w:r w:rsidR="0044411D" w:rsidRPr="008A47F8">
        <w:rPr>
          <w:rFonts w:asciiTheme="majorHAnsi" w:hAnsiTheme="majorHAnsi" w:cstheme="majorHAnsi"/>
        </w:rPr>
        <w:t>was</w:t>
      </w:r>
      <w:r w:rsidRPr="008A47F8">
        <w:rPr>
          <w:rFonts w:asciiTheme="majorHAnsi" w:hAnsiTheme="majorHAnsi" w:cstheme="majorHAnsi"/>
        </w:rPr>
        <w:t xml:space="preserve"> then added and the sample vortexed briefly and incubated at 4 °C for 5 minutes.</w:t>
      </w:r>
      <w:r w:rsidRPr="008A47F8">
        <w:rPr>
          <w:rFonts w:asciiTheme="majorHAnsi" w:eastAsia="MS Gothic" w:hAnsiTheme="majorHAnsi" w:cstheme="majorHAnsi"/>
        </w:rPr>
        <w:t xml:space="preserve"> About </w:t>
      </w:r>
      <w:r w:rsidRPr="008A47F8">
        <w:rPr>
          <w:rFonts w:asciiTheme="majorHAnsi" w:hAnsiTheme="majorHAnsi" w:cstheme="majorHAnsi"/>
        </w:rPr>
        <w:t xml:space="preserve">750μl of supernatant </w:t>
      </w:r>
      <w:r w:rsidR="0044411D" w:rsidRPr="008A47F8">
        <w:rPr>
          <w:rFonts w:asciiTheme="majorHAnsi" w:hAnsiTheme="majorHAnsi" w:cstheme="majorHAnsi"/>
        </w:rPr>
        <w:t>was</w:t>
      </w:r>
      <w:r w:rsidRPr="008A47F8">
        <w:rPr>
          <w:rFonts w:asciiTheme="majorHAnsi" w:hAnsiTheme="majorHAnsi" w:cstheme="majorHAnsi"/>
        </w:rPr>
        <w:t xml:space="preserve"> then collected into a clean 2 ml collection tube following centrifugation of sample</w:t>
      </w:r>
      <w:r w:rsidR="0044411D" w:rsidRPr="008A47F8">
        <w:rPr>
          <w:rFonts w:asciiTheme="majorHAnsi" w:hAnsiTheme="majorHAnsi" w:cstheme="majorHAnsi"/>
        </w:rPr>
        <w:t xml:space="preserve"> </w:t>
      </w:r>
      <w:r w:rsidRPr="008A47F8">
        <w:rPr>
          <w:rFonts w:asciiTheme="majorHAnsi" w:hAnsiTheme="majorHAnsi" w:cstheme="majorHAnsi"/>
        </w:rPr>
        <w:t xml:space="preserve">+ </w:t>
      </w:r>
      <w:r w:rsidR="0044411D" w:rsidRPr="008A47F8">
        <w:rPr>
          <w:rFonts w:asciiTheme="majorHAnsi" w:hAnsiTheme="majorHAnsi" w:cstheme="majorHAnsi"/>
        </w:rPr>
        <w:t>s</w:t>
      </w:r>
      <w:r w:rsidRPr="008A47F8">
        <w:rPr>
          <w:rFonts w:asciiTheme="majorHAnsi" w:hAnsiTheme="majorHAnsi" w:cstheme="majorHAnsi"/>
        </w:rPr>
        <w:t>olution C3 mix at room temperature for 1 minute at 10,000 x g.</w:t>
      </w:r>
      <w:r w:rsidRPr="008A47F8">
        <w:rPr>
          <w:rFonts w:ascii="MS Gothic" w:eastAsia="MS Gothic" w:hAnsi="MS Gothic" w:cs="MS Gothic" w:hint="eastAsia"/>
          <w:lang w:val="en-US"/>
        </w:rPr>
        <w:t> </w:t>
      </w:r>
      <w:r w:rsidRPr="008A47F8">
        <w:rPr>
          <w:rFonts w:asciiTheme="majorHAnsi" w:hAnsiTheme="majorHAnsi" w:cstheme="majorHAnsi"/>
        </w:rPr>
        <w:t xml:space="preserve">This </w:t>
      </w:r>
      <w:r w:rsidR="0044411D" w:rsidRPr="008A47F8">
        <w:rPr>
          <w:rFonts w:asciiTheme="majorHAnsi" w:hAnsiTheme="majorHAnsi" w:cstheme="majorHAnsi"/>
        </w:rPr>
        <w:t>was</w:t>
      </w:r>
      <w:r w:rsidRPr="008A47F8">
        <w:rPr>
          <w:rFonts w:asciiTheme="majorHAnsi" w:hAnsiTheme="majorHAnsi" w:cstheme="majorHAnsi"/>
        </w:rPr>
        <w:t xml:space="preserve"> followed by the addition of 1200μl of Solution C4 (12888-100-4) to the supernatant which </w:t>
      </w:r>
      <w:r w:rsidR="0044411D" w:rsidRPr="008A47F8">
        <w:rPr>
          <w:rFonts w:asciiTheme="majorHAnsi" w:hAnsiTheme="majorHAnsi" w:cstheme="majorHAnsi"/>
        </w:rPr>
        <w:t>was</w:t>
      </w:r>
      <w:r w:rsidRPr="008A47F8">
        <w:rPr>
          <w:rFonts w:asciiTheme="majorHAnsi" w:hAnsiTheme="majorHAnsi" w:cstheme="majorHAnsi"/>
        </w:rPr>
        <w:t xml:space="preserve"> then vortexed for 5 seconds. Using </w:t>
      </w:r>
      <w:r w:rsidRPr="008A47F8">
        <w:rPr>
          <w:rFonts w:asciiTheme="majorHAnsi" w:hAnsiTheme="majorHAnsi" w:cstheme="majorHAnsi"/>
          <w:lang w:val="en-GB"/>
        </w:rPr>
        <w:t xml:space="preserve">PowerSoil® Spin Filters units in 2 ml tubes (12888-100-SF)), </w:t>
      </w:r>
      <w:r w:rsidRPr="008A47F8">
        <w:rPr>
          <w:rFonts w:asciiTheme="majorHAnsi" w:hAnsiTheme="majorHAnsi" w:cstheme="majorHAnsi"/>
        </w:rPr>
        <w:t xml:space="preserve">675μl of supernatant </w:t>
      </w:r>
      <w:r w:rsidR="0044411D" w:rsidRPr="008A47F8">
        <w:rPr>
          <w:rFonts w:asciiTheme="majorHAnsi" w:hAnsiTheme="majorHAnsi" w:cstheme="majorHAnsi"/>
        </w:rPr>
        <w:t>was</w:t>
      </w:r>
      <w:r w:rsidRPr="008A47F8">
        <w:rPr>
          <w:rFonts w:asciiTheme="majorHAnsi" w:hAnsiTheme="majorHAnsi" w:cstheme="majorHAnsi"/>
        </w:rPr>
        <w:t xml:space="preserve"> loaded and filtered at 10,000 x g for 1 minute at room temperature. The flow through </w:t>
      </w:r>
      <w:r w:rsidR="0044411D" w:rsidRPr="008A47F8">
        <w:rPr>
          <w:rFonts w:asciiTheme="majorHAnsi" w:hAnsiTheme="majorHAnsi" w:cstheme="majorHAnsi"/>
        </w:rPr>
        <w:t>was</w:t>
      </w:r>
      <w:r w:rsidRPr="008A47F8">
        <w:rPr>
          <w:rFonts w:asciiTheme="majorHAnsi" w:hAnsiTheme="majorHAnsi" w:cstheme="majorHAnsi"/>
        </w:rPr>
        <w:t xml:space="preserve"> discarded and the step repeated two more times. About 500μl of ethanol-based Solution C5 (12888-100-5) </w:t>
      </w:r>
      <w:r w:rsidR="0044411D" w:rsidRPr="008A47F8">
        <w:rPr>
          <w:rFonts w:asciiTheme="majorHAnsi" w:hAnsiTheme="majorHAnsi" w:cstheme="majorHAnsi"/>
        </w:rPr>
        <w:t>was</w:t>
      </w:r>
      <w:r w:rsidRPr="008A47F8">
        <w:rPr>
          <w:rFonts w:asciiTheme="majorHAnsi" w:hAnsiTheme="majorHAnsi" w:cstheme="majorHAnsi"/>
        </w:rPr>
        <w:t xml:space="preserve"> aliquoted into the spin filter and centrifuged at room temperature for 30 seconds at 10,000 x g and the flow through discarded. To remove any residual </w:t>
      </w:r>
      <w:r w:rsidR="0044411D" w:rsidRPr="008A47F8">
        <w:rPr>
          <w:rFonts w:asciiTheme="majorHAnsi" w:hAnsiTheme="majorHAnsi" w:cstheme="majorHAnsi"/>
        </w:rPr>
        <w:t>s</w:t>
      </w:r>
      <w:r w:rsidRPr="008A47F8">
        <w:rPr>
          <w:rFonts w:asciiTheme="majorHAnsi" w:hAnsiTheme="majorHAnsi" w:cstheme="majorHAnsi"/>
        </w:rPr>
        <w:t xml:space="preserve">olution C5, the spin filter </w:t>
      </w:r>
      <w:r w:rsidR="0044411D" w:rsidRPr="008A47F8">
        <w:rPr>
          <w:rFonts w:asciiTheme="majorHAnsi" w:hAnsiTheme="majorHAnsi" w:cstheme="majorHAnsi"/>
        </w:rPr>
        <w:t>was</w:t>
      </w:r>
      <w:r w:rsidRPr="008A47F8">
        <w:rPr>
          <w:rFonts w:asciiTheme="majorHAnsi" w:hAnsiTheme="majorHAnsi" w:cstheme="majorHAnsi"/>
        </w:rPr>
        <w:t xml:space="preserve"> again centrifuged at room temperature for 1 minute at 10,000 x g. The spin filter </w:t>
      </w:r>
      <w:r w:rsidR="0044411D" w:rsidRPr="008A47F8">
        <w:rPr>
          <w:rFonts w:asciiTheme="majorHAnsi" w:hAnsiTheme="majorHAnsi" w:cstheme="majorHAnsi"/>
        </w:rPr>
        <w:t>was</w:t>
      </w:r>
      <w:r w:rsidRPr="008A47F8">
        <w:rPr>
          <w:rFonts w:asciiTheme="majorHAnsi" w:hAnsiTheme="majorHAnsi" w:cstheme="majorHAnsi"/>
        </w:rPr>
        <w:t xml:space="preserve"> then carefully transferred into a clean 2 ml </w:t>
      </w:r>
      <w:r w:rsidR="0044411D" w:rsidRPr="008A47F8">
        <w:rPr>
          <w:rFonts w:asciiTheme="majorHAnsi" w:hAnsiTheme="majorHAnsi" w:cstheme="majorHAnsi"/>
        </w:rPr>
        <w:t>c</w:t>
      </w:r>
      <w:r w:rsidRPr="008A47F8">
        <w:rPr>
          <w:rFonts w:asciiTheme="majorHAnsi" w:hAnsiTheme="majorHAnsi" w:cstheme="majorHAnsi"/>
        </w:rPr>
        <w:t xml:space="preserve">ollection </w:t>
      </w:r>
      <w:r w:rsidR="0044411D" w:rsidRPr="008A47F8">
        <w:rPr>
          <w:rFonts w:asciiTheme="majorHAnsi" w:hAnsiTheme="majorHAnsi" w:cstheme="majorHAnsi"/>
        </w:rPr>
        <w:t>t</w:t>
      </w:r>
      <w:r w:rsidRPr="008A47F8">
        <w:rPr>
          <w:rFonts w:asciiTheme="majorHAnsi" w:hAnsiTheme="majorHAnsi" w:cstheme="majorHAnsi"/>
        </w:rPr>
        <w:t xml:space="preserve">ube while avoiding the splashing of </w:t>
      </w:r>
      <w:r w:rsidR="0044411D" w:rsidRPr="008A47F8">
        <w:rPr>
          <w:rFonts w:asciiTheme="majorHAnsi" w:hAnsiTheme="majorHAnsi" w:cstheme="majorHAnsi"/>
        </w:rPr>
        <w:t>s</w:t>
      </w:r>
      <w:r w:rsidRPr="008A47F8">
        <w:rPr>
          <w:rFonts w:asciiTheme="majorHAnsi" w:hAnsiTheme="majorHAnsi" w:cstheme="majorHAnsi"/>
        </w:rPr>
        <w:t xml:space="preserve">olution C5 onto the Spin Filter. Finally, about 110μl of Solution C6 is added to the </w:t>
      </w:r>
      <w:r w:rsidR="00161A65" w:rsidRPr="008A47F8">
        <w:rPr>
          <w:rFonts w:asciiTheme="majorHAnsi" w:hAnsiTheme="majorHAnsi" w:cstheme="majorHAnsi"/>
        </w:rPr>
        <w:t>centre</w:t>
      </w:r>
      <w:r w:rsidRPr="008A47F8">
        <w:rPr>
          <w:rFonts w:asciiTheme="majorHAnsi" w:hAnsiTheme="majorHAnsi" w:cstheme="majorHAnsi"/>
        </w:rPr>
        <w:t xml:space="preserve"> </w:t>
      </w:r>
      <w:r w:rsidRPr="008A47F8">
        <w:rPr>
          <w:rFonts w:asciiTheme="majorHAnsi" w:hAnsiTheme="majorHAnsi" w:cstheme="majorHAnsi"/>
        </w:rPr>
        <w:lastRenderedPageBreak/>
        <w:t xml:space="preserve">of the white filter membrane before centrifugation at room temperature for 30 seconds at 10,000 x g. The spin filter is then discarded and the DNA solution aliquoted into two clean 2 ml </w:t>
      </w:r>
      <w:r w:rsidR="0044411D" w:rsidRPr="008A47F8">
        <w:rPr>
          <w:rFonts w:asciiTheme="majorHAnsi" w:hAnsiTheme="majorHAnsi" w:cstheme="majorHAnsi"/>
        </w:rPr>
        <w:t>c</w:t>
      </w:r>
      <w:r w:rsidRPr="008A47F8">
        <w:rPr>
          <w:rFonts w:asciiTheme="majorHAnsi" w:hAnsiTheme="majorHAnsi" w:cstheme="majorHAnsi"/>
        </w:rPr>
        <w:t xml:space="preserve">ollection </w:t>
      </w:r>
      <w:r w:rsidR="0044411D" w:rsidRPr="008A47F8">
        <w:rPr>
          <w:rFonts w:asciiTheme="majorHAnsi" w:hAnsiTheme="majorHAnsi" w:cstheme="majorHAnsi"/>
        </w:rPr>
        <w:t>t</w:t>
      </w:r>
      <w:r w:rsidRPr="008A47F8">
        <w:rPr>
          <w:rFonts w:asciiTheme="majorHAnsi" w:hAnsiTheme="majorHAnsi" w:cstheme="majorHAnsi"/>
        </w:rPr>
        <w:t xml:space="preserve">ube and stored at -80 °C for downstream processing. The DNA concentration </w:t>
      </w:r>
      <w:r w:rsidR="0044411D" w:rsidRPr="008A47F8">
        <w:rPr>
          <w:rFonts w:asciiTheme="majorHAnsi" w:hAnsiTheme="majorHAnsi" w:cstheme="majorHAnsi"/>
        </w:rPr>
        <w:t>was</w:t>
      </w:r>
      <w:r w:rsidRPr="008A47F8">
        <w:rPr>
          <w:rFonts w:asciiTheme="majorHAnsi" w:hAnsiTheme="majorHAnsi" w:cstheme="majorHAnsi"/>
        </w:rPr>
        <w:t xml:space="preserve"> occasionally measured on random samples to assess sample concentration and purity using the </w:t>
      </w:r>
      <w:r w:rsidRPr="008A47F8">
        <w:rPr>
          <w:rFonts w:asciiTheme="majorHAnsi" w:hAnsiTheme="majorHAnsi" w:cstheme="majorHAnsi"/>
          <w:lang w:val="en-GB"/>
        </w:rPr>
        <w:t>NanoDrop® ND-1000 UV-Vis Spectrophotometer</w:t>
      </w:r>
      <w:r w:rsidRPr="008A47F8">
        <w:rPr>
          <w:rFonts w:asciiTheme="majorHAnsi" w:hAnsiTheme="majorHAnsi" w:cstheme="majorHAnsi"/>
        </w:rPr>
        <w:t xml:space="preserve">. </w:t>
      </w:r>
    </w:p>
    <w:p w14:paraId="59172DDB" w14:textId="77777777" w:rsidR="00AF7C1C" w:rsidRPr="008A47F8" w:rsidRDefault="00AF7C1C" w:rsidP="008A47F8">
      <w:pPr>
        <w:spacing w:line="480" w:lineRule="auto"/>
        <w:rPr>
          <w:rFonts w:asciiTheme="majorHAnsi" w:hAnsiTheme="majorHAnsi" w:cstheme="majorHAnsi"/>
        </w:rPr>
      </w:pPr>
    </w:p>
    <w:p w14:paraId="2C238722" w14:textId="2D971BDC" w:rsidR="00C61BD9" w:rsidRPr="008A47F8" w:rsidRDefault="00C61BD9" w:rsidP="008A47F8">
      <w:pPr>
        <w:pStyle w:val="ListParagraph"/>
        <w:numPr>
          <w:ilvl w:val="0"/>
          <w:numId w:val="10"/>
        </w:numPr>
        <w:spacing w:line="480" w:lineRule="auto"/>
        <w:ind w:left="567" w:hanging="567"/>
        <w:rPr>
          <w:rFonts w:asciiTheme="majorHAnsi" w:hAnsiTheme="majorHAnsi" w:cstheme="majorHAnsi"/>
          <w:b/>
          <w:u w:val="single"/>
        </w:rPr>
      </w:pPr>
      <w:r w:rsidRPr="008A47F8">
        <w:rPr>
          <w:rFonts w:asciiTheme="majorHAnsi" w:hAnsiTheme="majorHAnsi" w:cstheme="majorHAnsi"/>
          <w:b/>
          <w:u w:val="single"/>
        </w:rPr>
        <w:t xml:space="preserve">Bacterial 16S rRNA gene library preparation and Illumina MiSeq sequencing </w:t>
      </w:r>
    </w:p>
    <w:p w14:paraId="3D4B3465" w14:textId="79B0A699" w:rsidR="0044411D" w:rsidRPr="008A47F8" w:rsidRDefault="0044411D" w:rsidP="008A47F8">
      <w:pPr>
        <w:spacing w:line="480" w:lineRule="auto"/>
        <w:rPr>
          <w:rFonts w:asciiTheme="majorHAnsi" w:hAnsiTheme="majorHAnsi" w:cstheme="majorHAnsi"/>
          <w:lang w:val="en-GB"/>
        </w:rPr>
      </w:pPr>
      <w:r w:rsidRPr="008A47F8">
        <w:rPr>
          <w:rFonts w:asciiTheme="majorHAnsi" w:hAnsiTheme="majorHAnsi" w:cstheme="majorHAnsi"/>
          <w:color w:val="000000" w:themeColor="text1"/>
          <w:lang w:val="en-US"/>
        </w:rPr>
        <w:t xml:space="preserve">The bacterial 16S rRNA V1V2 variable region of extracted DNA was amplified with Illumina adapter and indexed PCR primers using a dual-index sequencing strategy to target the bacterial 16S rRNA gene </w:t>
      </w:r>
      <w:r w:rsidRPr="008A47F8">
        <w:rPr>
          <w:rFonts w:asciiTheme="majorHAnsi" w:hAnsiTheme="majorHAnsi" w:cstheme="majorHAnsi"/>
          <w:color w:val="000000" w:themeColor="text1"/>
          <w:lang w:val="en-US"/>
        </w:rPr>
        <w:fldChar w:fldCharType="begin" w:fldLock="1"/>
      </w:r>
      <w:r w:rsidR="003F0F57">
        <w:rPr>
          <w:rFonts w:asciiTheme="majorHAnsi" w:hAnsiTheme="majorHAnsi" w:cstheme="majorHAnsi"/>
          <w:color w:val="000000" w:themeColor="text1"/>
          <w:lang w:val="en-US"/>
        </w:rPr>
        <w:instrText>ADDIN CSL_CITATION {"citationItems":[{"id":"ITEM-1","itemData":{"DOI":"10.1128/AEM.01043-13","ISBN":"0099-2240","ISSN":"1098-5336","PMID":"23793624","abstract":"Rapid advances in sequencing technology have changed the experimental landscape of microbial ecology. In the last 10 years, the field has moved from sequencing hundreds of 16S rRNA gene fragments per study using clone libraries to the sequencing of millions of fragments per study using next-generation sequencing technologies from 454 and Illumina. As these technologies advance, it is critical to assess the strengths, weaknesses, and overall suitability of these platforms for the interrogation of microbial communities. Here, we present an improved method for sequencing variable regions within the 16S rRNA gene using Illumina's MiSeq platform, which is currently capable of producing paired 250-nucleotide reads. We evaluated three overlapping regions of the 16S rRNA gene that vary in length (i.e., V34, V4, and V45) by resequencing a mock community and natural samples from human feces, mouse feces, and soil. By titrating the concentration of 16S rRNA gene amplicons applied to the flow cell and using a quality score-based approach to correct discrepancies between reads used to construct contigs, we were able to reduce error rates by as much as two orders of magnitude. Finally, we reprocessed samples from a previous study to demonstrate that large numbers of samples could be multiplexed and sequenced in parallel with shotgun metagenomes. These analyses demonstrate that our approach can provide data that are at least as good as that generated by the 454 platform while providing considerably higher sequencing coverage for a fraction of the cost.","author":[{"dropping-particle":"","family":"Kozich","given":"James J.","non-dropping-particle":"","parse-names":false,"suffix":""},{"dropping-particle":"","family":"Westcott","given":"Sarah L.","non-dropping-particle":"","parse-names":false,"suffix":""},{"dropping-particle":"","family":"Baxter","given":"Nielson T.","non-dropping-particle":"","parse-names":false,"suffix":""},{"dropping-particle":"","family":"Highlander","given":"Sarah K.","non-dropping-particle":"","parse-names":false,"suffix":""},{"dropping-particle":"","family":"Schloss","given":"Patrick D.","non-dropping-particle":"","parse-names":false,"suffix":""}],"container-title":"Applied and environmental microbiology","id":"ITEM-1","issue":"17","issued":{"date-parts":[["2013","9","1"]]},"page":"5112-20","title":"Development of a dual-index sequencing strategy and curation pipeline for analyzing amplicon sequence data on the MiSeq Illumina sequencing platform.","type":"article-journal","volume":"79"},"uris":["http://www.mendeley.com/documents/?uuid=41d4acc1-e3d2-4d8f-89f3-95a3e3c78a0f"]}],"mendeley":{"formattedCitation":"&lt;sup&gt;4&lt;/sup&gt;","plainTextFormattedCitation":"4","previouslyFormattedCitation":"&lt;sup&gt;4&lt;/sup&gt;"},"properties":{"noteIndex":0},"schema":"https://github.com/citation-style-language/schema/raw/master/csl-citation.json"}</w:instrText>
      </w:r>
      <w:r w:rsidRPr="008A47F8">
        <w:rPr>
          <w:rFonts w:asciiTheme="majorHAnsi" w:hAnsiTheme="majorHAnsi" w:cstheme="majorHAnsi"/>
          <w:color w:val="000000" w:themeColor="text1"/>
          <w:lang w:val="en-US"/>
        </w:rPr>
        <w:fldChar w:fldCharType="separate"/>
      </w:r>
      <w:r w:rsidR="00161A65" w:rsidRPr="008A47F8">
        <w:rPr>
          <w:rFonts w:asciiTheme="majorHAnsi" w:hAnsiTheme="majorHAnsi" w:cstheme="majorHAnsi"/>
          <w:noProof/>
          <w:color w:val="000000" w:themeColor="text1"/>
          <w:vertAlign w:val="superscript"/>
          <w:lang w:val="en-US"/>
        </w:rPr>
        <w:t>4</w:t>
      </w:r>
      <w:r w:rsidRPr="008A47F8">
        <w:rPr>
          <w:rFonts w:asciiTheme="majorHAnsi" w:hAnsiTheme="majorHAnsi" w:cstheme="majorHAnsi"/>
          <w:color w:val="000000" w:themeColor="text1"/>
          <w:lang w:val="en-US"/>
        </w:rPr>
        <w:fldChar w:fldCharType="end"/>
      </w:r>
      <w:r w:rsidRPr="008A47F8">
        <w:rPr>
          <w:rFonts w:asciiTheme="majorHAnsi" w:hAnsiTheme="majorHAnsi" w:cstheme="majorHAnsi"/>
          <w:color w:val="000000" w:themeColor="text1"/>
          <w:lang w:val="en-US"/>
        </w:rPr>
        <w:t xml:space="preserve">. Each PCR was done in triplicate in a total reaction volume of 25 </w:t>
      </w:r>
      <w:r w:rsidRPr="008A47F8">
        <w:rPr>
          <w:rFonts w:asciiTheme="majorHAnsi" w:hAnsiTheme="majorHAnsi" w:cstheme="majorHAnsi"/>
          <w:lang w:val="en-US"/>
        </w:rPr>
        <w:sym w:font="Symbol" w:char="F06D"/>
      </w:r>
      <w:r w:rsidRPr="008A47F8">
        <w:rPr>
          <w:rFonts w:asciiTheme="majorHAnsi" w:hAnsiTheme="majorHAnsi" w:cstheme="majorHAnsi"/>
          <w:color w:val="000000" w:themeColor="text1"/>
          <w:lang w:val="en-US"/>
        </w:rPr>
        <w:t>l</w:t>
      </w:r>
      <w:r w:rsidRPr="008A47F8">
        <w:rPr>
          <w:rFonts w:asciiTheme="majorHAnsi" w:hAnsiTheme="majorHAnsi" w:cstheme="majorHAnsi"/>
          <w:color w:val="FF0000"/>
          <w:lang w:val="en-US"/>
        </w:rPr>
        <w:t xml:space="preserve"> </w:t>
      </w:r>
      <w:r w:rsidRPr="008A47F8">
        <w:rPr>
          <w:rFonts w:asciiTheme="majorHAnsi" w:hAnsiTheme="majorHAnsi" w:cstheme="majorHAnsi"/>
          <w:color w:val="000000" w:themeColor="text1"/>
          <w:lang w:val="en-US"/>
        </w:rPr>
        <w:t>together with 200</w:t>
      </w:r>
      <w:r w:rsidRPr="008A47F8">
        <w:rPr>
          <w:rFonts w:asciiTheme="majorHAnsi" w:hAnsiTheme="majorHAnsi" w:cstheme="majorHAnsi"/>
          <w:lang w:val="en-US"/>
        </w:rPr>
        <w:sym w:font="Symbol" w:char="F06D"/>
      </w:r>
      <w:r w:rsidRPr="008A47F8">
        <w:rPr>
          <w:rFonts w:asciiTheme="majorHAnsi" w:hAnsiTheme="majorHAnsi" w:cstheme="majorHAnsi"/>
          <w:color w:val="000000" w:themeColor="text1"/>
          <w:lang w:val="en-US"/>
        </w:rPr>
        <w:t>M deoxynucleotide triphosphates (dNTPs), 0.5</w:t>
      </w:r>
      <w:r w:rsidRPr="008A47F8">
        <w:rPr>
          <w:rFonts w:asciiTheme="majorHAnsi" w:hAnsiTheme="majorHAnsi" w:cstheme="majorHAnsi"/>
          <w:lang w:val="en-US"/>
        </w:rPr>
        <w:sym w:font="Symbol" w:char="F06D"/>
      </w:r>
      <w:r w:rsidRPr="008A47F8">
        <w:rPr>
          <w:rFonts w:asciiTheme="majorHAnsi" w:hAnsiTheme="majorHAnsi" w:cstheme="majorHAnsi"/>
          <w:color w:val="000000" w:themeColor="text1"/>
          <w:lang w:val="en-US"/>
        </w:rPr>
        <w:t>M V1 forward primers (7f 5' AATGATACGGCGACCACCGAGATCTACAC-XXXXXXXX-acactctttccctacacgacgctcttccgatct-NNNN-AGMGTTYGATYMTGGCTCAG3'), 0.5</w:t>
      </w:r>
      <w:r w:rsidRPr="008A47F8">
        <w:rPr>
          <w:rFonts w:asciiTheme="majorHAnsi" w:hAnsiTheme="majorHAnsi" w:cstheme="majorHAnsi"/>
          <w:lang w:val="en-US"/>
        </w:rPr>
        <w:sym w:font="Symbol" w:char="F06D"/>
      </w:r>
      <w:r w:rsidRPr="008A47F8">
        <w:rPr>
          <w:rFonts w:asciiTheme="majorHAnsi" w:hAnsiTheme="majorHAnsi" w:cstheme="majorHAnsi"/>
          <w:color w:val="000000" w:themeColor="text1"/>
          <w:lang w:val="en-US"/>
        </w:rPr>
        <w:t>M V2 reverse primer (r356 5' –CAAGCAGAAGACGGCATACGAGAT-XXXXXXXX-gtgactggagttcagacgtgtgctcttccgatct-NNNN-GCTGCCTCCCGTAGGAGT- 3'), and 0.25</w:t>
      </w:r>
      <w:r w:rsidRPr="008A47F8">
        <w:rPr>
          <w:rFonts w:asciiTheme="majorHAnsi" w:hAnsiTheme="majorHAnsi" w:cstheme="majorHAnsi"/>
          <w:lang w:val="en-US"/>
        </w:rPr>
        <w:sym w:font="Symbol" w:char="F06D"/>
      </w:r>
      <w:r w:rsidRPr="008A47F8">
        <w:rPr>
          <w:rFonts w:asciiTheme="majorHAnsi" w:hAnsiTheme="majorHAnsi" w:cstheme="majorHAnsi"/>
          <w:color w:val="000000" w:themeColor="text1"/>
          <w:lang w:val="en-US"/>
        </w:rPr>
        <w:t>l Q5 Taq enzyme. The Illumina adapter primer sequence is built of &lt;Illumina adapter&gt; &lt; 8 bp index sequences&gt; &lt;binding side for Illumina sequencing primer&gt; &lt;4 maximally degenerated bases&gt; ("NNNN") to maximize diversity during the first four bases of the run and &lt;PCR target sequence&gt;. Cycling conditions were as follows: Denaturation at 98°C for 2 minutes, followed by 30 cycles of amplification (denaturation 98°C for 30 seconds, annealing 50°C for 30 seconds, extension 72°C for 90 seconds) and a final extension at 72°C for 5 minutes. All primers were purchased from Metabion International AL AG. Triplicate PCR reactions were pooled and purified with 75</w:t>
      </w:r>
      <w:r w:rsidRPr="008A47F8">
        <w:rPr>
          <w:rFonts w:asciiTheme="majorHAnsi" w:hAnsiTheme="majorHAnsi" w:cstheme="majorHAnsi"/>
          <w:lang w:val="en-US"/>
        </w:rPr>
        <w:sym w:font="Symbol" w:char="F06D"/>
      </w:r>
      <w:r w:rsidRPr="008A47F8">
        <w:rPr>
          <w:rFonts w:asciiTheme="majorHAnsi" w:hAnsiTheme="majorHAnsi" w:cstheme="majorHAnsi"/>
          <w:color w:val="000000" w:themeColor="text1"/>
          <w:lang w:val="en-US"/>
        </w:rPr>
        <w:t xml:space="preserve">l </w:t>
      </w:r>
    </w:p>
    <w:p w14:paraId="0A6072E5" w14:textId="740FCD50" w:rsidR="0044411D" w:rsidRPr="008A47F8" w:rsidRDefault="0044411D" w:rsidP="008A47F8">
      <w:pPr>
        <w:spacing w:line="480" w:lineRule="auto"/>
        <w:rPr>
          <w:rFonts w:asciiTheme="majorHAnsi" w:hAnsiTheme="majorHAnsi" w:cstheme="majorHAnsi"/>
          <w:lang w:val="en-GB"/>
        </w:rPr>
      </w:pPr>
      <w:r w:rsidRPr="008A47F8">
        <w:rPr>
          <w:rFonts w:asciiTheme="majorHAnsi" w:hAnsiTheme="majorHAnsi" w:cstheme="majorHAnsi"/>
          <w:lang w:val="en-GB"/>
        </w:rPr>
        <w:t>Agencourt AMPure XP, 60 mL (A63881)</w:t>
      </w:r>
      <w:r w:rsidRPr="008A47F8">
        <w:rPr>
          <w:rFonts w:asciiTheme="majorHAnsi" w:hAnsiTheme="majorHAnsi" w:cstheme="majorHAnsi"/>
          <w:color w:val="000000" w:themeColor="text1"/>
          <w:lang w:val="en-US"/>
        </w:rPr>
        <w:t>according to Illumina's 16S metagenomic sequencing library preparation protocol</w:t>
      </w:r>
      <w:r w:rsidRPr="008A47F8">
        <w:rPr>
          <w:rFonts w:asciiTheme="majorHAnsi" w:hAnsiTheme="majorHAnsi" w:cstheme="majorHAnsi"/>
          <w:color w:val="000000" w:themeColor="text1"/>
          <w:lang w:val="en-US"/>
        </w:rPr>
        <w:fldChar w:fldCharType="begin" w:fldLock="1"/>
      </w:r>
      <w:r w:rsidR="003F0F57">
        <w:rPr>
          <w:rFonts w:asciiTheme="majorHAnsi" w:hAnsiTheme="majorHAnsi" w:cstheme="majorHAnsi"/>
          <w:color w:val="000000" w:themeColor="text1"/>
          <w:lang w:val="en-US"/>
        </w:rPr>
        <w:instrText>ADDIN CSL_CITATION {"citationItems":[{"id":"ITEM-1","itemData":{"URL":"https://support.illumina.com/documents/documentation/chemistry_documentation/16s/16s-metagenomic-library-prep-guide-15044223-b.pdf","accessed":{"date-parts":[["2018","8","15"]]},"author":[{"dropping-particle":"","family":"Illumina","given":"","non-dropping-particle":"","parse-names":false,"suffix":""}],"id":"ITEM-1","issued":{"date-parts":[["0"]]},"title":"16S Metagenomic Sequencing Library Preparation","type":"webpage"},"uris":["http://www.mendeley.com/documents/?uuid=8959b9cd-050a-4f19-813f-9f48988848e3","http://www.mendeley.com/documents/?uuid=1afc8db6-9fbe-4a87-b6ad-e0a1a8008366","http://www.mendeley.com/documents/?uuid=420704b6-dfba-4652-abdf-152b2a0e8700","http://www.mendeley.com/documents/?uuid=94541ad3-eda6-4da6-b277-2fd6cb283844"]}],"mendeley":{"formattedCitation":"&lt;sup&gt;5&lt;/sup&gt;","manualFormatting":", (support.illumina.com, n.d.)pages 8-9 (Part # 15044223 Rev. B,1127/2013 (2)","plainTextFormattedCitation":"5","previouslyFormattedCitation":"&lt;sup&gt;5&lt;/sup&gt;"},"properties":{"noteIndex":0},"schema":"https://github.com/citation-style-language/schema/raw/master/csl-citation.json"}</w:instrText>
      </w:r>
      <w:r w:rsidRPr="008A47F8">
        <w:rPr>
          <w:rFonts w:asciiTheme="majorHAnsi" w:hAnsiTheme="majorHAnsi" w:cstheme="majorHAnsi"/>
          <w:color w:val="000000" w:themeColor="text1"/>
          <w:lang w:val="en-US"/>
        </w:rPr>
        <w:fldChar w:fldCharType="separate"/>
      </w:r>
      <w:r w:rsidRPr="008A47F8">
        <w:rPr>
          <w:rFonts w:asciiTheme="majorHAnsi" w:hAnsiTheme="majorHAnsi" w:cstheme="majorHAnsi"/>
          <w:noProof/>
          <w:color w:val="000000" w:themeColor="text1"/>
          <w:lang w:val="en-US"/>
        </w:rPr>
        <w:t xml:space="preserve">, </w:t>
      </w:r>
      <w:sdt>
        <w:sdtPr>
          <w:rPr>
            <w:rFonts w:asciiTheme="majorHAnsi" w:hAnsiTheme="majorHAnsi" w:cstheme="majorHAnsi"/>
            <w:noProof/>
            <w:lang w:val="en-US"/>
          </w:rPr>
          <w:id w:val="1947422262"/>
          <w:citation/>
        </w:sdtPr>
        <w:sdtEndPr/>
        <w:sdtContent>
          <w:r w:rsidRPr="008A47F8">
            <w:rPr>
              <w:rFonts w:asciiTheme="majorHAnsi" w:hAnsiTheme="majorHAnsi" w:cstheme="majorHAnsi"/>
              <w:noProof/>
              <w:color w:val="000000" w:themeColor="text1"/>
              <w:lang w:val="en-US"/>
            </w:rPr>
            <w:fldChar w:fldCharType="begin" w:fldLock="1"/>
          </w:r>
          <w:r w:rsidRPr="008A47F8">
            <w:rPr>
              <w:rFonts w:asciiTheme="majorHAnsi" w:hAnsiTheme="majorHAnsi" w:cstheme="majorHAnsi"/>
              <w:noProof/>
              <w:color w:val="000000" w:themeColor="text1"/>
            </w:rPr>
            <w:instrText xml:space="preserve"> CITATION sup \l 3081 </w:instrText>
          </w:r>
          <w:r w:rsidRPr="008A47F8">
            <w:rPr>
              <w:rFonts w:asciiTheme="majorHAnsi" w:hAnsiTheme="majorHAnsi" w:cstheme="majorHAnsi"/>
              <w:noProof/>
              <w:color w:val="000000" w:themeColor="text1"/>
              <w:lang w:val="en-US"/>
            </w:rPr>
            <w:fldChar w:fldCharType="separate"/>
          </w:r>
          <w:r w:rsidRPr="008A47F8">
            <w:rPr>
              <w:rFonts w:asciiTheme="majorHAnsi" w:hAnsiTheme="majorHAnsi" w:cstheme="majorHAnsi"/>
              <w:noProof/>
              <w:color w:val="000000" w:themeColor="text1"/>
            </w:rPr>
            <w:t>(support.illumina.com, n.d.)</w:t>
          </w:r>
          <w:r w:rsidRPr="008A47F8">
            <w:rPr>
              <w:rFonts w:asciiTheme="majorHAnsi" w:hAnsiTheme="majorHAnsi" w:cstheme="majorHAnsi"/>
              <w:noProof/>
              <w:color w:val="000000" w:themeColor="text1"/>
              <w:lang w:val="en-US"/>
            </w:rPr>
            <w:fldChar w:fldCharType="end"/>
          </w:r>
        </w:sdtContent>
      </w:sdt>
      <w:r w:rsidRPr="008A47F8">
        <w:rPr>
          <w:rFonts w:asciiTheme="majorHAnsi" w:hAnsiTheme="majorHAnsi" w:cstheme="majorHAnsi"/>
          <w:noProof/>
          <w:color w:val="000000" w:themeColor="text1"/>
          <w:lang w:val="en-US"/>
        </w:rPr>
        <w:t xml:space="preserve">pages 8-9 (Part # 15044223 Rev. </w:t>
      </w:r>
      <w:r w:rsidRPr="008A47F8">
        <w:rPr>
          <w:rFonts w:asciiTheme="majorHAnsi" w:hAnsiTheme="majorHAnsi" w:cstheme="majorHAnsi"/>
          <w:noProof/>
          <w:color w:val="000000" w:themeColor="text1"/>
          <w:lang w:val="en-US"/>
        </w:rPr>
        <w:lastRenderedPageBreak/>
        <w:t>B,1127/2013 (2)</w:t>
      </w:r>
      <w:r w:rsidRPr="008A47F8">
        <w:rPr>
          <w:rFonts w:asciiTheme="majorHAnsi" w:hAnsiTheme="majorHAnsi" w:cstheme="majorHAnsi"/>
          <w:color w:val="000000" w:themeColor="text1"/>
          <w:lang w:val="en-US"/>
        </w:rPr>
        <w:fldChar w:fldCharType="end"/>
      </w:r>
      <w:r w:rsidRPr="008A47F8">
        <w:rPr>
          <w:rFonts w:asciiTheme="majorHAnsi" w:hAnsiTheme="majorHAnsi" w:cstheme="majorHAnsi"/>
          <w:color w:val="000000" w:themeColor="text1"/>
          <w:lang w:val="en-US"/>
        </w:rPr>
        <w:t xml:space="preserve">. DNA concentration were quantified using the </w:t>
      </w:r>
      <w:r w:rsidRPr="008A47F8">
        <w:rPr>
          <w:rFonts w:asciiTheme="majorHAnsi" w:hAnsiTheme="majorHAnsi" w:cstheme="majorHAnsi"/>
          <w:lang w:val="en-GB"/>
        </w:rPr>
        <w:t>Invitrogen™ Qubit™ 3.0 Fluorometer</w:t>
      </w:r>
      <w:r w:rsidRPr="008A47F8">
        <w:rPr>
          <w:rFonts w:asciiTheme="majorHAnsi" w:hAnsiTheme="majorHAnsi" w:cstheme="majorHAnsi"/>
        </w:rPr>
        <w:t xml:space="preserve"> (</w:t>
      </w:r>
      <w:r w:rsidRPr="008A47F8">
        <w:rPr>
          <w:rFonts w:asciiTheme="majorHAnsi" w:hAnsiTheme="majorHAnsi" w:cstheme="majorHAnsi"/>
          <w:lang w:val="en-GB"/>
        </w:rPr>
        <w:t>Invitrogen™ Q33216)</w:t>
      </w:r>
      <w:r w:rsidRPr="008A47F8">
        <w:rPr>
          <w:rFonts w:asciiTheme="majorHAnsi" w:hAnsiTheme="majorHAnsi" w:cstheme="majorHAnsi"/>
          <w:color w:val="000000" w:themeColor="text1"/>
          <w:lang w:val="en-US"/>
        </w:rPr>
        <w:t xml:space="preserve"> and </w:t>
      </w:r>
      <w:r w:rsidRPr="008A47F8">
        <w:rPr>
          <w:rFonts w:asciiTheme="majorHAnsi" w:hAnsiTheme="majorHAnsi" w:cstheme="majorHAnsi"/>
          <w:lang w:val="en-GB"/>
        </w:rPr>
        <w:t>Qubit™ dsDNA HS Assay Kit (Q32854)</w:t>
      </w:r>
      <w:r w:rsidRPr="008A47F8">
        <w:rPr>
          <w:rFonts w:asciiTheme="majorHAnsi" w:hAnsiTheme="majorHAnsi" w:cstheme="majorHAnsi"/>
          <w:color w:val="000000" w:themeColor="text1"/>
          <w:lang w:val="en-US"/>
        </w:rPr>
        <w:t xml:space="preserve">. Samples were pooled in equimolar concentration and gel purified using The Wizard® SV Gel and PCR Clean-Up System (Promega). The library size was confirmed on a </w:t>
      </w:r>
      <w:r w:rsidRPr="008A47F8">
        <w:rPr>
          <w:rFonts w:asciiTheme="majorHAnsi" w:hAnsiTheme="majorHAnsi" w:cstheme="majorHAnsi"/>
          <w:lang w:val="en-GB"/>
        </w:rPr>
        <w:t>QIAxcel Advanced - QIAGEN</w:t>
      </w:r>
      <w:r w:rsidRPr="008A47F8" w:rsidDel="00492EB9">
        <w:rPr>
          <w:rFonts w:asciiTheme="majorHAnsi" w:hAnsiTheme="majorHAnsi" w:cstheme="majorHAnsi"/>
          <w:color w:val="000000" w:themeColor="text1"/>
          <w:lang w:val="en-US"/>
        </w:rPr>
        <w:t xml:space="preserve"> </w:t>
      </w:r>
      <w:r w:rsidRPr="008A47F8">
        <w:rPr>
          <w:rFonts w:asciiTheme="majorHAnsi" w:hAnsiTheme="majorHAnsi" w:cstheme="majorHAnsi"/>
          <w:color w:val="000000" w:themeColor="text1"/>
          <w:lang w:val="en-US"/>
        </w:rPr>
        <w:t xml:space="preserve">and then MiSeq sequenced using the 600 cycle MiSeq reagent kit V3, which enables 300 base pair end sequencing. The library was sequenced at the Wellcome Sanger Institute (Cambridge, United Kingdom). A total of 1546 </w:t>
      </w:r>
      <w:r w:rsidRPr="008A47F8">
        <w:rPr>
          <w:rFonts w:asciiTheme="majorHAnsi" w:hAnsiTheme="majorHAnsi" w:cstheme="majorHAnsi"/>
          <w:color w:val="000000" w:themeColor="text1"/>
        </w:rPr>
        <w:t>samples including negative (n=45) and (n=34) positive controls were sequenced in 18 MiSeq libraries</w:t>
      </w:r>
      <w:r w:rsidRPr="008A47F8">
        <w:rPr>
          <w:rFonts w:asciiTheme="majorHAnsi" w:hAnsiTheme="majorHAnsi" w:cstheme="majorHAnsi"/>
          <w:color w:val="000000" w:themeColor="text1"/>
          <w:lang w:val="en-US"/>
        </w:rPr>
        <w:t>.</w:t>
      </w:r>
    </w:p>
    <w:p w14:paraId="2D5A9F8F" w14:textId="77777777" w:rsidR="00C61BD9" w:rsidRPr="008A47F8" w:rsidRDefault="00C61BD9" w:rsidP="008A47F8">
      <w:pPr>
        <w:widowControl w:val="0"/>
        <w:autoSpaceDE w:val="0"/>
        <w:autoSpaceDN w:val="0"/>
        <w:adjustRightInd w:val="0"/>
        <w:spacing w:line="480" w:lineRule="auto"/>
        <w:ind w:left="640" w:hanging="640"/>
        <w:rPr>
          <w:rFonts w:asciiTheme="majorHAnsi" w:hAnsiTheme="majorHAnsi" w:cstheme="majorHAnsi"/>
          <w:color w:val="000000" w:themeColor="text1"/>
          <w:lang w:val="en-US"/>
        </w:rPr>
      </w:pPr>
    </w:p>
    <w:p w14:paraId="2216A4BD" w14:textId="6772B33C" w:rsidR="00700859" w:rsidRPr="008A47F8" w:rsidRDefault="009836E2" w:rsidP="008A47F8">
      <w:pPr>
        <w:pStyle w:val="ListParagraph"/>
        <w:numPr>
          <w:ilvl w:val="0"/>
          <w:numId w:val="10"/>
        </w:numPr>
        <w:spacing w:line="480" w:lineRule="auto"/>
        <w:ind w:left="567" w:hanging="567"/>
        <w:rPr>
          <w:rFonts w:asciiTheme="majorHAnsi" w:hAnsiTheme="majorHAnsi" w:cstheme="majorHAnsi"/>
          <w:b/>
        </w:rPr>
      </w:pPr>
      <w:r w:rsidRPr="008A47F8">
        <w:rPr>
          <w:rFonts w:asciiTheme="majorHAnsi" w:hAnsiTheme="majorHAnsi" w:cstheme="majorHAnsi"/>
          <w:b/>
        </w:rPr>
        <w:t>Bioinformatics and Statistic</w:t>
      </w:r>
    </w:p>
    <w:p w14:paraId="16E134A2" w14:textId="0D3C8F06" w:rsidR="009836E2" w:rsidRPr="008A47F8" w:rsidRDefault="00261BA0" w:rsidP="008A47F8">
      <w:pPr>
        <w:widowControl w:val="0"/>
        <w:autoSpaceDE w:val="0"/>
        <w:autoSpaceDN w:val="0"/>
        <w:adjustRightInd w:val="0"/>
        <w:spacing w:line="480" w:lineRule="auto"/>
        <w:rPr>
          <w:rFonts w:asciiTheme="majorHAnsi" w:hAnsiTheme="majorHAnsi" w:cstheme="majorHAnsi"/>
          <w:color w:val="000000" w:themeColor="text1"/>
          <w:u w:val="single"/>
          <w:lang w:val="en-US"/>
        </w:rPr>
      </w:pPr>
      <w:r w:rsidRPr="008A47F8">
        <w:rPr>
          <w:rFonts w:asciiTheme="majorHAnsi" w:hAnsiTheme="majorHAnsi" w:cstheme="majorHAnsi"/>
          <w:color w:val="000000" w:themeColor="text1"/>
          <w:u w:val="single"/>
          <w:lang w:val="en-US"/>
        </w:rPr>
        <w:t>4</w:t>
      </w:r>
      <w:r w:rsidR="009836E2" w:rsidRPr="008A47F8">
        <w:rPr>
          <w:rFonts w:asciiTheme="majorHAnsi" w:hAnsiTheme="majorHAnsi" w:cstheme="majorHAnsi"/>
          <w:color w:val="000000" w:themeColor="text1"/>
          <w:u w:val="single"/>
          <w:lang w:val="en-US"/>
        </w:rPr>
        <w:t>.1 Bacterial 16S rRNA maker gene analysis</w:t>
      </w:r>
    </w:p>
    <w:p w14:paraId="0CE25A7F" w14:textId="0BF1FA37" w:rsidR="00261BA0" w:rsidRPr="008A47F8" w:rsidRDefault="009836E2" w:rsidP="008A47F8">
      <w:pPr>
        <w:spacing w:line="480" w:lineRule="auto"/>
        <w:rPr>
          <w:rFonts w:asciiTheme="majorHAnsi" w:hAnsiTheme="majorHAnsi" w:cstheme="majorHAnsi"/>
        </w:rPr>
      </w:pPr>
      <w:r w:rsidRPr="008A47F8">
        <w:rPr>
          <w:rFonts w:asciiTheme="majorHAnsi" w:hAnsiTheme="majorHAnsi" w:cstheme="majorHAnsi"/>
          <w:color w:val="000000" w:themeColor="text1"/>
          <w:lang w:val="en-US"/>
        </w:rPr>
        <w:t>The forward and reverse fastq files of each sample were processed according to the MOTHUR MiSeq SOP with some modifications (</w:t>
      </w:r>
      <w:r w:rsidRPr="008A47F8">
        <w:rPr>
          <w:rFonts w:asciiTheme="majorHAnsi" w:hAnsiTheme="majorHAnsi" w:cstheme="majorHAnsi"/>
        </w:rPr>
        <w:t xml:space="preserve">MOTHUR wiki at </w:t>
      </w:r>
      <w:hyperlink r:id="rId6" w:history="1">
        <w:r w:rsidRPr="008A47F8">
          <w:rPr>
            <w:rStyle w:val="Hyperlink"/>
            <w:rFonts w:asciiTheme="majorHAnsi" w:hAnsiTheme="majorHAnsi" w:cstheme="majorHAnsi"/>
          </w:rPr>
          <w:t>http://www.mothur.org/wiki/MiSeq_SOP</w:t>
        </w:r>
      </w:hyperlink>
      <w:r w:rsidRPr="008A47F8">
        <w:rPr>
          <w:rFonts w:asciiTheme="majorHAnsi" w:hAnsiTheme="majorHAnsi" w:cstheme="majorHAnsi"/>
        </w:rPr>
        <w:t xml:space="preserve">). </w:t>
      </w:r>
      <w:r w:rsidRPr="008A47F8">
        <w:rPr>
          <w:rFonts w:asciiTheme="majorHAnsi" w:hAnsiTheme="majorHAnsi" w:cstheme="majorHAnsi"/>
          <w:color w:val="000000" w:themeColor="text1"/>
          <w:lang w:val="en-US"/>
        </w:rPr>
        <w:t>The "make.contigs" command was used with no extra parameters. The assembled contigs were taken out from the MOTHUR pipeline and the four poly NNNNs present in the adapter/primer sequences were removed using the "-trim_left 4" and "-trim_right 4" parameters in the PRINSEQ program</w:t>
      </w:r>
      <w:r w:rsidR="008F7250" w:rsidRPr="008A47F8">
        <w:rPr>
          <w:rFonts w:asciiTheme="majorHAnsi" w:hAnsiTheme="majorHAnsi" w:cstheme="majorHAnsi"/>
          <w:color w:val="000000" w:themeColor="text1"/>
          <w:lang w:val="en-US"/>
        </w:rPr>
        <w:t xml:space="preserve"> </w:t>
      </w:r>
      <w:r w:rsidR="008F7250" w:rsidRPr="008A47F8">
        <w:rPr>
          <w:rFonts w:asciiTheme="majorHAnsi" w:hAnsiTheme="majorHAnsi" w:cstheme="majorHAnsi"/>
          <w:color w:val="000000" w:themeColor="text1"/>
          <w:lang w:val="en-US"/>
        </w:rPr>
        <w:fldChar w:fldCharType="begin" w:fldLock="1"/>
      </w:r>
      <w:r w:rsidR="003F0F57">
        <w:rPr>
          <w:rFonts w:asciiTheme="majorHAnsi" w:hAnsiTheme="majorHAnsi" w:cstheme="majorHAnsi"/>
          <w:color w:val="000000" w:themeColor="text1"/>
          <w:lang w:val="en-US"/>
        </w:rPr>
        <w:instrText>ADDIN CSL_CITATION {"citationItems":[{"id":"ITEM-1","itemData":{"DOI":"10.1093/bioinformatics/btr026","ISBN":"1367-4811 (Electronic)\\r1367-4803 (Linking)","ISSN":"1367-4803","PMID":"21278185","abstract":"SUMMARY: Here, we present PRINSEQ for easy and rapid quality control and data preprocessing of genomic and metagenomic datasets. Summary statistics of FASTA (and QUAL) or FASTQ files are generated in tabular and graphical form and sequences can be filtered, reformatted and trimmed by a variety of options to improve downstream analysis. Availability and Implementation: This open-source application was implemented in Perl and can be used as a stand alone version or accessed online through a user-friendly web interface. The source code, user help and additional information are available at http://prinseq.sourceforge.net/.","author":[{"dropping-particle":"","family":"Schmieder","given":"Robert","non-dropping-particle":"","parse-names":false,"suffix":""},{"dropping-particle":"","family":"Edwards","given":"Robert","non-dropping-particle":"","parse-names":false,"suffix":""}],"container-title":"Bioinformatics","id":"ITEM-1","issue":"6","issued":{"date-parts":[["2011","3","15"]]},"page":"863-864","title":"Quality control and preprocessing of metagenomic datasets","type":"article-journal","volume":"27"},"uris":["http://www.mendeley.com/documents/?uuid=8ca3bf42-40b7-493b-871a-857f79f32280"]}],"mendeley":{"formattedCitation":"&lt;sup&gt;6&lt;/sup&gt;","plainTextFormattedCitation":"6","previouslyFormattedCitation":"&lt;sup&gt;6&lt;/sup&gt;"},"properties":{"noteIndex":0},"schema":"https://github.com/citation-style-language/schema/raw/master/csl-citation.json"}</w:instrText>
      </w:r>
      <w:r w:rsidR="008F7250" w:rsidRPr="008A47F8">
        <w:rPr>
          <w:rFonts w:asciiTheme="majorHAnsi" w:hAnsiTheme="majorHAnsi" w:cstheme="majorHAnsi"/>
          <w:color w:val="000000" w:themeColor="text1"/>
          <w:lang w:val="en-US"/>
        </w:rPr>
        <w:fldChar w:fldCharType="separate"/>
      </w:r>
      <w:r w:rsidR="00161A65" w:rsidRPr="008A47F8">
        <w:rPr>
          <w:rFonts w:asciiTheme="majorHAnsi" w:hAnsiTheme="majorHAnsi" w:cstheme="majorHAnsi"/>
          <w:noProof/>
          <w:color w:val="000000" w:themeColor="text1"/>
          <w:vertAlign w:val="superscript"/>
          <w:lang w:val="en-US"/>
        </w:rPr>
        <w:t>6</w:t>
      </w:r>
      <w:r w:rsidR="008F7250" w:rsidRPr="008A47F8">
        <w:rPr>
          <w:rFonts w:asciiTheme="majorHAnsi" w:hAnsiTheme="majorHAnsi" w:cstheme="majorHAnsi"/>
          <w:color w:val="000000" w:themeColor="text1"/>
          <w:lang w:val="en-US"/>
        </w:rPr>
        <w:fldChar w:fldCharType="end"/>
      </w:r>
      <w:r w:rsidR="008F7250" w:rsidRPr="008A47F8">
        <w:rPr>
          <w:rFonts w:asciiTheme="majorHAnsi" w:hAnsiTheme="majorHAnsi" w:cstheme="majorHAnsi"/>
          <w:color w:val="000000" w:themeColor="text1"/>
          <w:lang w:val="en-US"/>
        </w:rPr>
        <w:t xml:space="preserve">. The PRINSEQ trimmed sequences were used for the first "screen.seqs" command to remove ambiguous sequences (maxambig=0) and sequences containing homopolymers longer than 8 bp (maxhomop=8). The quality-screened sequences were aligned using the Silva bacterial database "silva.nr_v123.align" with flip parameter set to true. Any sequences outside the expected alignment coordinates were further removed using the "screen.seqs" command. The alignment coordinates were set with "optimize=start-end, criteria=90". In addition, any sequences longer than 400 bp were remove with "maxlength=400". The correct aligned </w:t>
      </w:r>
      <w:r w:rsidR="008F7250" w:rsidRPr="008A47F8">
        <w:rPr>
          <w:rFonts w:asciiTheme="majorHAnsi" w:hAnsiTheme="majorHAnsi" w:cstheme="majorHAnsi"/>
          <w:color w:val="000000" w:themeColor="text1"/>
          <w:lang w:val="en-US"/>
        </w:rPr>
        <w:lastRenderedPageBreak/>
        <w:t>sequences were filtered using the "filter.seqs" command with "vertical=T" and "trump=.". The subsequent filtered sequences were de-noised by allowing three mismatches in the "pre.clustering" step and chimeras were removed using Uchime with the dereplicate option set to "true". The chimera free sequences were classified using the Silva reference database "silva.nr_v123.align" and the Silva taxonomy database "silva.nr_v123.tax" and a cut off value of 80%. Chloroplast, Mitochondria, unknown, Archaea, and Eukaryota sequences were removed. The high quality, chimera free, and correct classified sequences were normalized using the "sub.sample" command.</w:t>
      </w:r>
      <w:r w:rsidR="00311E5F" w:rsidRPr="008A47F8">
        <w:rPr>
          <w:rFonts w:asciiTheme="majorHAnsi" w:hAnsiTheme="majorHAnsi" w:cstheme="majorHAnsi"/>
          <w:color w:val="000000" w:themeColor="text1"/>
          <w:lang w:val="en-US"/>
        </w:rPr>
        <w:t xml:space="preserve"> </w:t>
      </w:r>
      <w:r w:rsidR="00311E5F" w:rsidRPr="008A47F8">
        <w:rPr>
          <w:rFonts w:asciiTheme="majorHAnsi" w:hAnsiTheme="majorHAnsi" w:cstheme="majorHAnsi"/>
        </w:rPr>
        <w:t xml:space="preserve">Each sample was normalized to 20,000 reads. This removed </w:t>
      </w:r>
      <w:r w:rsidR="00700859" w:rsidRPr="008A47F8">
        <w:rPr>
          <w:rFonts w:asciiTheme="majorHAnsi" w:hAnsiTheme="majorHAnsi" w:cstheme="majorHAnsi"/>
        </w:rPr>
        <w:t xml:space="preserve">94 patient samples with reads below 20,000 per sample from a total of 1546 samples. 38 out of the 94 samples with reads between 1000 and 20,000 per samples were added back to the dataset. </w:t>
      </w:r>
      <w:r w:rsidR="00F14C4B" w:rsidRPr="008A47F8">
        <w:rPr>
          <w:rFonts w:asciiTheme="majorHAnsi" w:hAnsiTheme="majorHAnsi" w:cstheme="majorHAnsi"/>
        </w:rPr>
        <w:t>One mislabelled sample (negative control outlier) was also removed from the dataset, l</w:t>
      </w:r>
      <w:r w:rsidR="00700859" w:rsidRPr="008A47F8">
        <w:rPr>
          <w:rFonts w:asciiTheme="majorHAnsi" w:hAnsiTheme="majorHAnsi" w:cstheme="majorHAnsi"/>
        </w:rPr>
        <w:t xml:space="preserve">eaving 1489 samples </w:t>
      </w:r>
      <w:r w:rsidR="00F14C4B" w:rsidRPr="008A47F8">
        <w:rPr>
          <w:rFonts w:asciiTheme="majorHAnsi" w:hAnsiTheme="majorHAnsi" w:cstheme="majorHAnsi"/>
        </w:rPr>
        <w:t xml:space="preserve">available for </w:t>
      </w:r>
      <w:r w:rsidR="00161A65" w:rsidRPr="008A47F8">
        <w:rPr>
          <w:rFonts w:asciiTheme="majorHAnsi" w:hAnsiTheme="majorHAnsi" w:cstheme="majorHAnsi"/>
        </w:rPr>
        <w:t>Oligotyping</w:t>
      </w:r>
      <w:r w:rsidR="00F14C4B" w:rsidRPr="008A47F8">
        <w:rPr>
          <w:rFonts w:asciiTheme="majorHAnsi" w:hAnsiTheme="majorHAnsi" w:cstheme="majorHAnsi"/>
        </w:rPr>
        <w:t xml:space="preserve">. </w:t>
      </w:r>
    </w:p>
    <w:p w14:paraId="611FB923" w14:textId="245FDE5D" w:rsidR="00F14C4B" w:rsidRPr="008A47F8" w:rsidRDefault="00261BA0" w:rsidP="008A47F8">
      <w:pPr>
        <w:widowControl w:val="0"/>
        <w:autoSpaceDE w:val="0"/>
        <w:autoSpaceDN w:val="0"/>
        <w:adjustRightInd w:val="0"/>
        <w:spacing w:line="480" w:lineRule="auto"/>
        <w:rPr>
          <w:rFonts w:asciiTheme="majorHAnsi" w:hAnsiTheme="majorHAnsi" w:cstheme="majorHAnsi"/>
          <w:color w:val="FF0000"/>
          <w:u w:val="single"/>
          <w:lang w:val="en-US"/>
        </w:rPr>
      </w:pPr>
      <w:r w:rsidRPr="008A47F8">
        <w:rPr>
          <w:rFonts w:asciiTheme="majorHAnsi" w:hAnsiTheme="majorHAnsi" w:cstheme="majorHAnsi"/>
          <w:color w:val="000000" w:themeColor="text1"/>
          <w:u w:val="single"/>
          <w:lang w:val="en-US"/>
        </w:rPr>
        <w:t>4</w:t>
      </w:r>
      <w:r w:rsidR="00F14C4B" w:rsidRPr="008A47F8">
        <w:rPr>
          <w:rFonts w:asciiTheme="majorHAnsi" w:hAnsiTheme="majorHAnsi" w:cstheme="majorHAnsi"/>
          <w:color w:val="000000" w:themeColor="text1"/>
          <w:u w:val="single"/>
          <w:lang w:val="en-US"/>
        </w:rPr>
        <w:t>.2 Oligotyping and species identification</w:t>
      </w:r>
    </w:p>
    <w:p w14:paraId="561BF4BA" w14:textId="0F3CACD4" w:rsidR="00F14C4B" w:rsidRPr="008A47F8" w:rsidRDefault="00F14C4B" w:rsidP="008A47F8">
      <w:pPr>
        <w:spacing w:line="480" w:lineRule="auto"/>
        <w:rPr>
          <w:rFonts w:asciiTheme="majorHAnsi" w:hAnsiTheme="majorHAnsi" w:cstheme="majorHAnsi"/>
          <w:bCs/>
        </w:rPr>
      </w:pPr>
      <w:r w:rsidRPr="008A47F8">
        <w:rPr>
          <w:rFonts w:asciiTheme="majorHAnsi" w:hAnsiTheme="majorHAnsi" w:cstheme="majorHAnsi"/>
          <w:color w:val="000000"/>
        </w:rPr>
        <w:t xml:space="preserve">Oligotyping was used for clustering the high quality filtered fasta sequences from the MOTHUR pipeline. Oligotyping is a computational method to investigate the diversity of closely related by distinct bacterial organisms in final operational taxonomic units identified in environmental data sets through 16S </w:t>
      </w:r>
      <w:r w:rsidR="00161A65" w:rsidRPr="008A47F8">
        <w:rPr>
          <w:rFonts w:asciiTheme="majorHAnsi" w:hAnsiTheme="majorHAnsi" w:cstheme="majorHAnsi"/>
          <w:color w:val="000000"/>
        </w:rPr>
        <w:t>ribosomal</w:t>
      </w:r>
      <w:r w:rsidRPr="008A47F8">
        <w:rPr>
          <w:rFonts w:asciiTheme="majorHAnsi" w:hAnsiTheme="majorHAnsi" w:cstheme="majorHAnsi"/>
          <w:color w:val="000000"/>
        </w:rPr>
        <w:t xml:space="preserve"> RNA gene data by the canonical approaches. For </w:t>
      </w:r>
      <w:r w:rsidR="00161A65" w:rsidRPr="008A47F8">
        <w:rPr>
          <w:rFonts w:asciiTheme="majorHAnsi" w:hAnsiTheme="majorHAnsi" w:cstheme="majorHAnsi"/>
          <w:color w:val="000000"/>
        </w:rPr>
        <w:t>Oligotyping</w:t>
      </w:r>
      <w:r w:rsidRPr="008A47F8">
        <w:rPr>
          <w:rFonts w:asciiTheme="majorHAnsi" w:hAnsiTheme="majorHAnsi" w:cstheme="majorHAnsi"/>
          <w:color w:val="000000"/>
        </w:rPr>
        <w:t xml:space="preserve"> we used the “Minimum Entropy Decomposition” (MED) option for sensitive partitioning of high-throughput marker gene sequences from the </w:t>
      </w:r>
      <w:r w:rsidR="00161A65" w:rsidRPr="008A47F8">
        <w:rPr>
          <w:rFonts w:asciiTheme="majorHAnsi" w:hAnsiTheme="majorHAnsi" w:cstheme="majorHAnsi"/>
          <w:color w:val="000000"/>
        </w:rPr>
        <w:t>Oligotyping</w:t>
      </w:r>
      <w:r w:rsidRPr="008A47F8">
        <w:rPr>
          <w:rFonts w:asciiTheme="majorHAnsi" w:hAnsiTheme="majorHAnsi" w:cstheme="majorHAnsi"/>
          <w:color w:val="000000"/>
        </w:rPr>
        <w:t xml:space="preserve"> pipeline </w:t>
      </w:r>
      <w:r w:rsidRPr="008A47F8">
        <w:rPr>
          <w:rFonts w:asciiTheme="majorHAnsi" w:hAnsiTheme="majorHAnsi" w:cstheme="majorHAnsi"/>
          <w:color w:val="000000"/>
        </w:rPr>
        <w:fldChar w:fldCharType="begin" w:fldLock="1"/>
      </w:r>
      <w:r w:rsidR="003F0F57">
        <w:rPr>
          <w:rFonts w:asciiTheme="majorHAnsi" w:hAnsiTheme="majorHAnsi" w:cstheme="majorHAnsi"/>
          <w:color w:val="000000"/>
        </w:rPr>
        <w:instrText>ADDIN CSL_CITATION {"citationItems":[{"id":"ITEM-1","itemData":{"author":[{"dropping-particle":"","family":"A Murat Eren, Hilary G Morrison, Pamela J Lescault, Julie Reveillaud","given":"Joseph H Vineis and Mitchell L Sogin","non-dropping-particle":"","parse-names":false,"suffix":""}],"container-title":"The ISME Journal","id":"ITEM-1","issued":{"date-parts":[["2015"]]},"page":"968-979","title":"Minimum entropy decomposition: Unsupervised oligotyping for sensitive partitioning of high-throughput marker gene sequences","type":"article-journal","volume":"9"},"uris":["http://www.mendeley.com/documents/?uuid=c0049777-f3fb-451a-85a1-dec24271adec"]}],"mendeley":{"formattedCitation":"&lt;sup&gt;7&lt;/sup&gt;","plainTextFormattedCitation":"7","previouslyFormattedCitation":"&lt;sup&gt;7&lt;/sup&gt;"},"properties":{"noteIndex":0},"schema":"https://github.com/citation-style-language/schema/raw/master/csl-citation.json"}</w:instrText>
      </w:r>
      <w:r w:rsidRPr="008A47F8">
        <w:rPr>
          <w:rFonts w:asciiTheme="majorHAnsi" w:hAnsiTheme="majorHAnsi" w:cstheme="majorHAnsi"/>
          <w:color w:val="000000"/>
        </w:rPr>
        <w:fldChar w:fldCharType="separate"/>
      </w:r>
      <w:r w:rsidR="00161A65" w:rsidRPr="008A47F8">
        <w:rPr>
          <w:rFonts w:asciiTheme="majorHAnsi" w:hAnsiTheme="majorHAnsi" w:cstheme="majorHAnsi"/>
          <w:noProof/>
          <w:color w:val="000000"/>
          <w:vertAlign w:val="superscript"/>
        </w:rPr>
        <w:t>7</w:t>
      </w:r>
      <w:r w:rsidRPr="008A47F8">
        <w:rPr>
          <w:rFonts w:asciiTheme="majorHAnsi" w:hAnsiTheme="majorHAnsi" w:cstheme="majorHAnsi"/>
          <w:color w:val="000000"/>
        </w:rPr>
        <w:fldChar w:fldCharType="end"/>
      </w:r>
      <w:r w:rsidRPr="008A47F8">
        <w:rPr>
          <w:rFonts w:asciiTheme="majorHAnsi" w:hAnsiTheme="majorHAnsi" w:cstheme="majorHAnsi"/>
          <w:color w:val="000000"/>
        </w:rPr>
        <w:t xml:space="preserve">. </w:t>
      </w:r>
      <w:r w:rsidRPr="008A47F8">
        <w:rPr>
          <w:rFonts w:asciiTheme="majorHAnsi" w:hAnsiTheme="majorHAnsi" w:cstheme="majorHAnsi"/>
          <w:color w:val="000000" w:themeColor="text1"/>
          <w:u w:color="262626"/>
          <w:lang w:val="en-US"/>
        </w:rPr>
        <w:t xml:space="preserve">The normalized high quality fasta and name file from MOTHUR were renamed by appending the group name to the sequence name, using the "rename.seqs" command. Then, a redundant renamed-fasta file was generated using the "deunique.seqs" command, which creates a redundant fasta file from a fasta and name file. The redundant fasta file was subsequently used for </w:t>
      </w:r>
      <w:r w:rsidR="00161A65" w:rsidRPr="008A47F8">
        <w:rPr>
          <w:rFonts w:asciiTheme="majorHAnsi" w:hAnsiTheme="majorHAnsi" w:cstheme="majorHAnsi"/>
          <w:color w:val="000000" w:themeColor="text1"/>
          <w:u w:color="262626"/>
          <w:lang w:val="en-US"/>
        </w:rPr>
        <w:t>Oligotyping</w:t>
      </w:r>
      <w:r w:rsidRPr="008A47F8">
        <w:rPr>
          <w:rFonts w:asciiTheme="majorHAnsi" w:hAnsiTheme="majorHAnsi" w:cstheme="majorHAnsi"/>
          <w:color w:val="000000" w:themeColor="text1"/>
          <w:u w:color="262626"/>
          <w:lang w:val="en-US"/>
        </w:rPr>
        <w:t xml:space="preserve"> using the unsupervised "Minimum Entropy </w:t>
      </w:r>
      <w:r w:rsidRPr="008A47F8">
        <w:rPr>
          <w:rFonts w:asciiTheme="majorHAnsi" w:hAnsiTheme="majorHAnsi" w:cstheme="majorHAnsi"/>
          <w:color w:val="000000" w:themeColor="text1"/>
          <w:u w:color="262626"/>
          <w:lang w:val="en-US"/>
        </w:rPr>
        <w:lastRenderedPageBreak/>
        <w:t xml:space="preserve">Decomposition" (MED). The command line was "decompose </w:t>
      </w:r>
      <w:r w:rsidR="00A75B6F" w:rsidRPr="008A47F8">
        <w:rPr>
          <w:rFonts w:asciiTheme="majorHAnsi" w:hAnsiTheme="majorHAnsi" w:cstheme="majorHAnsi"/>
          <w:color w:val="000000" w:themeColor="text1"/>
          <w:u w:color="262626"/>
          <w:lang w:val="en-US"/>
        </w:rPr>
        <w:t>&lt;</w:t>
      </w:r>
      <w:r w:rsidRPr="008A47F8">
        <w:rPr>
          <w:rFonts w:asciiTheme="majorHAnsi" w:hAnsiTheme="majorHAnsi" w:cstheme="majorHAnsi"/>
          <w:color w:val="000000" w:themeColor="text1"/>
          <w:u w:color="262626"/>
          <w:lang w:val="en-US"/>
        </w:rPr>
        <w:t>fasta.file</w:t>
      </w:r>
      <w:r w:rsidR="00A75B6F" w:rsidRPr="008A47F8">
        <w:rPr>
          <w:rFonts w:asciiTheme="majorHAnsi" w:hAnsiTheme="majorHAnsi" w:cstheme="majorHAnsi"/>
          <w:color w:val="000000" w:themeColor="text1"/>
          <w:u w:color="262626"/>
          <w:lang w:val="en-US"/>
        </w:rPr>
        <w:t xml:space="preserve">&gt; </w:t>
      </w:r>
      <w:r w:rsidRPr="008A47F8">
        <w:rPr>
          <w:rFonts w:asciiTheme="majorHAnsi" w:hAnsiTheme="majorHAnsi" w:cstheme="majorHAnsi"/>
          <w:color w:val="000000" w:themeColor="text1"/>
          <w:u w:color="262626"/>
          <w:lang w:val="en-US"/>
        </w:rPr>
        <w:t>–g –t -</w:t>
      </w:r>
      <w:r w:rsidR="00A75B6F" w:rsidRPr="008A47F8">
        <w:rPr>
          <w:rFonts w:asciiTheme="majorHAnsi" w:hAnsiTheme="majorHAnsi" w:cstheme="majorHAnsi"/>
          <w:color w:val="000000" w:themeColor="text1"/>
          <w:u w:color="262626"/>
          <w:lang w:val="en-US"/>
        </w:rPr>
        <w:t xml:space="preserve"> -M 100 -V 2</w:t>
      </w:r>
      <w:r w:rsidRPr="008A47F8">
        <w:rPr>
          <w:rFonts w:asciiTheme="majorHAnsi" w:hAnsiTheme="majorHAnsi" w:cstheme="majorHAnsi"/>
          <w:color w:val="000000" w:themeColor="text1"/>
          <w:u w:color="262626"/>
          <w:lang w:val="en-US"/>
        </w:rPr>
        <w:t xml:space="preserve">" </w:t>
      </w:r>
      <w:r w:rsidR="00A75B6F" w:rsidRPr="008A47F8">
        <w:rPr>
          <w:rFonts w:asciiTheme="majorHAnsi" w:hAnsiTheme="majorHAnsi" w:cstheme="majorHAnsi"/>
          <w:color w:val="000000" w:themeColor="text1"/>
          <w:u w:color="262626"/>
          <w:lang w:val="en-US"/>
        </w:rPr>
        <w:t>T</w:t>
      </w:r>
      <w:r w:rsidRPr="008A47F8">
        <w:rPr>
          <w:rFonts w:asciiTheme="majorHAnsi" w:hAnsiTheme="majorHAnsi" w:cstheme="majorHAnsi"/>
          <w:color w:val="000000" w:themeColor="text1"/>
          <w:u w:color="262626"/>
          <w:lang w:val="en-US"/>
        </w:rPr>
        <w:t>he –t character which was set to a dash "-" character. The dash character was used in MOTHUR "rename.seqs" command to separate the sample name from the unique info in the defline of the sequence name.</w:t>
      </w:r>
      <w:r w:rsidR="00A75B6F" w:rsidRPr="008A47F8">
        <w:rPr>
          <w:rFonts w:asciiTheme="majorHAnsi" w:hAnsiTheme="majorHAnsi" w:cstheme="majorHAnsi"/>
          <w:color w:val="000000" w:themeColor="text1"/>
          <w:u w:color="262626"/>
          <w:lang w:val="en-US"/>
        </w:rPr>
        <w:t xml:space="preserve"> The -M integer defines the minimum substantive abundance of an </w:t>
      </w:r>
      <w:r w:rsidR="00161A65" w:rsidRPr="008A47F8">
        <w:rPr>
          <w:rFonts w:asciiTheme="majorHAnsi" w:hAnsiTheme="majorHAnsi" w:cstheme="majorHAnsi"/>
          <w:color w:val="000000" w:themeColor="text1"/>
          <w:u w:color="262626"/>
          <w:lang w:val="en-US"/>
        </w:rPr>
        <w:t>oligotype</w:t>
      </w:r>
      <w:r w:rsidR="00A75B6F" w:rsidRPr="008A47F8">
        <w:rPr>
          <w:rFonts w:asciiTheme="majorHAnsi" w:hAnsiTheme="majorHAnsi" w:cstheme="majorHAnsi"/>
          <w:color w:val="000000" w:themeColor="text1"/>
          <w:u w:color="262626"/>
          <w:lang w:val="en-US"/>
        </w:rPr>
        <w:t xml:space="preserve"> and the -V integer defines the maximum variation allowed in each node. This MED settings generated 10152 oligotypes (OTPs). </w:t>
      </w:r>
      <w:r w:rsidRPr="008A47F8">
        <w:rPr>
          <w:rFonts w:asciiTheme="majorHAnsi" w:hAnsiTheme="majorHAnsi" w:cstheme="majorHAnsi"/>
        </w:rPr>
        <w:t xml:space="preserve">The node representative sequence of each OTP was used for species profiling using the ARB analysis - A Software Environment for Sequence Data (version 5.5-org-9167) </w:t>
      </w:r>
      <w:r w:rsidRPr="008A47F8">
        <w:rPr>
          <w:rFonts w:asciiTheme="majorHAnsi" w:hAnsiTheme="majorHAnsi" w:cstheme="majorHAnsi"/>
        </w:rPr>
        <w:fldChar w:fldCharType="begin" w:fldLock="1"/>
      </w:r>
      <w:r w:rsidR="003F0F57">
        <w:rPr>
          <w:rFonts w:asciiTheme="majorHAnsi" w:hAnsiTheme="majorHAnsi" w:cstheme="majorHAnsi"/>
        </w:rPr>
        <w:instrText>ADDIN CSL_CITATION {"citationItems":[{"id":"ITEM-1","itemData":{"DOI":"10.1093/nar/gkh293","ISBN":"1362-4962 (Electronic)\\n0305-1048 (Linking)","ISSN":"1362-4962","PMID":"14985472","abstract":"The ARB (from Latin arbor, tree) project was initiated almost 10 years ago. The ARB program package comprises a variety of directly interacting software tools for sequence database maintenance and analysis which are controlled by a common graphical user interface. Although it was initially designed for ribosomal RNA data, it can be used for any nucleic and amino acid sequence data as well. A central database contains processed (aligned) primary structure data. Any additional descriptive data can be stored in database fields assigned to the individual sequences or linked via local or worldwide networks. A phylogenetic tree visualized in the main window can be used for data access and visualization. The package comprises additional tools for data import and export, sequence alignment, primary and secondary structure editing, profile and filter calculation, phylogenetic analyses, specific hybridization probe design and evaluation and other components for data analysis. Currently, the package is used by numerous working groups worldwide.","author":[{"dropping-particle":"","family":"Ludwig","given":"W.","non-dropping-particle":"","parse-names":false,"suffix":""}],"container-title":"Nucleic Acids Research","id":"ITEM-1","issue":"4","issued":{"date-parts":[["2004","2","23"]]},"page":"1363-1371","title":"ARB: a software environment for sequence data","type":"article-journal","volume":"32"},"uris":["http://www.mendeley.com/documents/?uuid=5ef74e53-66ac-487c-9561-08e83aea4b58"]}],"mendeley":{"formattedCitation":"&lt;sup&gt;8&lt;/sup&gt;","plainTextFormattedCitation":"8","previouslyFormattedCitation":"&lt;sup&gt;8&lt;/sup&gt;"},"properties":{"noteIndex":0},"schema":"https://github.com/citation-style-language/schema/raw/master/csl-citation.json"}</w:instrText>
      </w:r>
      <w:r w:rsidRPr="008A47F8">
        <w:rPr>
          <w:rFonts w:asciiTheme="majorHAnsi" w:hAnsiTheme="majorHAnsi" w:cstheme="majorHAnsi"/>
        </w:rPr>
        <w:fldChar w:fldCharType="separate"/>
      </w:r>
      <w:r w:rsidR="00161A65" w:rsidRPr="008A47F8">
        <w:rPr>
          <w:rFonts w:asciiTheme="majorHAnsi" w:hAnsiTheme="majorHAnsi" w:cstheme="majorHAnsi"/>
          <w:noProof/>
          <w:vertAlign w:val="superscript"/>
        </w:rPr>
        <w:t>8</w:t>
      </w:r>
      <w:r w:rsidRPr="008A47F8">
        <w:rPr>
          <w:rFonts w:asciiTheme="majorHAnsi" w:hAnsiTheme="majorHAnsi" w:cstheme="majorHAnsi"/>
        </w:rPr>
        <w:fldChar w:fldCharType="end"/>
      </w:r>
      <w:r w:rsidRPr="008A47F8">
        <w:rPr>
          <w:rFonts w:asciiTheme="majorHAnsi" w:hAnsiTheme="majorHAnsi" w:cstheme="majorHAnsi"/>
        </w:rPr>
        <w:t xml:space="preserve">. For ARB analysis we used a </w:t>
      </w:r>
      <w:r w:rsidRPr="008A47F8">
        <w:rPr>
          <w:rFonts w:asciiTheme="majorHAnsi" w:hAnsiTheme="majorHAnsi" w:cstheme="majorHAnsi"/>
          <w:bCs/>
        </w:rPr>
        <w:t>customized version of the SILVA SSU Ref database (NR99, release 123) that was generated by removing environmental and uncultured taxa.</w:t>
      </w:r>
      <w:r w:rsidR="00A75B6F" w:rsidRPr="008A47F8">
        <w:rPr>
          <w:rFonts w:asciiTheme="majorHAnsi" w:hAnsiTheme="majorHAnsi" w:cstheme="majorHAnsi"/>
          <w:bCs/>
        </w:rPr>
        <w:t xml:space="preserve"> </w:t>
      </w:r>
    </w:p>
    <w:p w14:paraId="36ED9244" w14:textId="60E6E9D3" w:rsidR="00261BA0" w:rsidRPr="008A47F8" w:rsidRDefault="00A75B6F" w:rsidP="008A47F8">
      <w:pPr>
        <w:spacing w:line="480" w:lineRule="auto"/>
        <w:rPr>
          <w:rFonts w:asciiTheme="majorHAnsi" w:hAnsiTheme="majorHAnsi" w:cstheme="majorHAnsi"/>
          <w:color w:val="000000"/>
        </w:rPr>
      </w:pPr>
      <w:r w:rsidRPr="008A47F8">
        <w:rPr>
          <w:rFonts w:asciiTheme="majorHAnsi" w:hAnsiTheme="majorHAnsi" w:cstheme="majorHAnsi"/>
          <w:color w:val="000000"/>
        </w:rPr>
        <w:t xml:space="preserve">The ARB generated short species abbreviations were then correlated with the full taxonomic path from species to phyla. The 10152 redundant ARB species were then consolidated to non-redundant 524 species which were </w:t>
      </w:r>
      <w:r w:rsidR="0026688F" w:rsidRPr="008A47F8">
        <w:rPr>
          <w:rFonts w:asciiTheme="majorHAnsi" w:hAnsiTheme="majorHAnsi" w:cstheme="majorHAnsi"/>
          <w:color w:val="000000"/>
        </w:rPr>
        <w:t>present</w:t>
      </w:r>
      <w:r w:rsidRPr="008A47F8">
        <w:rPr>
          <w:rFonts w:asciiTheme="majorHAnsi" w:hAnsiTheme="majorHAnsi" w:cstheme="majorHAnsi"/>
          <w:color w:val="000000"/>
        </w:rPr>
        <w:t xml:space="preserve"> in the 1407 patient samples</w:t>
      </w:r>
      <w:r w:rsidR="0026688F" w:rsidRPr="008A47F8">
        <w:rPr>
          <w:rFonts w:asciiTheme="majorHAnsi" w:hAnsiTheme="majorHAnsi" w:cstheme="majorHAnsi"/>
          <w:color w:val="000000"/>
        </w:rPr>
        <w:t xml:space="preserve"> with a minimum substance abundance of an oligotype per node of 100 (-M setting from above)</w:t>
      </w:r>
      <w:r w:rsidRPr="008A47F8">
        <w:rPr>
          <w:rFonts w:asciiTheme="majorHAnsi" w:hAnsiTheme="majorHAnsi" w:cstheme="majorHAnsi"/>
          <w:color w:val="000000"/>
        </w:rPr>
        <w:t xml:space="preserve">. The consolidation was performed using the “Consolidate” option in EXCEL (Microsoft Excel for Mac version 16.16.14).  </w:t>
      </w:r>
      <w:r w:rsidR="0026688F" w:rsidRPr="008A47F8">
        <w:rPr>
          <w:rFonts w:asciiTheme="majorHAnsi" w:hAnsiTheme="majorHAnsi" w:cstheme="majorHAnsi"/>
          <w:color w:val="000000"/>
        </w:rPr>
        <w:t xml:space="preserve">The 524 species were further consolidated to 216 genera and 71 bacterial families. </w:t>
      </w:r>
    </w:p>
    <w:p w14:paraId="2A0C6B39" w14:textId="472C8782" w:rsidR="00565F82" w:rsidRPr="008A47F8" w:rsidRDefault="00565F82" w:rsidP="008A47F8">
      <w:pPr>
        <w:widowControl w:val="0"/>
        <w:autoSpaceDE w:val="0"/>
        <w:autoSpaceDN w:val="0"/>
        <w:adjustRightInd w:val="0"/>
        <w:spacing w:line="480" w:lineRule="auto"/>
        <w:rPr>
          <w:rFonts w:asciiTheme="majorHAnsi" w:hAnsiTheme="majorHAnsi" w:cstheme="majorHAnsi"/>
          <w:u w:val="single"/>
        </w:rPr>
      </w:pPr>
      <w:r w:rsidRPr="008A47F8">
        <w:rPr>
          <w:rFonts w:asciiTheme="majorHAnsi" w:hAnsiTheme="majorHAnsi" w:cstheme="majorHAnsi"/>
          <w:u w:val="single"/>
        </w:rPr>
        <w:t>4.3 Alpha diversity</w:t>
      </w:r>
    </w:p>
    <w:p w14:paraId="2208CADA" w14:textId="6024F3C0" w:rsidR="007F608A" w:rsidRPr="008A47F8" w:rsidRDefault="0047427D" w:rsidP="008A47F8">
      <w:pPr>
        <w:widowControl w:val="0"/>
        <w:autoSpaceDE w:val="0"/>
        <w:autoSpaceDN w:val="0"/>
        <w:adjustRightInd w:val="0"/>
        <w:spacing w:line="480" w:lineRule="auto"/>
        <w:rPr>
          <w:rFonts w:asciiTheme="majorHAnsi" w:hAnsiTheme="majorHAnsi" w:cstheme="majorHAnsi"/>
          <w:b/>
          <w:color w:val="000000" w:themeColor="text1"/>
        </w:rPr>
      </w:pPr>
      <w:r w:rsidRPr="008A47F8">
        <w:rPr>
          <w:rFonts w:asciiTheme="majorHAnsi" w:hAnsiTheme="majorHAnsi" w:cstheme="majorHAnsi"/>
        </w:rPr>
        <w:t xml:space="preserve">Alpha diversity </w:t>
      </w:r>
      <w:r w:rsidR="00EA2B01" w:rsidRPr="008A47F8">
        <w:rPr>
          <w:rFonts w:asciiTheme="majorHAnsi" w:hAnsiTheme="majorHAnsi" w:cstheme="majorHAnsi"/>
        </w:rPr>
        <w:t xml:space="preserve">indexes for Fisher’s alpha parameter, Simpson’s index, Chao1 richness index, and richness index (observed richness) were calculated </w:t>
      </w:r>
      <w:r w:rsidRPr="008A47F8">
        <w:rPr>
          <w:rFonts w:asciiTheme="majorHAnsi" w:hAnsiTheme="majorHAnsi" w:cstheme="majorHAnsi"/>
        </w:rPr>
        <w:t xml:space="preserve">using the </w:t>
      </w:r>
      <w:r w:rsidR="008403EB" w:rsidRPr="008A47F8">
        <w:rPr>
          <w:rFonts w:asciiTheme="majorHAnsi" w:hAnsiTheme="majorHAnsi" w:cstheme="majorHAnsi"/>
        </w:rPr>
        <w:t xml:space="preserve">online web portal </w:t>
      </w:r>
      <w:r w:rsidRPr="008A47F8">
        <w:rPr>
          <w:rFonts w:asciiTheme="majorHAnsi" w:hAnsiTheme="majorHAnsi" w:cstheme="majorHAnsi"/>
        </w:rPr>
        <w:t xml:space="preserve">Calypso </w:t>
      </w:r>
      <w:r w:rsidR="008403EB" w:rsidRPr="008A47F8">
        <w:rPr>
          <w:rFonts w:asciiTheme="majorHAnsi" w:hAnsiTheme="majorHAnsi" w:cstheme="majorHAnsi"/>
          <w:color w:val="333333"/>
          <w:shd w:val="clear" w:color="auto" w:fill="FFFFFF"/>
        </w:rPr>
        <w:t xml:space="preserve">version: 8.84 </w:t>
      </w:r>
      <w:r w:rsidRPr="008A47F8">
        <w:rPr>
          <w:rFonts w:asciiTheme="majorHAnsi" w:hAnsiTheme="majorHAnsi" w:cstheme="majorHAnsi"/>
        </w:rPr>
        <w:fldChar w:fldCharType="begin" w:fldLock="1"/>
      </w:r>
      <w:r w:rsidR="003F0F57">
        <w:rPr>
          <w:rFonts w:asciiTheme="majorHAnsi" w:hAnsiTheme="majorHAnsi" w:cstheme="majorHAnsi"/>
        </w:rPr>
        <w:instrText>ADDIN CSL_CITATION {"citationItems":[{"id":"ITEM-1","itemData":{"DOI":"10.1093/bioinformatics/btw725","ISSN":"1367-4803","abstract":"Calypso is an easy-to-use online software suite that allows non-expert users to mine, interpret and compare taxonomic information from metagenomic or 16S rDNA datasets. Calypso has a focus on multivariate statistical approaches that can identify complex environment-microbiome associations. The software enables quantitative visualizations, statistical testing, multivariate analysis, supervised learning, factor analysis, multivariable regression, network analysis and diversity estimates. Comprehensive help pages, tutorials and videos are provided via a wiki page.","author":[{"dropping-particle":"","family":"Zakrzewski","given":"Martha","non-dropping-particle":"","parse-names":false,"suffix":""},{"dropping-particle":"","family":"Proietti","given":"Carla","non-dropping-particle":"","parse-names":false,"suffix":""},{"dropping-particle":"","family":"Ellis","given":"Jonathan J.","non-dropping-particle":"","parse-names":false,"suffix":""},{"dropping-particle":"","family":"Hasan","given":"Shihab","non-dropping-particle":"","parse-names":false,"suffix":""},{"dropping-particle":"","family":"Brion","given":"Marie-Jo","non-dropping-particle":"","parse-names":false,"suffix":""},{"dropping-particle":"","family":"Berger","given":"Bernard","non-dropping-particle":"","parse-names":false,"suffix":""},{"dropping-particle":"","family":"Krause","given":"Lutz","non-dropping-particle":"","parse-names":false,"suffix":""}],"container-title":"Bioinformatics","id":"ITEM-1","issue":"5","issued":{"date-parts":[["2017","12","24"]]},"page":"782-783","title":"Calypso: a user-friendly web-server for mining and visualizing microbiome–environment interactions","type":"article-journal","volume":"33"},"uris":["http://www.mendeley.com/documents/?uuid=6ee8f08e-eb81-4f0a-9152-2323fb5bddcf"]}],"mendeley":{"formattedCitation":"&lt;sup&gt;9&lt;/sup&gt;","plainTextFormattedCitation":"9","previouslyFormattedCitation":"&lt;sup&gt;9&lt;/sup&gt;"},"properties":{"noteIndex":0},"schema":"https://github.com/citation-style-language/schema/raw/master/csl-citation.json"}</w:instrText>
      </w:r>
      <w:r w:rsidRPr="008A47F8">
        <w:rPr>
          <w:rFonts w:asciiTheme="majorHAnsi" w:hAnsiTheme="majorHAnsi" w:cstheme="majorHAnsi"/>
        </w:rPr>
        <w:fldChar w:fldCharType="separate"/>
      </w:r>
      <w:r w:rsidR="00161A65" w:rsidRPr="008A47F8">
        <w:rPr>
          <w:rFonts w:asciiTheme="majorHAnsi" w:hAnsiTheme="majorHAnsi" w:cstheme="majorHAnsi"/>
          <w:noProof/>
          <w:vertAlign w:val="superscript"/>
        </w:rPr>
        <w:t>9</w:t>
      </w:r>
      <w:r w:rsidRPr="008A47F8">
        <w:rPr>
          <w:rFonts w:asciiTheme="majorHAnsi" w:hAnsiTheme="majorHAnsi" w:cstheme="majorHAnsi"/>
        </w:rPr>
        <w:fldChar w:fldCharType="end"/>
      </w:r>
      <w:r w:rsidRPr="008A47F8">
        <w:rPr>
          <w:rFonts w:asciiTheme="majorHAnsi" w:hAnsiTheme="majorHAnsi" w:cstheme="majorHAnsi"/>
        </w:rPr>
        <w:t xml:space="preserve">. </w:t>
      </w:r>
      <w:r w:rsidR="00136370" w:rsidRPr="008A47F8">
        <w:rPr>
          <w:rFonts w:asciiTheme="majorHAnsi" w:hAnsiTheme="majorHAnsi" w:cstheme="majorHAnsi"/>
        </w:rPr>
        <w:t xml:space="preserve">The </w:t>
      </w:r>
      <w:r w:rsidR="00513A95" w:rsidRPr="008A47F8">
        <w:rPr>
          <w:rFonts w:asciiTheme="majorHAnsi" w:hAnsiTheme="majorHAnsi" w:cstheme="majorHAnsi"/>
          <w:b/>
          <w:bCs/>
          <w:color w:val="000000" w:themeColor="text1"/>
        </w:rPr>
        <w:t>Fisher's alpha parameter</w:t>
      </w:r>
      <w:r w:rsidR="00136370" w:rsidRPr="008A47F8">
        <w:rPr>
          <w:rFonts w:asciiTheme="majorHAnsi" w:hAnsiTheme="majorHAnsi" w:cstheme="majorHAnsi"/>
          <w:b/>
          <w:bCs/>
          <w:color w:val="000000" w:themeColor="text1"/>
        </w:rPr>
        <w:t xml:space="preserve"> </w:t>
      </w:r>
      <w:r w:rsidR="00136370" w:rsidRPr="008A47F8">
        <w:rPr>
          <w:rFonts w:asciiTheme="majorHAnsi" w:hAnsiTheme="majorHAnsi" w:cstheme="majorHAnsi"/>
          <w:bCs/>
          <w:color w:val="000000" w:themeColor="text1"/>
        </w:rPr>
        <w:t xml:space="preserve">was first descripted as a logarithmic series model in 1943 </w:t>
      </w:r>
      <w:r w:rsidR="00136370" w:rsidRPr="008A47F8">
        <w:rPr>
          <w:rFonts w:asciiTheme="majorHAnsi" w:hAnsiTheme="majorHAnsi" w:cstheme="majorHAnsi"/>
          <w:bCs/>
          <w:color w:val="000000" w:themeColor="text1"/>
        </w:rPr>
        <w:fldChar w:fldCharType="begin" w:fldLock="1"/>
      </w:r>
      <w:r w:rsidR="003F0F57">
        <w:rPr>
          <w:rFonts w:asciiTheme="majorHAnsi" w:hAnsiTheme="majorHAnsi" w:cstheme="majorHAnsi"/>
          <w:bCs/>
          <w:color w:val="000000" w:themeColor="text1"/>
        </w:rPr>
        <w:instrText>ADDIN CSL_CITATION {"citationItems":[{"id":"ITEM-1","itemData":{"DOI":"10.2307/1411","ISSN":"00218790","abstract":"Part 1. It is shown that in a large collection of Lepidoptera captured in Malaya the frequency of the number of species represented by different numbers of individuals fitted somewhat closely to a hyperbola type of curve, so long as only the rarer species were considered. The data for the commoner species was not so strictly `randomized', but the whole series could be closely fitted by a series of the logarithmic type as described by Fisher in Part 3. Other data for random collections of insects in the field were also shown to fit fairly well to this series. Part 2. Extensive data on the capture of about 1500 Macrolepidoptera of about 240 species in a light-trap at Harpenden is analysed in relation to Fisher's mathematical theory and is shown to fit extremely closely to the calculations. The calculations are applied first to the frequency of occurrence of species represented by different numbers of individuals--and secondly to the number of species in samples of different sizes from the same population. The parameter ` alpha ', which it is suggested should be called the `index of diversity', is shown to have a regular seasonal change in the case of the Macrolepidoptera in the trap. In addition, samples from two traps which overlooked somewhat different vegetation are shown to have ` alpha ' values which are significantly different. It is shown that, provided the samples are not small, ` alpha ' is the increase in the number of species obtained by increasing the size of a sample by e (2.718). A diagram is given (Fig. 8) from which any one of the values, total number of species, total number of individuals and index of diversity (alpha), can be obtained approximately if the other two are known. The standard error of alpha is also indicated on the same diagram. Part 3. A theoretical distribution is developed which appears to be suitable for the frequencies with which different species occur in a random collection, in the common case in which many species are so rare that their chance of inclusion is small. The relationships of the new distribution with the negative binomial and the Poisson series are established. Numerical processes are exhibited for fitting the series to observations containing given numbers of species and individuals, and for estimating the parameter alpha representing the richness in species of the material sampled; secondly, for calculating the standard error of alpha, and thirdly, for testing whether the series exhibits a significant …","author":[{"dropping-particle":"","family":"Fisher","given":"R. A.","non-dropping-particle":"","parse-names":false,"suffix":""},{"dropping-particle":"","family":"Corbet","given":"A. Steven","non-dropping-particle":"","parse-names":false,"suffix":""},{"dropping-particle":"","family":"Williams","given":"C. B.","non-dropping-particle":"","parse-names":false,"suffix":""}],"container-title":"The Journal of Animal Ecology","id":"ITEM-1","issue":"1","issued":{"date-parts":[["1943","5"]]},"page":"42","title":"The Relation Between the Number of Species and the Number of Individuals in a Random Sample of an Animal Population","type":"article-journal","volume":"12"},"uris":["http://www.mendeley.com/documents/?uuid=021fb90b-d9c6-4e7a-88fe-7177bb091de6"]}],"mendeley":{"formattedCitation":"&lt;sup&gt;10&lt;/sup&gt;","plainTextFormattedCitation":"10","previouslyFormattedCitation":"&lt;sup&gt;10&lt;/sup&gt;"},"properties":{"noteIndex":0},"schema":"https://github.com/citation-style-language/schema/raw/master/csl-citation.json"}</w:instrText>
      </w:r>
      <w:r w:rsidR="00136370" w:rsidRPr="008A47F8">
        <w:rPr>
          <w:rFonts w:asciiTheme="majorHAnsi" w:hAnsiTheme="majorHAnsi" w:cstheme="majorHAnsi"/>
          <w:bCs/>
          <w:color w:val="000000" w:themeColor="text1"/>
        </w:rPr>
        <w:fldChar w:fldCharType="separate"/>
      </w:r>
      <w:r w:rsidR="00161A65" w:rsidRPr="008A47F8">
        <w:rPr>
          <w:rFonts w:asciiTheme="majorHAnsi" w:hAnsiTheme="majorHAnsi" w:cstheme="majorHAnsi"/>
          <w:bCs/>
          <w:noProof/>
          <w:color w:val="000000" w:themeColor="text1"/>
          <w:vertAlign w:val="superscript"/>
        </w:rPr>
        <w:t>10</w:t>
      </w:r>
      <w:r w:rsidR="00136370" w:rsidRPr="008A47F8">
        <w:rPr>
          <w:rFonts w:asciiTheme="majorHAnsi" w:hAnsiTheme="majorHAnsi" w:cstheme="majorHAnsi"/>
          <w:bCs/>
          <w:color w:val="000000" w:themeColor="text1"/>
        </w:rPr>
        <w:fldChar w:fldCharType="end"/>
      </w:r>
      <w:r w:rsidR="00E322DF" w:rsidRPr="008A47F8">
        <w:rPr>
          <w:rFonts w:asciiTheme="majorHAnsi" w:hAnsiTheme="majorHAnsi" w:cstheme="majorHAnsi"/>
          <w:bCs/>
          <w:color w:val="000000" w:themeColor="text1"/>
        </w:rPr>
        <w:t xml:space="preserve"> and attempt to d</w:t>
      </w:r>
      <w:r w:rsidR="00513A95" w:rsidRPr="008A47F8">
        <w:rPr>
          <w:rFonts w:asciiTheme="majorHAnsi" w:hAnsiTheme="majorHAnsi" w:cstheme="majorHAnsi"/>
          <w:color w:val="000000" w:themeColor="text1"/>
        </w:rPr>
        <w:t xml:space="preserve">escribe mathematically the relationship between the number of species and the number of individuals in those species. </w:t>
      </w:r>
      <w:r w:rsidR="00E322DF" w:rsidRPr="008A47F8">
        <w:rPr>
          <w:rFonts w:asciiTheme="majorHAnsi" w:hAnsiTheme="majorHAnsi" w:cstheme="majorHAnsi"/>
          <w:color w:val="000000" w:themeColor="text1"/>
        </w:rPr>
        <w:t xml:space="preserve">The </w:t>
      </w:r>
      <w:r w:rsidR="00565F82" w:rsidRPr="008A47F8">
        <w:rPr>
          <w:rFonts w:asciiTheme="majorHAnsi" w:hAnsiTheme="majorHAnsi" w:cstheme="majorHAnsi"/>
          <w:color w:val="000000" w:themeColor="text1"/>
        </w:rPr>
        <w:t xml:space="preserve">Fisher’s alpha parameter </w:t>
      </w:r>
      <w:r w:rsidR="00E322DF" w:rsidRPr="008A47F8">
        <w:rPr>
          <w:rFonts w:asciiTheme="majorHAnsi" w:hAnsiTheme="majorHAnsi" w:cstheme="majorHAnsi"/>
          <w:color w:val="000000" w:themeColor="text1"/>
        </w:rPr>
        <w:t>description was adapted from</w:t>
      </w:r>
      <w:r w:rsidR="00565F82" w:rsidRPr="008A47F8">
        <w:rPr>
          <w:rFonts w:asciiTheme="majorHAnsi" w:hAnsiTheme="majorHAnsi" w:cstheme="majorHAnsi"/>
          <w:color w:val="000000" w:themeColor="text1"/>
        </w:rPr>
        <w:t xml:space="preserve"> the</w:t>
      </w:r>
      <w:r w:rsidR="00E322DF" w:rsidRPr="008A47F8">
        <w:rPr>
          <w:rFonts w:asciiTheme="majorHAnsi" w:hAnsiTheme="majorHAnsi" w:cstheme="majorHAnsi"/>
          <w:color w:val="000000" w:themeColor="text1"/>
        </w:rPr>
        <w:t xml:space="preserve"> University of Camerion, Italy, School of </w:t>
      </w:r>
      <w:r w:rsidR="00E322DF" w:rsidRPr="008A47F8">
        <w:rPr>
          <w:rFonts w:asciiTheme="majorHAnsi" w:hAnsiTheme="majorHAnsi" w:cstheme="majorHAnsi"/>
          <w:color w:val="000000" w:themeColor="text1"/>
        </w:rPr>
        <w:lastRenderedPageBreak/>
        <w:t>Biosciences and Veterinary at URL</w:t>
      </w:r>
      <w:r w:rsidR="00565F82" w:rsidRPr="008A47F8">
        <w:rPr>
          <w:rFonts w:asciiTheme="majorHAnsi" w:hAnsiTheme="majorHAnsi" w:cstheme="majorHAnsi"/>
          <w:color w:val="000000" w:themeColor="text1"/>
        </w:rPr>
        <w:t xml:space="preserve"> </w:t>
      </w:r>
      <w:hyperlink r:id="rId7" w:history="1">
        <w:r w:rsidR="00E322DF" w:rsidRPr="008A47F8">
          <w:rPr>
            <w:rStyle w:val="Hyperlink"/>
            <w:rFonts w:asciiTheme="majorHAnsi" w:hAnsiTheme="majorHAnsi" w:cstheme="majorHAnsi"/>
          </w:rPr>
          <w:t>http://groundvegetationdb-web.com/ground_veg/home/diversity_index</w:t>
        </w:r>
      </w:hyperlink>
      <w:r w:rsidR="00E322DF" w:rsidRPr="008A47F8">
        <w:rPr>
          <w:rFonts w:asciiTheme="majorHAnsi" w:hAnsiTheme="majorHAnsi" w:cstheme="majorHAnsi"/>
          <w:color w:val="000000" w:themeColor="text1"/>
        </w:rPr>
        <w:t xml:space="preserve"> (accessed 24</w:t>
      </w:r>
      <w:r w:rsidR="00E322DF" w:rsidRPr="008A47F8">
        <w:rPr>
          <w:rFonts w:asciiTheme="majorHAnsi" w:hAnsiTheme="majorHAnsi" w:cstheme="majorHAnsi"/>
          <w:color w:val="000000" w:themeColor="text1"/>
          <w:vertAlign w:val="superscript"/>
        </w:rPr>
        <w:t>th</w:t>
      </w:r>
      <w:r w:rsidR="00E322DF" w:rsidRPr="008A47F8">
        <w:rPr>
          <w:rFonts w:asciiTheme="majorHAnsi" w:hAnsiTheme="majorHAnsi" w:cstheme="majorHAnsi"/>
          <w:color w:val="000000" w:themeColor="text1"/>
        </w:rPr>
        <w:t xml:space="preserve"> and 25</w:t>
      </w:r>
      <w:r w:rsidR="00E322DF" w:rsidRPr="008A47F8">
        <w:rPr>
          <w:rFonts w:asciiTheme="majorHAnsi" w:hAnsiTheme="majorHAnsi" w:cstheme="majorHAnsi"/>
          <w:color w:val="000000" w:themeColor="text1"/>
          <w:vertAlign w:val="superscript"/>
        </w:rPr>
        <w:t>th</w:t>
      </w:r>
      <w:r w:rsidR="00E322DF" w:rsidRPr="008A47F8">
        <w:rPr>
          <w:rFonts w:asciiTheme="majorHAnsi" w:hAnsiTheme="majorHAnsi" w:cstheme="majorHAnsi"/>
          <w:color w:val="000000" w:themeColor="text1"/>
        </w:rPr>
        <w:t xml:space="preserve"> Oct 2019). The Fisher’s alpha parameter was </w:t>
      </w:r>
      <w:r w:rsidR="00513A95" w:rsidRPr="008A47F8">
        <w:rPr>
          <w:rFonts w:asciiTheme="majorHAnsi" w:hAnsiTheme="majorHAnsi" w:cstheme="majorHAnsi"/>
          <w:color w:val="000000" w:themeColor="text1"/>
        </w:rPr>
        <w:t xml:space="preserve">originally used as an appropriate fit to empirical data, its wide application, especially in entomological research, has led to a thorough examination of its properties </w:t>
      </w:r>
      <w:r w:rsidR="00E322DF" w:rsidRPr="008A47F8">
        <w:rPr>
          <w:rFonts w:asciiTheme="majorHAnsi" w:hAnsiTheme="majorHAnsi" w:cstheme="majorHAnsi"/>
          <w:color w:val="000000" w:themeColor="text1"/>
        </w:rPr>
        <w:fldChar w:fldCharType="begin" w:fldLock="1"/>
      </w:r>
      <w:r w:rsidR="003F0F57">
        <w:rPr>
          <w:rFonts w:asciiTheme="majorHAnsi" w:hAnsiTheme="majorHAnsi" w:cstheme="majorHAnsi"/>
          <w:color w:val="000000" w:themeColor="text1"/>
        </w:rPr>
        <w:instrText>ADDIN CSL_CITATION {"citationItems":[{"id":"ITEM-1","itemData":{"ISBN":"0632003529","author":[{"dropping-particle":"","family":"TAYLOR","given":"L. R.","non-dropping-particle":"","parse-names":false,"suffix":""}],"edition":"illustrate","editor":[{"dropping-particle":"","family":"Mound","given":"Laurence Alfred","non-dropping-particle":"","parse-names":false,"suffix":""},{"dropping-particle":"","family":"N. Waloff","given":"","non-dropping-particle":"","parse-names":false,"suffix":""}],"id":"ITEM-1","issued":{"date-parts":[["1978"]]},"number-of-pages":"1-18","publisher":"Balckwell, Oxford, Royal Entomological Society, 1978","title":"Diversity of insect faunas (Symposia of the Royal Entomological Society of London)","type":"book"},"uris":["http://www.mendeley.com/documents/?uuid=6bd02a47-8f0c-427a-b4e9-6b15f0bf9482"]}],"mendeley":{"formattedCitation":"&lt;sup&gt;11&lt;/sup&gt;","plainTextFormattedCitation":"11","previouslyFormattedCitation":"&lt;sup&gt;11&lt;/sup&gt;"},"properties":{"noteIndex":0},"schema":"https://github.com/citation-style-language/schema/raw/master/csl-citation.json"}</w:instrText>
      </w:r>
      <w:r w:rsidR="00E322DF" w:rsidRPr="008A47F8">
        <w:rPr>
          <w:rFonts w:asciiTheme="majorHAnsi" w:hAnsiTheme="majorHAnsi" w:cstheme="majorHAnsi"/>
          <w:color w:val="000000" w:themeColor="text1"/>
        </w:rPr>
        <w:fldChar w:fldCharType="separate"/>
      </w:r>
      <w:r w:rsidR="00161A65" w:rsidRPr="008A47F8">
        <w:rPr>
          <w:rFonts w:asciiTheme="majorHAnsi" w:hAnsiTheme="majorHAnsi" w:cstheme="majorHAnsi"/>
          <w:noProof/>
          <w:color w:val="000000" w:themeColor="text1"/>
          <w:vertAlign w:val="superscript"/>
        </w:rPr>
        <w:t>11</w:t>
      </w:r>
      <w:r w:rsidR="00E322DF" w:rsidRPr="008A47F8">
        <w:rPr>
          <w:rFonts w:asciiTheme="majorHAnsi" w:hAnsiTheme="majorHAnsi" w:cstheme="majorHAnsi"/>
          <w:color w:val="000000" w:themeColor="text1"/>
        </w:rPr>
        <w:fldChar w:fldCharType="end"/>
      </w:r>
      <w:r w:rsidR="00565F82" w:rsidRPr="008A47F8">
        <w:rPr>
          <w:rFonts w:asciiTheme="majorHAnsi" w:hAnsiTheme="majorHAnsi" w:cstheme="majorHAnsi"/>
          <w:color w:val="000000" w:themeColor="text1"/>
        </w:rPr>
        <w:t xml:space="preserve">. </w:t>
      </w:r>
      <w:r w:rsidR="00513A95" w:rsidRPr="008A47F8">
        <w:rPr>
          <w:rFonts w:asciiTheme="majorHAnsi" w:hAnsiTheme="majorHAnsi" w:cstheme="majorHAnsi"/>
          <w:color w:val="000000" w:themeColor="text1"/>
        </w:rPr>
        <w:t xml:space="preserve">The small number of abundant species and the large proportion of 'rare' species (the class containing one individual is always the largest) predicted by the log series model suggest that, like the geometric series, it will be most applicable in situations where one or a few factors dominate the ecology of a community. </w:t>
      </w:r>
      <w:r w:rsidR="00565F82" w:rsidRPr="008A47F8">
        <w:rPr>
          <w:rFonts w:asciiTheme="majorHAnsi" w:hAnsiTheme="majorHAnsi" w:cstheme="majorHAnsi"/>
          <w:color w:val="000000" w:themeColor="text1"/>
        </w:rPr>
        <w:t>Thus, w</w:t>
      </w:r>
      <w:r w:rsidR="00E322DF" w:rsidRPr="008A47F8">
        <w:rPr>
          <w:rFonts w:asciiTheme="majorHAnsi" w:hAnsiTheme="majorHAnsi" w:cstheme="majorHAnsi"/>
          <w:color w:val="000000" w:themeColor="text1"/>
        </w:rPr>
        <w:t>e consider</w:t>
      </w:r>
      <w:r w:rsidR="00565F82" w:rsidRPr="008A47F8">
        <w:rPr>
          <w:rFonts w:asciiTheme="majorHAnsi" w:hAnsiTheme="majorHAnsi" w:cstheme="majorHAnsi"/>
          <w:color w:val="000000" w:themeColor="text1"/>
        </w:rPr>
        <w:t xml:space="preserve"> the Fisher’s alpha parameter as a </w:t>
      </w:r>
      <w:r w:rsidR="0044411D" w:rsidRPr="008A47F8">
        <w:rPr>
          <w:rFonts w:asciiTheme="majorHAnsi" w:hAnsiTheme="majorHAnsi" w:cstheme="majorHAnsi"/>
          <w:color w:val="000000" w:themeColor="text1"/>
        </w:rPr>
        <w:t xml:space="preserve">perfect additional </w:t>
      </w:r>
      <w:r w:rsidR="00565F82" w:rsidRPr="008A47F8">
        <w:rPr>
          <w:rFonts w:asciiTheme="majorHAnsi" w:hAnsiTheme="majorHAnsi" w:cstheme="majorHAnsi"/>
          <w:color w:val="000000" w:themeColor="text1"/>
        </w:rPr>
        <w:t>alpha diversity index to the Shannon index for</w:t>
      </w:r>
      <w:r w:rsidR="00E322DF" w:rsidRPr="008A47F8">
        <w:rPr>
          <w:rFonts w:asciiTheme="majorHAnsi" w:hAnsiTheme="majorHAnsi" w:cstheme="majorHAnsi"/>
          <w:color w:val="000000" w:themeColor="text1"/>
        </w:rPr>
        <w:t xml:space="preserve"> any bacterial 16S dataset</w:t>
      </w:r>
      <w:r w:rsidR="00565F82" w:rsidRPr="008A47F8">
        <w:rPr>
          <w:rFonts w:asciiTheme="majorHAnsi" w:hAnsiTheme="majorHAnsi" w:cstheme="majorHAnsi"/>
          <w:color w:val="000000" w:themeColor="text1"/>
        </w:rPr>
        <w:t xml:space="preserve">s which are always dominated by few dominant species and many dominant species. </w:t>
      </w:r>
      <w:r w:rsidR="00EA2B01" w:rsidRPr="008A47F8">
        <w:rPr>
          <w:rFonts w:asciiTheme="majorHAnsi" w:hAnsiTheme="majorHAnsi" w:cstheme="majorHAnsi"/>
          <w:color w:val="000000" w:themeColor="text1"/>
        </w:rPr>
        <w:t xml:space="preserve">The alpha diversity graph and statistical analysis using non-parametric Kruskall-Wallis test was done in GraphPad Prism 7 for Windows.  </w:t>
      </w:r>
    </w:p>
    <w:p w14:paraId="50315C43" w14:textId="51E64350" w:rsidR="00B967D0" w:rsidRPr="008A47F8" w:rsidRDefault="00261BA0" w:rsidP="008A47F8">
      <w:pPr>
        <w:spacing w:line="480" w:lineRule="auto"/>
        <w:rPr>
          <w:rFonts w:asciiTheme="majorHAnsi" w:hAnsiTheme="majorHAnsi" w:cstheme="majorHAnsi"/>
          <w:u w:val="single"/>
        </w:rPr>
      </w:pPr>
      <w:r w:rsidRPr="008A47F8">
        <w:rPr>
          <w:rFonts w:asciiTheme="majorHAnsi" w:hAnsiTheme="majorHAnsi" w:cstheme="majorHAnsi"/>
          <w:u w:val="single"/>
        </w:rPr>
        <w:t>4</w:t>
      </w:r>
      <w:r w:rsidR="00B967D0" w:rsidRPr="008A47F8">
        <w:rPr>
          <w:rFonts w:asciiTheme="majorHAnsi" w:hAnsiTheme="majorHAnsi" w:cstheme="majorHAnsi"/>
          <w:u w:val="single"/>
        </w:rPr>
        <w:t>.4 Beta diversity analysis</w:t>
      </w:r>
    </w:p>
    <w:p w14:paraId="66B15613" w14:textId="76A7FF6C" w:rsidR="00EA6E09" w:rsidRPr="008A47F8" w:rsidRDefault="00B967D0" w:rsidP="008A47F8">
      <w:pPr>
        <w:widowControl w:val="0"/>
        <w:autoSpaceDE w:val="0"/>
        <w:autoSpaceDN w:val="0"/>
        <w:adjustRightInd w:val="0"/>
        <w:spacing w:line="480" w:lineRule="auto"/>
        <w:rPr>
          <w:rFonts w:asciiTheme="majorHAnsi" w:hAnsiTheme="majorHAnsi" w:cstheme="majorHAnsi"/>
          <w:color w:val="000000"/>
          <w:lang w:val="en-US"/>
        </w:rPr>
      </w:pPr>
      <w:r w:rsidRPr="008A47F8">
        <w:rPr>
          <w:rFonts w:asciiTheme="majorHAnsi" w:hAnsiTheme="majorHAnsi" w:cstheme="majorHAnsi"/>
        </w:rPr>
        <w:t>Multivariate beta diversity analysis was performed using PERmutational Multivariate ANalysis Of VAriance (PERMANOVA</w:t>
      </w:r>
      <w:r w:rsidR="006E6399" w:rsidRPr="008A47F8">
        <w:rPr>
          <w:rFonts w:asciiTheme="majorHAnsi" w:hAnsiTheme="majorHAnsi" w:cstheme="majorHAnsi"/>
        </w:rPr>
        <w:t xml:space="preserve">) using in the  </w:t>
      </w:r>
      <w:r w:rsidR="00463B91" w:rsidRPr="008A47F8">
        <w:rPr>
          <w:rFonts w:asciiTheme="majorHAnsi" w:hAnsiTheme="majorHAnsi" w:cstheme="majorHAnsi"/>
        </w:rPr>
        <w:t xml:space="preserve">PAST3 statistical software package, version 3.20 </w:t>
      </w:r>
      <w:r w:rsidR="00463B91" w:rsidRPr="008A47F8">
        <w:rPr>
          <w:rFonts w:asciiTheme="majorHAnsi" w:hAnsiTheme="majorHAnsi" w:cstheme="majorHAnsi"/>
        </w:rPr>
        <w:fldChar w:fldCharType="begin" w:fldLock="1"/>
      </w:r>
      <w:r w:rsidR="003F0F57">
        <w:rPr>
          <w:rFonts w:asciiTheme="majorHAnsi" w:hAnsiTheme="majorHAnsi" w:cstheme="majorHAnsi"/>
        </w:rPr>
        <w:instrText>ADDIN CSL_CITATION {"citationItems":[{"id":"ITEM-1","itemData":{"abstract":"A comprehensive, but simple-to-use software package for executing a range of standard numerical analysis and operations used in quantitative paleontology has been developed. The program, called PAST (PAleontological STatistics), runs on standard Windows computers and is available free of charge. PAST integrates spreadsheet-type data entry with univariate and multivariate statistics, curve fitting, time-series analysis, data plotting, and simple phylogenetic analysis. Many of the functions are specific to paleontology and ecology, and these functions are not found in standard, more extensive, statistical packages. PAST also includes fourteen case studies (data files and exercises) illustrating use of the program for paleontological problems, making it a complete educational package for courses in quantitative methods.","author":[{"dropping-particle":"","family":"Hammer","given":"Øyvind","non-dropping-particle":"","parse-names":false,"suffix":""},{"dropping-particle":"","family":"Harper","given":"David A T","non-dropping-particle":"","parse-names":false,"suffix":""},{"dropping-particle":"","family":"Ryan","given":"Paul D","non-dropping-particle":"","parse-names":false,"suffix":""}],"container-title":"Palaeontologia Electronica","id":"ITEM-1","issue":"1","issued":{"date-parts":[["2001"]]},"page":"1-9","title":"PAST: Paleontological statistics sofware package for education and data analysis","type":"article-journal","volume":"4"},"uris":["http://www.mendeley.com/documents/?uuid=48b6785c-dc29-4f3e-b4a9-e36873cc8dd2"]}],"mendeley":{"formattedCitation":"&lt;sup&gt;12&lt;/sup&gt;","plainTextFormattedCitation":"12","previouslyFormattedCitation":"&lt;sup&gt;12&lt;/sup&gt;"},"properties":{"noteIndex":0},"schema":"https://github.com/citation-style-language/schema/raw/master/csl-citation.json"}</w:instrText>
      </w:r>
      <w:r w:rsidR="00463B91" w:rsidRPr="008A47F8">
        <w:rPr>
          <w:rFonts w:asciiTheme="majorHAnsi" w:hAnsiTheme="majorHAnsi" w:cstheme="majorHAnsi"/>
        </w:rPr>
        <w:fldChar w:fldCharType="separate"/>
      </w:r>
      <w:r w:rsidR="00161A65" w:rsidRPr="008A47F8">
        <w:rPr>
          <w:rFonts w:asciiTheme="majorHAnsi" w:hAnsiTheme="majorHAnsi" w:cstheme="majorHAnsi"/>
          <w:noProof/>
          <w:vertAlign w:val="superscript"/>
        </w:rPr>
        <w:t>12</w:t>
      </w:r>
      <w:r w:rsidR="00463B91" w:rsidRPr="008A47F8">
        <w:rPr>
          <w:rFonts w:asciiTheme="majorHAnsi" w:hAnsiTheme="majorHAnsi" w:cstheme="majorHAnsi"/>
        </w:rPr>
        <w:fldChar w:fldCharType="end"/>
      </w:r>
      <w:r w:rsidR="00463B91" w:rsidRPr="008A47F8">
        <w:rPr>
          <w:rFonts w:asciiTheme="majorHAnsi" w:hAnsiTheme="majorHAnsi" w:cstheme="majorHAnsi"/>
        </w:rPr>
        <w:t xml:space="preserve">, with 999 permutations. </w:t>
      </w:r>
      <w:r w:rsidR="002C3DAB" w:rsidRPr="008A47F8">
        <w:rPr>
          <w:rFonts w:asciiTheme="majorHAnsi" w:hAnsiTheme="majorHAnsi" w:cstheme="majorHAnsi"/>
        </w:rPr>
        <w:t xml:space="preserve">To compare sub-variables within </w:t>
      </w:r>
      <w:r w:rsidR="00463B91" w:rsidRPr="008A47F8">
        <w:rPr>
          <w:rFonts w:asciiTheme="majorHAnsi" w:hAnsiTheme="majorHAnsi" w:cstheme="majorHAnsi"/>
        </w:rPr>
        <w:t>the three age groups (young, middle, and old)</w:t>
      </w:r>
      <w:r w:rsidR="002C3DAB" w:rsidRPr="008A47F8">
        <w:rPr>
          <w:rFonts w:asciiTheme="majorHAnsi" w:hAnsiTheme="majorHAnsi" w:cstheme="majorHAnsi"/>
        </w:rPr>
        <w:t xml:space="preserve"> we used the pairwise PERMANOVA test in the PAST3 statistical software package</w:t>
      </w:r>
      <w:r w:rsidR="00463B91" w:rsidRPr="008A47F8">
        <w:rPr>
          <w:rFonts w:asciiTheme="majorHAnsi" w:hAnsiTheme="majorHAnsi" w:cstheme="majorHAnsi"/>
        </w:rPr>
        <w:t xml:space="preserve">. </w:t>
      </w:r>
      <w:r w:rsidR="00083B79" w:rsidRPr="008A47F8">
        <w:rPr>
          <w:rFonts w:asciiTheme="majorHAnsi" w:hAnsiTheme="majorHAnsi" w:cstheme="majorHAnsi"/>
          <w:color w:val="000000"/>
          <w:lang w:val="en-US"/>
        </w:rPr>
        <w:t xml:space="preserve">The similarity index was set to Bray-Curtis and for the Permutation N: we used the default of 9999. For the pairwise PERMANOVA test we reported the Bonferroni adjusted P value and the F statistic value. </w:t>
      </w:r>
    </w:p>
    <w:p w14:paraId="73FF71A9" w14:textId="0EA91C1B" w:rsidR="00573BB9" w:rsidRPr="008A47F8" w:rsidRDefault="00573BB9" w:rsidP="008A47F8">
      <w:pPr>
        <w:widowControl w:val="0"/>
        <w:autoSpaceDE w:val="0"/>
        <w:autoSpaceDN w:val="0"/>
        <w:adjustRightInd w:val="0"/>
        <w:spacing w:line="480" w:lineRule="auto"/>
        <w:rPr>
          <w:rFonts w:asciiTheme="majorHAnsi" w:hAnsiTheme="majorHAnsi" w:cstheme="majorHAnsi"/>
          <w:u w:val="single"/>
        </w:rPr>
      </w:pPr>
      <w:r w:rsidRPr="008A47F8">
        <w:rPr>
          <w:rFonts w:asciiTheme="majorHAnsi" w:hAnsiTheme="majorHAnsi" w:cstheme="majorHAnsi"/>
          <w:u w:val="single"/>
        </w:rPr>
        <w:t>4.</w:t>
      </w:r>
      <w:r w:rsidR="00797BBB" w:rsidRPr="008A47F8">
        <w:rPr>
          <w:rFonts w:asciiTheme="majorHAnsi" w:hAnsiTheme="majorHAnsi" w:cstheme="majorHAnsi"/>
          <w:u w:val="single"/>
        </w:rPr>
        <w:t>5</w:t>
      </w:r>
      <w:r w:rsidRPr="008A47F8">
        <w:rPr>
          <w:rFonts w:asciiTheme="majorHAnsi" w:hAnsiTheme="majorHAnsi" w:cstheme="majorHAnsi"/>
          <w:u w:val="single"/>
        </w:rPr>
        <w:t xml:space="preserve"> Principal </w:t>
      </w:r>
      <w:r w:rsidR="000128A6" w:rsidRPr="008A47F8">
        <w:rPr>
          <w:rFonts w:asciiTheme="majorHAnsi" w:hAnsiTheme="majorHAnsi" w:cstheme="majorHAnsi"/>
          <w:u w:val="single"/>
        </w:rPr>
        <w:t>Coordinate Analysis</w:t>
      </w:r>
    </w:p>
    <w:p w14:paraId="6752825F" w14:textId="46B33B13" w:rsidR="00B95335" w:rsidRPr="008A47F8" w:rsidRDefault="00573BB9" w:rsidP="008A47F8">
      <w:pPr>
        <w:widowControl w:val="0"/>
        <w:autoSpaceDE w:val="0"/>
        <w:autoSpaceDN w:val="0"/>
        <w:adjustRightInd w:val="0"/>
        <w:spacing w:line="480" w:lineRule="auto"/>
        <w:rPr>
          <w:rFonts w:asciiTheme="majorHAnsi" w:hAnsiTheme="majorHAnsi" w:cstheme="majorHAnsi"/>
        </w:rPr>
      </w:pPr>
      <w:r w:rsidRPr="008A47F8">
        <w:rPr>
          <w:rFonts w:asciiTheme="majorHAnsi" w:hAnsiTheme="majorHAnsi" w:cstheme="majorHAnsi"/>
          <w:color w:val="000000"/>
          <w:lang w:val="en-US"/>
        </w:rPr>
        <w:t xml:space="preserve">For the visualization of microbial compositional differences </w:t>
      </w:r>
      <w:r w:rsidR="00011ADC" w:rsidRPr="008A47F8">
        <w:rPr>
          <w:rFonts w:asciiTheme="majorHAnsi" w:hAnsiTheme="majorHAnsi" w:cstheme="majorHAnsi"/>
          <w:color w:val="000000"/>
          <w:lang w:val="en-US"/>
        </w:rPr>
        <w:t xml:space="preserve">between </w:t>
      </w:r>
      <w:r w:rsidR="000128A6" w:rsidRPr="008A47F8">
        <w:rPr>
          <w:rFonts w:asciiTheme="majorHAnsi" w:hAnsiTheme="majorHAnsi" w:cstheme="majorHAnsi"/>
          <w:color w:val="000000"/>
          <w:lang w:val="en-US"/>
        </w:rPr>
        <w:t xml:space="preserve">environmental </w:t>
      </w:r>
      <w:r w:rsidR="00011ADC" w:rsidRPr="008A47F8">
        <w:rPr>
          <w:rFonts w:asciiTheme="majorHAnsi" w:hAnsiTheme="majorHAnsi" w:cstheme="majorHAnsi"/>
          <w:color w:val="000000"/>
          <w:lang w:val="en-US"/>
        </w:rPr>
        <w:t xml:space="preserve">variables </w:t>
      </w:r>
      <w:r w:rsidR="00011ADC" w:rsidRPr="008A47F8">
        <w:rPr>
          <w:rFonts w:asciiTheme="majorHAnsi" w:hAnsiTheme="majorHAnsi" w:cstheme="majorHAnsi"/>
        </w:rPr>
        <w:t xml:space="preserve">(age group, timepoint, treatment, </w:t>
      </w:r>
      <w:r w:rsidR="000128A6" w:rsidRPr="008A47F8">
        <w:rPr>
          <w:rFonts w:asciiTheme="majorHAnsi" w:hAnsiTheme="majorHAnsi" w:cstheme="majorHAnsi"/>
        </w:rPr>
        <w:t xml:space="preserve">season and </w:t>
      </w:r>
      <w:r w:rsidR="00011ADC" w:rsidRPr="008A47F8">
        <w:rPr>
          <w:rFonts w:asciiTheme="majorHAnsi" w:hAnsiTheme="majorHAnsi" w:cstheme="majorHAnsi"/>
        </w:rPr>
        <w:t xml:space="preserve">geographic location) </w:t>
      </w:r>
      <w:r w:rsidRPr="008A47F8">
        <w:rPr>
          <w:rFonts w:asciiTheme="majorHAnsi" w:hAnsiTheme="majorHAnsi" w:cstheme="majorHAnsi"/>
          <w:color w:val="000000"/>
          <w:lang w:val="en-US"/>
        </w:rPr>
        <w:t xml:space="preserve">we plotted the microbial variances using a </w:t>
      </w:r>
      <w:r w:rsidR="00B95335" w:rsidRPr="008A47F8">
        <w:rPr>
          <w:rFonts w:asciiTheme="majorHAnsi" w:hAnsiTheme="majorHAnsi" w:cstheme="majorHAnsi"/>
          <w:color w:val="000000"/>
          <w:lang w:val="en-US"/>
        </w:rPr>
        <w:t>multivariate method</w:t>
      </w:r>
      <w:r w:rsidRPr="008A47F8">
        <w:rPr>
          <w:rFonts w:asciiTheme="majorHAnsi" w:hAnsiTheme="majorHAnsi" w:cstheme="majorHAnsi"/>
          <w:color w:val="000000"/>
          <w:lang w:val="en-US"/>
        </w:rPr>
        <w:t xml:space="preserve"> called </w:t>
      </w:r>
      <w:r w:rsidR="001E1916" w:rsidRPr="008A47F8">
        <w:rPr>
          <w:rFonts w:asciiTheme="majorHAnsi" w:hAnsiTheme="majorHAnsi" w:cstheme="majorHAnsi"/>
          <w:color w:val="000000"/>
          <w:lang w:val="en-US"/>
        </w:rPr>
        <w:t>Principal</w:t>
      </w:r>
      <w:r w:rsidRPr="008A47F8">
        <w:rPr>
          <w:rFonts w:asciiTheme="majorHAnsi" w:hAnsiTheme="majorHAnsi" w:cstheme="majorHAnsi"/>
          <w:color w:val="000000"/>
          <w:lang w:val="en-US"/>
        </w:rPr>
        <w:t xml:space="preserve"> </w:t>
      </w:r>
      <w:r w:rsidR="00EA6E09" w:rsidRPr="008A47F8">
        <w:rPr>
          <w:rFonts w:asciiTheme="majorHAnsi" w:hAnsiTheme="majorHAnsi" w:cstheme="majorHAnsi"/>
          <w:color w:val="000000"/>
          <w:lang w:val="en-US"/>
        </w:rPr>
        <w:t>Coordinate Analysis (PCoA)</w:t>
      </w:r>
      <w:r w:rsidRPr="008A47F8">
        <w:rPr>
          <w:rFonts w:asciiTheme="majorHAnsi" w:hAnsiTheme="majorHAnsi" w:cstheme="majorHAnsi"/>
          <w:color w:val="000000"/>
          <w:lang w:val="en-US"/>
        </w:rPr>
        <w:t xml:space="preserve"> for taxon </w:t>
      </w:r>
      <w:r w:rsidRPr="008A47F8">
        <w:rPr>
          <w:rFonts w:asciiTheme="majorHAnsi" w:hAnsiTheme="majorHAnsi" w:cstheme="majorHAnsi"/>
          <w:color w:val="000000"/>
          <w:lang w:val="en-US"/>
        </w:rPr>
        <w:lastRenderedPageBreak/>
        <w:t>level “Species</w:t>
      </w:r>
      <w:r w:rsidR="00B95335" w:rsidRPr="008A47F8">
        <w:rPr>
          <w:rFonts w:asciiTheme="majorHAnsi" w:hAnsiTheme="majorHAnsi" w:cstheme="majorHAnsi"/>
          <w:color w:val="000000"/>
          <w:lang w:val="en-US"/>
        </w:rPr>
        <w:t xml:space="preserve">”. For the visualization of microbial differences between the three young, middle, and old age groups, we analyzed the datasets at the Species, Genus, and Family level using PCoA. The PCoA analysis was done </w:t>
      </w:r>
      <w:r w:rsidRPr="008A47F8">
        <w:rPr>
          <w:rFonts w:asciiTheme="majorHAnsi" w:hAnsiTheme="majorHAnsi" w:cstheme="majorHAnsi"/>
          <w:color w:val="000000"/>
          <w:lang w:val="en-US"/>
        </w:rPr>
        <w:t xml:space="preserve">using the </w:t>
      </w:r>
      <w:r w:rsidR="00EA6E09" w:rsidRPr="008A47F8">
        <w:rPr>
          <w:rFonts w:asciiTheme="majorHAnsi" w:hAnsiTheme="majorHAnsi" w:cstheme="majorHAnsi"/>
        </w:rPr>
        <w:t xml:space="preserve">online web portal Calypso </w:t>
      </w:r>
      <w:r w:rsidR="00EA6E09" w:rsidRPr="008A47F8">
        <w:rPr>
          <w:rFonts w:asciiTheme="majorHAnsi" w:hAnsiTheme="majorHAnsi" w:cstheme="majorHAnsi"/>
          <w:color w:val="333333"/>
          <w:shd w:val="clear" w:color="auto" w:fill="FFFFFF"/>
        </w:rPr>
        <w:t xml:space="preserve">version: 8.84 </w:t>
      </w:r>
      <w:r w:rsidR="00EA6E09" w:rsidRPr="008A47F8">
        <w:rPr>
          <w:rFonts w:asciiTheme="majorHAnsi" w:hAnsiTheme="majorHAnsi" w:cstheme="majorHAnsi"/>
        </w:rPr>
        <w:fldChar w:fldCharType="begin" w:fldLock="1"/>
      </w:r>
      <w:r w:rsidR="003F0F57">
        <w:rPr>
          <w:rFonts w:asciiTheme="majorHAnsi" w:hAnsiTheme="majorHAnsi" w:cstheme="majorHAnsi"/>
        </w:rPr>
        <w:instrText>ADDIN CSL_CITATION {"citationItems":[{"id":"ITEM-1","itemData":{"DOI":"10.1093/bioinformatics/btw725","ISSN":"1367-4803","abstract":"Calypso is an easy-to-use online software suite that allows non-expert users to mine, interpret and compare taxonomic information from metagenomic or 16S rDNA datasets. Calypso has a focus on multivariate statistical approaches that can identify complex environment-microbiome associations. The software enables quantitative visualizations, statistical testing, multivariate analysis, supervised learning, factor analysis, multivariable regression, network analysis and diversity estimates. Comprehensive help pages, tutorials and videos are provided via a wiki page.","author":[{"dropping-particle":"","family":"Zakrzewski","given":"Martha","non-dropping-particle":"","parse-names":false,"suffix":""},{"dropping-particle":"","family":"Proietti","given":"Carla","non-dropping-particle":"","parse-names":false,"suffix":""},{"dropping-particle":"","family":"Ellis","given":"Jonathan J.","non-dropping-particle":"","parse-names":false,"suffix":""},{"dropping-particle":"","family":"Hasan","given":"Shihab","non-dropping-particle":"","parse-names":false,"suffix":""},{"dropping-particle":"","family":"Brion","given":"Marie-Jo","non-dropping-particle":"","parse-names":false,"suffix":""},{"dropping-particle":"","family":"Berger","given":"Bernard","non-dropping-particle":"","parse-names":false,"suffix":""},{"dropping-particle":"","family":"Krause","given":"Lutz","non-dropping-particle":"","parse-names":false,"suffix":""}],"container-title":"Bioinformatics","id":"ITEM-1","issue":"5","issued":{"date-parts":[["2017","12","24"]]},"page":"782-783","title":"Calypso: a user-friendly web-server for mining and visualizing microbiome–environment interactions","type":"article-journal","volume":"33"},"uris":["http://www.mendeley.com/documents/?uuid=6ee8f08e-eb81-4f0a-9152-2323fb5bddcf"]}],"mendeley":{"formattedCitation":"&lt;sup&gt;9&lt;/sup&gt;","plainTextFormattedCitation":"9","previouslyFormattedCitation":"&lt;sup&gt;9&lt;/sup&gt;"},"properties":{"noteIndex":0},"schema":"https://github.com/citation-style-language/schema/raw/master/csl-citation.json"}</w:instrText>
      </w:r>
      <w:r w:rsidR="00EA6E09" w:rsidRPr="008A47F8">
        <w:rPr>
          <w:rFonts w:asciiTheme="majorHAnsi" w:hAnsiTheme="majorHAnsi" w:cstheme="majorHAnsi"/>
        </w:rPr>
        <w:fldChar w:fldCharType="separate"/>
      </w:r>
      <w:r w:rsidR="00161A65" w:rsidRPr="008A47F8">
        <w:rPr>
          <w:rFonts w:asciiTheme="majorHAnsi" w:hAnsiTheme="majorHAnsi" w:cstheme="majorHAnsi"/>
          <w:noProof/>
          <w:vertAlign w:val="superscript"/>
        </w:rPr>
        <w:t>9</w:t>
      </w:r>
      <w:r w:rsidR="00EA6E09" w:rsidRPr="008A47F8">
        <w:rPr>
          <w:rFonts w:asciiTheme="majorHAnsi" w:hAnsiTheme="majorHAnsi" w:cstheme="majorHAnsi"/>
        </w:rPr>
        <w:fldChar w:fldCharType="end"/>
      </w:r>
      <w:r w:rsidR="00011ADC" w:rsidRPr="008A47F8">
        <w:rPr>
          <w:rFonts w:asciiTheme="majorHAnsi" w:hAnsiTheme="majorHAnsi" w:cstheme="majorHAnsi"/>
          <w:color w:val="000000"/>
          <w:lang w:val="en-US"/>
        </w:rPr>
        <w:t>.</w:t>
      </w:r>
      <w:r w:rsidR="000128A6" w:rsidRPr="008A47F8">
        <w:rPr>
          <w:rFonts w:asciiTheme="majorHAnsi" w:hAnsiTheme="majorHAnsi" w:cstheme="majorHAnsi"/>
          <w:color w:val="000000" w:themeColor="text1"/>
          <w:lang w:val="en-US"/>
        </w:rPr>
        <w:t xml:space="preserve"> </w:t>
      </w:r>
      <w:r w:rsidR="000128A6" w:rsidRPr="008A47F8">
        <w:rPr>
          <w:rFonts w:asciiTheme="majorHAnsi" w:hAnsiTheme="majorHAnsi" w:cstheme="majorHAnsi"/>
        </w:rPr>
        <w:t xml:space="preserve">The PCoA was done on the Bray-Curtis matrix (default settings in Calypso). </w:t>
      </w:r>
      <w:r w:rsidR="00F9669A" w:rsidRPr="008A47F8">
        <w:rPr>
          <w:rFonts w:asciiTheme="majorHAnsi" w:hAnsiTheme="majorHAnsi" w:cstheme="majorHAnsi"/>
        </w:rPr>
        <w:t>For PCoA the absolute abundances were transformed to relative abundance using total sum scaling (TSS). Then the TSS dataset was</w:t>
      </w:r>
      <w:r w:rsidR="00F9669A" w:rsidRPr="008A47F8">
        <w:rPr>
          <w:rStyle w:val="apple-converted-space"/>
          <w:rFonts w:asciiTheme="majorHAnsi" w:hAnsiTheme="majorHAnsi" w:cstheme="majorHAnsi"/>
        </w:rPr>
        <w:t xml:space="preserve"> normalised using cumulative-sum scaling (CSS), a widely used method for normalizing microbial community compositional data. CSS correct for biases introduced by TSS  </w:t>
      </w:r>
      <w:r w:rsidR="00F9669A" w:rsidRPr="008A47F8">
        <w:rPr>
          <w:rStyle w:val="apple-converted-space"/>
          <w:rFonts w:asciiTheme="majorHAnsi" w:hAnsiTheme="majorHAnsi" w:cstheme="majorHAnsi"/>
        </w:rPr>
        <w:fldChar w:fldCharType="begin" w:fldLock="1"/>
      </w:r>
      <w:r w:rsidR="003F0F57">
        <w:rPr>
          <w:rStyle w:val="apple-converted-space"/>
          <w:rFonts w:asciiTheme="majorHAnsi" w:hAnsiTheme="majorHAnsi" w:cstheme="majorHAnsi"/>
        </w:rPr>
        <w:instrText>ADDIN CSL_CITATION {"citationItems":[{"id":"ITEM-1","itemData":{"DOI":"10.1016/j.biotechadv.2011.08.021.Secreted","ISBN":"2122633255","ISSN":"15378276","PMID":"1000000221","abstract":"We introduce a novel methodology for differential abundance analysis in sparse high-throughput marker gene survey data. Our approach, implemented in the metagenomeSeq Bioconductor package, relies on a novel normalization technique and a statistical model that accounts for under-sampling: a common feature of large-scale marker gene studies. We show, using simulated data and several published microbiota datasets, that metagenomeSeq outperforms the tools currently used in this field.","author":[{"dropping-particle":"","family":"Paulson","given":"Joseph Nathaniel","non-dropping-particle":"","parse-names":false,"suffix":""},{"dropping-particle":"","family":"Talukder","given":"Hisham","non-dropping-particle":"","parse-names":false,"suffix":""},{"dropping-particle":"","family":"Pop","given":"Mihai","non-dropping-particle":"","parse-names":false,"suffix":""},{"dropping-particle":"","family":"Bravo","given":"Hector Corrada","non-dropping-particle":"","parse-names":false,"suffix":""}],"container-title":"Nature Methods","id":"ITEM-1","issue":"12","issued":{"date-parts":[["2013"]]},"page":"1200-1202","title":"Robust methods for differential abundance analysis in marker gene surveys","type":"article-journal","volume":"10"},"uris":["http://www.mendeley.com/documents/?uuid=cb4627bd-051a-4856-932a-53f1e869ca1b"]}],"mendeley":{"formattedCitation":"&lt;sup&gt;13&lt;/sup&gt;","plainTextFormattedCitation":"13","previouslyFormattedCitation":"&lt;sup&gt;13&lt;/sup&gt;"},"properties":{"noteIndex":0},"schema":"https://github.com/citation-style-language/schema/raw/master/csl-citation.json"}</w:instrText>
      </w:r>
      <w:r w:rsidR="00F9669A" w:rsidRPr="008A47F8">
        <w:rPr>
          <w:rStyle w:val="apple-converted-space"/>
          <w:rFonts w:asciiTheme="majorHAnsi" w:hAnsiTheme="majorHAnsi" w:cstheme="majorHAnsi"/>
        </w:rPr>
        <w:fldChar w:fldCharType="separate"/>
      </w:r>
      <w:r w:rsidR="00161A65" w:rsidRPr="008A47F8">
        <w:rPr>
          <w:rStyle w:val="apple-converted-space"/>
          <w:rFonts w:asciiTheme="majorHAnsi" w:hAnsiTheme="majorHAnsi" w:cstheme="majorHAnsi"/>
          <w:noProof/>
          <w:vertAlign w:val="superscript"/>
        </w:rPr>
        <w:t>13</w:t>
      </w:r>
      <w:r w:rsidR="00F9669A" w:rsidRPr="008A47F8">
        <w:rPr>
          <w:rStyle w:val="apple-converted-space"/>
          <w:rFonts w:asciiTheme="majorHAnsi" w:hAnsiTheme="majorHAnsi" w:cstheme="majorHAnsi"/>
        </w:rPr>
        <w:fldChar w:fldCharType="end"/>
      </w:r>
      <w:r w:rsidR="00F9669A" w:rsidRPr="008A47F8">
        <w:rPr>
          <w:rStyle w:val="apple-converted-space"/>
          <w:rFonts w:asciiTheme="majorHAnsi" w:hAnsiTheme="majorHAnsi" w:cstheme="majorHAnsi"/>
        </w:rPr>
        <w:t xml:space="preserve">. </w:t>
      </w:r>
      <w:r w:rsidR="001E1916" w:rsidRPr="008A47F8">
        <w:rPr>
          <w:rStyle w:val="apple-converted-space"/>
          <w:rFonts w:asciiTheme="majorHAnsi" w:hAnsiTheme="majorHAnsi" w:cstheme="majorHAnsi"/>
        </w:rPr>
        <w:t>The CSS selection</w:t>
      </w:r>
      <w:r w:rsidR="00F9669A" w:rsidRPr="008A47F8">
        <w:rPr>
          <w:rStyle w:val="apple-converted-space"/>
          <w:rFonts w:asciiTheme="majorHAnsi" w:hAnsiTheme="majorHAnsi" w:cstheme="majorHAnsi"/>
        </w:rPr>
        <w:t xml:space="preserve"> automatically performs a log2 transformation to account for the non-normal distribution of taxonomic counts data</w:t>
      </w:r>
      <w:r w:rsidR="00910936" w:rsidRPr="008A47F8">
        <w:rPr>
          <w:rStyle w:val="apple-converted-space"/>
          <w:rFonts w:asciiTheme="majorHAnsi" w:hAnsiTheme="majorHAnsi" w:cstheme="majorHAnsi"/>
        </w:rPr>
        <w:t xml:space="preserve">. </w:t>
      </w:r>
    </w:p>
    <w:p w14:paraId="4F06B79E" w14:textId="12C4D6EC" w:rsidR="000128A6" w:rsidRPr="008A47F8" w:rsidRDefault="00910936" w:rsidP="008A47F8">
      <w:pPr>
        <w:widowControl w:val="0"/>
        <w:tabs>
          <w:tab w:val="left" w:pos="1027"/>
        </w:tabs>
        <w:autoSpaceDE w:val="0"/>
        <w:autoSpaceDN w:val="0"/>
        <w:adjustRightInd w:val="0"/>
        <w:spacing w:line="480" w:lineRule="auto"/>
        <w:rPr>
          <w:rFonts w:asciiTheme="majorHAnsi" w:hAnsiTheme="majorHAnsi" w:cstheme="majorHAnsi"/>
          <w:u w:val="single"/>
        </w:rPr>
      </w:pPr>
      <w:r w:rsidRPr="008A47F8">
        <w:rPr>
          <w:rFonts w:asciiTheme="majorHAnsi" w:hAnsiTheme="majorHAnsi" w:cstheme="majorHAnsi"/>
          <w:u w:val="single"/>
        </w:rPr>
        <w:t>4.</w:t>
      </w:r>
      <w:r w:rsidR="00797BBB" w:rsidRPr="008A47F8">
        <w:rPr>
          <w:rFonts w:asciiTheme="majorHAnsi" w:hAnsiTheme="majorHAnsi" w:cstheme="majorHAnsi"/>
          <w:u w:val="single"/>
        </w:rPr>
        <w:t>6</w:t>
      </w:r>
      <w:r w:rsidRPr="008A47F8">
        <w:rPr>
          <w:rFonts w:asciiTheme="majorHAnsi" w:hAnsiTheme="majorHAnsi" w:cstheme="majorHAnsi"/>
          <w:u w:val="single"/>
        </w:rPr>
        <w:t xml:space="preserve"> Data plotting</w:t>
      </w:r>
    </w:p>
    <w:p w14:paraId="787D97BE" w14:textId="77777777" w:rsidR="00251E71" w:rsidRPr="008A47F8" w:rsidRDefault="00910936" w:rsidP="008A47F8">
      <w:pPr>
        <w:widowControl w:val="0"/>
        <w:tabs>
          <w:tab w:val="left" w:pos="1027"/>
        </w:tabs>
        <w:autoSpaceDE w:val="0"/>
        <w:autoSpaceDN w:val="0"/>
        <w:adjustRightInd w:val="0"/>
        <w:spacing w:line="480" w:lineRule="auto"/>
        <w:rPr>
          <w:rFonts w:asciiTheme="majorHAnsi" w:hAnsiTheme="majorHAnsi" w:cstheme="majorHAnsi"/>
        </w:rPr>
      </w:pPr>
      <w:r w:rsidRPr="008A47F8">
        <w:rPr>
          <w:rFonts w:asciiTheme="majorHAnsi" w:hAnsiTheme="majorHAnsi" w:cstheme="majorHAnsi"/>
        </w:rPr>
        <w:t xml:space="preserve">Data were plotted in GraphPad Prism 7.00 for Windows or using Mac Numbers (v 6.2.1). </w:t>
      </w:r>
    </w:p>
    <w:p w14:paraId="59A1BE21" w14:textId="125AE479" w:rsidR="00FA75DE" w:rsidRPr="008A47F8" w:rsidRDefault="00910936" w:rsidP="008A47F8">
      <w:pPr>
        <w:widowControl w:val="0"/>
        <w:tabs>
          <w:tab w:val="left" w:pos="1027"/>
        </w:tabs>
        <w:autoSpaceDE w:val="0"/>
        <w:autoSpaceDN w:val="0"/>
        <w:adjustRightInd w:val="0"/>
        <w:spacing w:line="480" w:lineRule="auto"/>
        <w:rPr>
          <w:rStyle w:val="apple-converted-space"/>
          <w:rFonts w:asciiTheme="majorHAnsi" w:hAnsiTheme="majorHAnsi" w:cstheme="majorHAnsi"/>
        </w:rPr>
      </w:pPr>
      <w:r w:rsidRPr="008A47F8">
        <w:rPr>
          <w:rFonts w:asciiTheme="majorHAnsi" w:hAnsiTheme="majorHAnsi" w:cstheme="majorHAnsi"/>
        </w:rPr>
        <w:t xml:space="preserve">Figures were compiled in Mac Keynote (v 9.2.1). </w:t>
      </w:r>
      <w:r w:rsidR="00582B09" w:rsidRPr="008A47F8">
        <w:rPr>
          <w:rStyle w:val="apple-converted-space"/>
          <w:rFonts w:asciiTheme="majorHAnsi" w:hAnsiTheme="majorHAnsi" w:cstheme="majorHAnsi"/>
        </w:rPr>
        <w:t xml:space="preserve">The top 22 Species, </w:t>
      </w:r>
      <w:r w:rsidR="007F608A" w:rsidRPr="008A47F8">
        <w:rPr>
          <w:rStyle w:val="apple-converted-space"/>
          <w:rFonts w:asciiTheme="majorHAnsi" w:hAnsiTheme="majorHAnsi" w:cstheme="majorHAnsi"/>
        </w:rPr>
        <w:t xml:space="preserve">top </w:t>
      </w:r>
      <w:r w:rsidR="00582B09" w:rsidRPr="008A47F8">
        <w:rPr>
          <w:rStyle w:val="apple-converted-space"/>
          <w:rFonts w:asciiTheme="majorHAnsi" w:hAnsiTheme="majorHAnsi" w:cstheme="majorHAnsi"/>
        </w:rPr>
        <w:t xml:space="preserve">26 Genus, and </w:t>
      </w:r>
      <w:r w:rsidR="007F608A" w:rsidRPr="008A47F8">
        <w:rPr>
          <w:rStyle w:val="apple-converted-space"/>
          <w:rFonts w:asciiTheme="majorHAnsi" w:hAnsiTheme="majorHAnsi" w:cstheme="majorHAnsi"/>
        </w:rPr>
        <w:t xml:space="preserve">top </w:t>
      </w:r>
      <w:r w:rsidR="00582B09" w:rsidRPr="008A47F8">
        <w:rPr>
          <w:rStyle w:val="apple-converted-space"/>
          <w:rFonts w:asciiTheme="majorHAnsi" w:hAnsiTheme="majorHAnsi" w:cstheme="majorHAnsi"/>
        </w:rPr>
        <w:t xml:space="preserve">18 Families with a minimum abundance of 0.5% across all samples were plotted for the young, middle and old age groups next to the corresponding PCoA plot in </w:t>
      </w:r>
      <w:r w:rsidR="00582B09" w:rsidRPr="008A47F8">
        <w:rPr>
          <w:rStyle w:val="apple-converted-space"/>
          <w:rFonts w:asciiTheme="majorHAnsi" w:hAnsiTheme="majorHAnsi" w:cstheme="majorHAnsi"/>
          <w:b/>
          <w:bCs/>
        </w:rPr>
        <w:t>Figure 2.</w:t>
      </w:r>
      <w:r w:rsidR="00582B09" w:rsidRPr="008A47F8">
        <w:rPr>
          <w:rStyle w:val="apple-converted-space"/>
          <w:rFonts w:asciiTheme="majorHAnsi" w:hAnsiTheme="majorHAnsi" w:cstheme="majorHAnsi"/>
        </w:rPr>
        <w:t xml:space="preserve"> </w:t>
      </w:r>
    </w:p>
    <w:p w14:paraId="59C7C637" w14:textId="33BE3A6B" w:rsidR="00B95335" w:rsidRPr="008A47F8" w:rsidRDefault="0098331A" w:rsidP="008A47F8">
      <w:pPr>
        <w:widowControl w:val="0"/>
        <w:autoSpaceDE w:val="0"/>
        <w:autoSpaceDN w:val="0"/>
        <w:adjustRightInd w:val="0"/>
        <w:spacing w:line="480" w:lineRule="auto"/>
        <w:rPr>
          <w:rStyle w:val="apple-converted-space"/>
          <w:rFonts w:asciiTheme="majorHAnsi" w:hAnsiTheme="majorHAnsi" w:cstheme="majorHAnsi"/>
        </w:rPr>
      </w:pPr>
      <w:r w:rsidRPr="008A47F8">
        <w:rPr>
          <w:rStyle w:val="apple-converted-space"/>
          <w:rFonts w:asciiTheme="majorHAnsi" w:hAnsiTheme="majorHAnsi" w:cstheme="majorHAnsi"/>
        </w:rPr>
        <w:t xml:space="preserve">We also plotted the top 10 species with a minimum abundance of 1% across all samples which were significantly associated with age in the </w:t>
      </w:r>
      <w:r w:rsidR="00303BCC" w:rsidRPr="008A47F8">
        <w:rPr>
          <w:rStyle w:val="apple-converted-space"/>
          <w:rFonts w:asciiTheme="majorHAnsi" w:hAnsiTheme="majorHAnsi" w:cstheme="majorHAnsi"/>
        </w:rPr>
        <w:t>three-age</w:t>
      </w:r>
      <w:r w:rsidRPr="008A47F8">
        <w:rPr>
          <w:rStyle w:val="apple-converted-space"/>
          <w:rFonts w:asciiTheme="majorHAnsi" w:hAnsiTheme="majorHAnsi" w:cstheme="majorHAnsi"/>
        </w:rPr>
        <w:t xml:space="preserve"> group analysis (young, middle, and old) and in the </w:t>
      </w:r>
      <w:r w:rsidR="004749DE" w:rsidRPr="008A47F8">
        <w:rPr>
          <w:rStyle w:val="apple-converted-space"/>
          <w:rFonts w:asciiTheme="majorHAnsi" w:hAnsiTheme="majorHAnsi" w:cstheme="majorHAnsi"/>
        </w:rPr>
        <w:t>11-age</w:t>
      </w:r>
      <w:r w:rsidRPr="008A47F8">
        <w:rPr>
          <w:rStyle w:val="apple-converted-space"/>
          <w:rFonts w:asciiTheme="majorHAnsi" w:hAnsiTheme="majorHAnsi" w:cstheme="majorHAnsi"/>
        </w:rPr>
        <w:t xml:space="preserve"> group analysis separated by three months interval (</w:t>
      </w:r>
      <w:r w:rsidRPr="008A47F8">
        <w:rPr>
          <w:rStyle w:val="apple-converted-space"/>
          <w:rFonts w:asciiTheme="majorHAnsi" w:hAnsiTheme="majorHAnsi" w:cstheme="majorHAnsi"/>
          <w:b/>
          <w:bCs/>
        </w:rPr>
        <w:t xml:space="preserve">Figure </w:t>
      </w:r>
      <w:r w:rsidR="004749DE" w:rsidRPr="008A47F8">
        <w:rPr>
          <w:rStyle w:val="apple-converted-space"/>
          <w:rFonts w:asciiTheme="majorHAnsi" w:hAnsiTheme="majorHAnsi" w:cstheme="majorHAnsi"/>
          <w:b/>
          <w:bCs/>
        </w:rPr>
        <w:t>3</w:t>
      </w:r>
      <w:r w:rsidRPr="008A47F8">
        <w:rPr>
          <w:rStyle w:val="apple-converted-space"/>
          <w:rFonts w:asciiTheme="majorHAnsi" w:hAnsiTheme="majorHAnsi" w:cstheme="majorHAnsi"/>
        </w:rPr>
        <w:t>).</w:t>
      </w:r>
      <w:r w:rsidR="007F608A" w:rsidRPr="008A47F8">
        <w:rPr>
          <w:rStyle w:val="apple-converted-space"/>
          <w:rFonts w:asciiTheme="majorHAnsi" w:hAnsiTheme="majorHAnsi" w:cstheme="majorHAnsi"/>
        </w:rPr>
        <w:t xml:space="preserve"> The P value shown in </w:t>
      </w:r>
      <w:r w:rsidR="007F608A" w:rsidRPr="008A47F8">
        <w:rPr>
          <w:rStyle w:val="apple-converted-space"/>
          <w:rFonts w:asciiTheme="majorHAnsi" w:hAnsiTheme="majorHAnsi" w:cstheme="majorHAnsi"/>
          <w:b/>
          <w:bCs/>
        </w:rPr>
        <w:t xml:space="preserve">Figure 3 </w:t>
      </w:r>
      <w:r w:rsidR="007F608A" w:rsidRPr="008A47F8">
        <w:rPr>
          <w:rStyle w:val="apple-converted-space"/>
          <w:rFonts w:asciiTheme="majorHAnsi" w:hAnsiTheme="majorHAnsi" w:cstheme="majorHAnsi"/>
        </w:rPr>
        <w:t xml:space="preserve">were obtained from the non-parametric Kruskal-Wallis rank test. </w:t>
      </w:r>
    </w:p>
    <w:p w14:paraId="0E3565CC" w14:textId="13251C6F" w:rsidR="00AF7C1C" w:rsidRPr="008A47F8" w:rsidRDefault="001E1916" w:rsidP="008A47F8">
      <w:pPr>
        <w:spacing w:line="480" w:lineRule="auto"/>
        <w:rPr>
          <w:rFonts w:asciiTheme="majorHAnsi" w:hAnsiTheme="majorHAnsi" w:cstheme="majorHAnsi"/>
          <w:u w:val="single"/>
          <w:lang w:eastAsia="ja-JP"/>
        </w:rPr>
      </w:pPr>
      <w:r w:rsidRPr="008A47F8">
        <w:rPr>
          <w:rFonts w:asciiTheme="majorHAnsi" w:hAnsiTheme="majorHAnsi" w:cstheme="majorHAnsi"/>
          <w:u w:val="single"/>
          <w:lang w:eastAsia="ja-JP"/>
        </w:rPr>
        <w:t>4.7 Statistical analysis</w:t>
      </w:r>
    </w:p>
    <w:p w14:paraId="4B43404E" w14:textId="4892CC8C" w:rsidR="001E1916" w:rsidRPr="008A47F8" w:rsidRDefault="001E1916" w:rsidP="008A47F8">
      <w:pPr>
        <w:pStyle w:val="NormalWeb"/>
        <w:spacing w:before="0" w:beforeAutospacing="0" w:after="0" w:afterAutospacing="0" w:line="480" w:lineRule="auto"/>
        <w:rPr>
          <w:rFonts w:asciiTheme="majorHAnsi" w:hAnsiTheme="majorHAnsi" w:cstheme="majorHAnsi"/>
          <w:lang w:eastAsia="ja-JP"/>
        </w:rPr>
      </w:pPr>
      <w:r w:rsidRPr="008A47F8">
        <w:rPr>
          <w:rFonts w:asciiTheme="majorHAnsi" w:hAnsiTheme="majorHAnsi" w:cstheme="majorHAnsi"/>
          <w:lang w:eastAsia="ja-JP"/>
        </w:rPr>
        <w:t xml:space="preserve">Statistical analysis was either performed in R, PAST4 or in Calypso Web portal for the ANCOM test and ALDEx2 test. The non-parametric Kruskal-Wallis rank sum test was used to identify significantly differentially abundant bacterial taxon in the 11 three-months age groups. The P value was corrected using the False Discovery Rate method. The Permanova Test was conducted in PAST4 </w:t>
      </w:r>
      <w:r w:rsidRPr="008A47F8">
        <w:rPr>
          <w:rFonts w:asciiTheme="majorHAnsi" w:hAnsiTheme="majorHAnsi" w:cstheme="majorHAnsi"/>
          <w:lang w:eastAsia="ja-JP"/>
        </w:rPr>
        <w:fldChar w:fldCharType="begin" w:fldLock="1"/>
      </w:r>
      <w:r w:rsidR="003F0F57">
        <w:rPr>
          <w:rFonts w:asciiTheme="majorHAnsi" w:hAnsiTheme="majorHAnsi" w:cstheme="majorHAnsi"/>
          <w:lang w:eastAsia="ja-JP"/>
        </w:rPr>
        <w:instrText>ADDIN CSL_CITATION {"citationItems":[{"id":"ITEM-1","itemData":{"abstract":"A comprehensive, but simple-to-use software package for executing a range of standard numerical analysis and operations used in quantitative paleontology has been developed. The program, called PAST (PAleontological STatistics), runs on standard Windows computers and is available free of charge. PAST integrates spreadsheet-type data entry with univariate and multivariate statistics, curve fitting, time-series analysis, data plotting, and simple phylogenetic analysis. Many of the functions are specific to paleontology and ecology, and these functions are not found in standard, more extensive, statistical packages. PAST also includes fourteen case studies (data files and exercises) illustrating use of the program for paleontological problems, making it a complete educational package for courses in quantitative methods.","author":[{"dropping-particle":"","family":"Hammer","given":"Øyvind","non-dropping-particle":"","parse-names":false,"suffix":""},{"dropping-particle":"","family":"Harper","given":"David A T","non-dropping-particle":"","parse-names":false,"suffix":""},{"dropping-particle":"","family":"Ryan","given":"Paul D","non-dropping-particle":"","parse-names":false,"suffix":""}],"container-title":"Palaeontologia Electronica","id":"ITEM-1","issue":"1","issued":{"date-parts":[["2001"]]},"page":"1-9","title":"PAST: Paleontological statistics sofware package for education and data analysis","type":"article-journal","volume":"4"},"uris":["http://www.mendeley.com/documents/?uuid=48b6785c-dc29-4f3e-b4a9-e36873cc8dd2"]}],"mendeley":{"formattedCitation":"&lt;sup&gt;12&lt;/sup&gt;","plainTextFormattedCitation":"12","previouslyFormattedCitation":"&lt;sup&gt;12&lt;/sup&gt;"},"properties":{"noteIndex":0},"schema":"https://github.com/citation-style-language/schema/raw/master/csl-citation.json"}</w:instrText>
      </w:r>
      <w:r w:rsidRPr="008A47F8">
        <w:rPr>
          <w:rFonts w:asciiTheme="majorHAnsi" w:hAnsiTheme="majorHAnsi" w:cstheme="majorHAnsi"/>
          <w:lang w:eastAsia="ja-JP"/>
        </w:rPr>
        <w:fldChar w:fldCharType="separate"/>
      </w:r>
      <w:r w:rsidR="00161A65" w:rsidRPr="008A47F8">
        <w:rPr>
          <w:rFonts w:asciiTheme="majorHAnsi" w:hAnsiTheme="majorHAnsi" w:cstheme="majorHAnsi"/>
          <w:noProof/>
          <w:vertAlign w:val="superscript"/>
          <w:lang w:eastAsia="ja-JP"/>
        </w:rPr>
        <w:t>12</w:t>
      </w:r>
      <w:r w:rsidRPr="008A47F8">
        <w:rPr>
          <w:rFonts w:asciiTheme="majorHAnsi" w:hAnsiTheme="majorHAnsi" w:cstheme="majorHAnsi"/>
          <w:lang w:eastAsia="ja-JP"/>
        </w:rPr>
        <w:fldChar w:fldCharType="end"/>
      </w:r>
      <w:r w:rsidRPr="008A47F8">
        <w:rPr>
          <w:rFonts w:asciiTheme="majorHAnsi" w:hAnsiTheme="majorHAnsi" w:cstheme="majorHAnsi"/>
          <w:lang w:eastAsia="ja-JP"/>
        </w:rPr>
        <w:t xml:space="preserve"> and the ANCOM and ALDEx2 test in Calypso version 8.84 </w:t>
      </w:r>
      <w:r w:rsidRPr="008A47F8">
        <w:rPr>
          <w:rFonts w:asciiTheme="majorHAnsi" w:hAnsiTheme="majorHAnsi" w:cstheme="majorHAnsi"/>
          <w:lang w:eastAsia="ja-JP"/>
        </w:rPr>
        <w:fldChar w:fldCharType="begin" w:fldLock="1"/>
      </w:r>
      <w:r w:rsidR="003F0F57">
        <w:rPr>
          <w:rFonts w:asciiTheme="majorHAnsi" w:hAnsiTheme="majorHAnsi" w:cstheme="majorHAnsi"/>
          <w:lang w:eastAsia="ja-JP"/>
        </w:rPr>
        <w:instrText>ADDIN CSL_CITATION {"citationItems":[{"id":"ITEM-1","itemData":{"DOI":"10.1093/bioinformatics/btw725","ISSN":"1367-4803","abstract":"Calypso is an easy-to-use online software suite that allows non-expert users to mine, interpret and compare taxonomic information from metagenomic or 16S rDNA datasets. Calypso has a focus on multivariate statistical approaches that can identify complex environment-microbiome associations. The software enables quantitative visualizations, statistical testing, multivariate analysis, supervised learning, factor analysis, multivariable regression, network analysis and diversity estimates. Comprehensive help pages, tutorials and videos are provided via a wiki page.","author":[{"dropping-particle":"","family":"Zakrzewski","given":"Martha","non-dropping-particle":"","parse-names":false,"suffix":""},{"dropping-particle":"","family":"Proietti","given":"Carla","non-dropping-particle":"","parse-names":false,"suffix":""},{"dropping-particle":"","family":"Ellis","given":"Jonathan J.","non-dropping-particle":"","parse-names":false,"suffix":""},{"dropping-particle":"","family":"Hasan","given":"Shihab","non-dropping-particle":"","parse-names":false,"suffix":""},{"dropping-particle":"","family":"Brion","given":"Marie-Jo","non-dropping-particle":"","parse-names":false,"suffix":""},{"dropping-particle":"","family":"Berger","given":"Bernard","non-dropping-particle":"","parse-names":false,"suffix":""},{"dropping-particle":"","family":"Krause","given":"Lutz","non-dropping-particle":"","parse-names":false,"suffix":""}],"container-title":"Bioinformatics","id":"ITEM-1","issue":"5","issued":{"date-parts":[["2017","12","24"]]},"page":"782-783","title":"Calypso: a user-friendly web-server for mining and visualizing microbiome–environment interactions","type":"article-journal","volume":"33"},"uris":["http://www.mendeley.com/documents/?uuid=6ee8f08e-eb81-4f0a-9152-2323fb5bddcf"]}],"mendeley":{"formattedCitation":"&lt;sup&gt;9&lt;/sup&gt;","plainTextFormattedCitation":"9","previouslyFormattedCitation":"&lt;sup&gt;9&lt;/sup&gt;"},"properties":{"noteIndex":0},"schema":"https://github.com/citation-style-language/schema/raw/master/csl-citation.json"}</w:instrText>
      </w:r>
      <w:r w:rsidRPr="008A47F8">
        <w:rPr>
          <w:rFonts w:asciiTheme="majorHAnsi" w:hAnsiTheme="majorHAnsi" w:cstheme="majorHAnsi"/>
          <w:lang w:eastAsia="ja-JP"/>
        </w:rPr>
        <w:fldChar w:fldCharType="separate"/>
      </w:r>
      <w:r w:rsidR="00161A65" w:rsidRPr="008A47F8">
        <w:rPr>
          <w:rFonts w:asciiTheme="majorHAnsi" w:hAnsiTheme="majorHAnsi" w:cstheme="majorHAnsi"/>
          <w:noProof/>
          <w:vertAlign w:val="superscript"/>
          <w:lang w:eastAsia="ja-JP"/>
        </w:rPr>
        <w:t>9</w:t>
      </w:r>
      <w:r w:rsidRPr="008A47F8">
        <w:rPr>
          <w:rFonts w:asciiTheme="majorHAnsi" w:hAnsiTheme="majorHAnsi" w:cstheme="majorHAnsi"/>
          <w:lang w:eastAsia="ja-JP"/>
        </w:rPr>
        <w:fldChar w:fldCharType="end"/>
      </w:r>
      <w:r w:rsidRPr="008A47F8">
        <w:rPr>
          <w:rFonts w:asciiTheme="majorHAnsi" w:hAnsiTheme="majorHAnsi" w:cstheme="majorHAnsi"/>
          <w:lang w:eastAsia="ja-JP"/>
        </w:rPr>
        <w:t xml:space="preserve">. </w:t>
      </w:r>
    </w:p>
    <w:p w14:paraId="4C217647" w14:textId="438C3F11" w:rsidR="001E1916" w:rsidRPr="008A47F8" w:rsidRDefault="001E1916" w:rsidP="008A47F8">
      <w:pPr>
        <w:widowControl w:val="0"/>
        <w:autoSpaceDE w:val="0"/>
        <w:autoSpaceDN w:val="0"/>
        <w:adjustRightInd w:val="0"/>
        <w:spacing w:line="480" w:lineRule="auto"/>
        <w:rPr>
          <w:rFonts w:asciiTheme="majorHAnsi" w:hAnsiTheme="majorHAnsi" w:cstheme="majorHAnsi"/>
          <w:color w:val="000000" w:themeColor="text1"/>
          <w:lang w:val="en-US"/>
        </w:rPr>
      </w:pPr>
      <w:r w:rsidRPr="008A47F8">
        <w:rPr>
          <w:rFonts w:asciiTheme="majorHAnsi" w:hAnsiTheme="majorHAnsi" w:cstheme="majorHAnsi"/>
          <w:color w:val="000000" w:themeColor="text1"/>
          <w:lang w:val="en-US"/>
        </w:rPr>
        <w:lastRenderedPageBreak/>
        <w:t xml:space="preserve">The Analysis of Composition of Microbiomes (ANCOM) is a novel method for the analysis of composition of microbiomes that accounts for compositional constraints to reduce false discoveries in detecting differentially abundant taxa at an ecosystem level, while maintaining high statistical power </w:t>
      </w:r>
      <w:r w:rsidRPr="008A47F8">
        <w:rPr>
          <w:rFonts w:asciiTheme="majorHAnsi" w:hAnsiTheme="majorHAnsi" w:cstheme="majorHAnsi"/>
          <w:color w:val="000000" w:themeColor="text1"/>
          <w:lang w:val="en-US"/>
        </w:rPr>
        <w:fldChar w:fldCharType="begin" w:fldLock="1"/>
      </w:r>
      <w:r w:rsidR="003F0F57">
        <w:rPr>
          <w:rFonts w:asciiTheme="majorHAnsi" w:hAnsiTheme="majorHAnsi" w:cstheme="majorHAnsi"/>
          <w:color w:val="000000" w:themeColor="text1"/>
          <w:lang w:val="en-US"/>
        </w:rPr>
        <w:instrText>ADDIN CSL_CITATION {"citationItems":[{"id":"ITEM-1","itemData":{"DOI":"10.3402/mehd.v26.27663","ISSN":"1651-2235","PMID":"26028277","abstract":"BACKGROUND Understanding the factors regulating our microbiota is important but requires appropriate statistical methodology. When comparing two or more populations most existing approaches either discount the underlying compositional structure in the microbiome data or use probability models such as the multinomial and Dirichlet-multinomial distributions, which may impose a correlation structure not suitable for microbiome data. OBJECTIVE To develop a methodology that accounts for compositional constraints to reduce false discoveries in detecting differentially abundant taxa at an ecosystem level, while maintaining high statistical power. METHODS We introduced a novel statistical framework called analysis of composition of microbiomes (ANCOM). ANCOM accounts for the underlying structure in the data and can be used for comparing the composition of microbiomes in two or more populations. ANCOM makes no distributional assumptions and can be implemented in a linear model framework to adjust for covariates as well as model longitudinal data. ANCOM also scales well to compare samples involving thousands of taxa. RESULTS We compared the performance of ANCOM to the standard t-test and a recently published methodology called Zero Inflated Gaussian (ZIG) methodology (1) for drawing inferences on the mean taxa abundance in two or more populations. ANCOM controlled the false discovery rate (FDR) at the desired nominal level while also improving power, whereas the t-test and ZIG had inflated FDRs, in some instances as high as 68% for the t-test and 60% for ZIG. We illustrate the performance of ANCOM using two publicly available microbial datasets in the human gut, demonstrating its general applicability to testing hypotheses about compositional differences in microbial communities. CONCLUSION Accounting for compositionality using log-ratio analysis results in significantly improved inference in microbiota survey data.","author":[{"dropping-particle":"","family":"Mandal","given":"Siddhartha","non-dropping-particle":"","parse-names":false,"suffix":""},{"dropping-particle":"","family":"Treuren","given":"Will","non-dropping-particle":"Van","parse-names":false,"suffix":""},{"dropping-particle":"","family":"White","given":"Richard A.","non-dropping-particle":"","parse-names":false,"suffix":""},{"dropping-particle":"","family":"Eggesbø","given":"Merete","non-dropping-particle":"","parse-names":false,"suffix":""},{"dropping-particle":"","family":"Knight","given":"Rob","non-dropping-particle":"","parse-names":false,"suffix":""},{"dropping-particle":"","family":"Peddada","given":"Shyamal D.","non-dropping-particle":"","parse-names":false,"suffix":""}],"container-title":"Microbial Ecology in Health &amp; Disease","id":"ITEM-1","issued":{"date-parts":[["2015","5","29"]]},"page":"27663","title":"Analysis of composition of microbiomes: a novel method for studying microbial composition","type":"article-journal","volume":"26"},"uris":["http://www.mendeley.com/documents/?uuid=7badfa83-c871-400f-a9d9-79a54bceea03"]}],"mendeley":{"formattedCitation":"&lt;sup&gt;14&lt;/sup&gt;","plainTextFormattedCitation":"14","previouslyFormattedCitation":"&lt;sup&gt;14&lt;/sup&gt;"},"properties":{"noteIndex":0},"schema":"https://github.com/citation-style-language/schema/raw/master/csl-citation.json"}</w:instrText>
      </w:r>
      <w:r w:rsidRPr="008A47F8">
        <w:rPr>
          <w:rFonts w:asciiTheme="majorHAnsi" w:hAnsiTheme="majorHAnsi" w:cstheme="majorHAnsi"/>
          <w:color w:val="000000" w:themeColor="text1"/>
          <w:lang w:val="en-US"/>
        </w:rPr>
        <w:fldChar w:fldCharType="separate"/>
      </w:r>
      <w:r w:rsidR="00161A65" w:rsidRPr="008A47F8">
        <w:rPr>
          <w:rFonts w:asciiTheme="majorHAnsi" w:hAnsiTheme="majorHAnsi" w:cstheme="majorHAnsi"/>
          <w:noProof/>
          <w:color w:val="000000" w:themeColor="text1"/>
          <w:vertAlign w:val="superscript"/>
          <w:lang w:val="en-US"/>
        </w:rPr>
        <w:t>14</w:t>
      </w:r>
      <w:r w:rsidRPr="008A47F8">
        <w:rPr>
          <w:rFonts w:asciiTheme="majorHAnsi" w:hAnsiTheme="majorHAnsi" w:cstheme="majorHAnsi"/>
          <w:color w:val="000000" w:themeColor="text1"/>
          <w:lang w:val="en-US"/>
        </w:rPr>
        <w:fldChar w:fldCharType="end"/>
      </w:r>
      <w:r w:rsidRPr="008A47F8">
        <w:rPr>
          <w:rFonts w:asciiTheme="majorHAnsi" w:hAnsiTheme="majorHAnsi" w:cstheme="majorHAnsi"/>
          <w:color w:val="000000" w:themeColor="text1"/>
          <w:lang w:val="en-US"/>
        </w:rPr>
        <w:t xml:space="preserve">. </w:t>
      </w:r>
      <w:r w:rsidRPr="008A47F8">
        <w:rPr>
          <w:rFonts w:asciiTheme="majorHAnsi" w:hAnsiTheme="majorHAnsi" w:cstheme="majorHAnsi"/>
          <w:color w:val="000000" w:themeColor="text1"/>
          <w:shd w:val="clear" w:color="auto" w:fill="FFFFFF"/>
        </w:rPr>
        <w:t>ANCOM accounts for the underlying structure in the data and can be used for comparing the composition of microbiomes in two or more populations. ANCOM makes no distributional assumptions and can be implemented in a linear model framework to adjust for covariates as well as model longitudinal data. ANCOM also scales well to compare samples involving thousands of taxa.</w:t>
      </w:r>
    </w:p>
    <w:p w14:paraId="3AC37050" w14:textId="3FD80B77" w:rsidR="001E1916" w:rsidRPr="008A47F8" w:rsidRDefault="001E1916" w:rsidP="008A47F8">
      <w:pPr>
        <w:widowControl w:val="0"/>
        <w:autoSpaceDE w:val="0"/>
        <w:autoSpaceDN w:val="0"/>
        <w:adjustRightInd w:val="0"/>
        <w:spacing w:line="480" w:lineRule="auto"/>
        <w:rPr>
          <w:rFonts w:asciiTheme="majorHAnsi" w:hAnsiTheme="majorHAnsi" w:cstheme="majorHAnsi"/>
          <w:color w:val="000000" w:themeColor="text1"/>
          <w:lang w:val="en-US"/>
        </w:rPr>
      </w:pPr>
      <w:r w:rsidRPr="008A47F8">
        <w:rPr>
          <w:rFonts w:asciiTheme="majorHAnsi" w:hAnsiTheme="majorHAnsi" w:cstheme="majorHAnsi"/>
          <w:bCs/>
          <w:color w:val="000000" w:themeColor="text1"/>
        </w:rPr>
        <w:t xml:space="preserve">ALDEx2 is an ANOVA like differential expression tool for high throughput sequencing data. </w:t>
      </w:r>
      <w:r w:rsidRPr="008A47F8">
        <w:rPr>
          <w:rFonts w:asciiTheme="majorHAnsi" w:hAnsiTheme="majorHAnsi" w:cstheme="majorHAnsi"/>
        </w:rPr>
        <w:t>Fundamentally,</w:t>
      </w:r>
      <w:r w:rsidRPr="008A47F8">
        <w:rPr>
          <w:rFonts w:asciiTheme="majorHAnsi" w:hAnsiTheme="majorHAnsi" w:cstheme="majorHAnsi"/>
          <w:color w:val="000000" w:themeColor="text1"/>
        </w:rPr>
        <w:t xml:space="preserve"> </w:t>
      </w:r>
      <w:r w:rsidRPr="008A47F8">
        <w:rPr>
          <w:rFonts w:asciiTheme="majorHAnsi" w:hAnsiTheme="majorHAnsi" w:cstheme="majorHAnsi"/>
          <w:iCs/>
          <w:color w:val="000000" w:themeColor="text1"/>
        </w:rPr>
        <w:t>ALDEx2</w:t>
      </w:r>
      <w:r w:rsidRPr="008A47F8">
        <w:rPr>
          <w:rFonts w:asciiTheme="majorHAnsi" w:hAnsiTheme="majorHAnsi" w:cstheme="majorHAnsi"/>
          <w:i/>
          <w:iCs/>
          <w:color w:val="000000" w:themeColor="text1"/>
        </w:rPr>
        <w:t xml:space="preserve"> </w:t>
      </w:r>
      <w:r w:rsidRPr="008A47F8">
        <w:rPr>
          <w:rFonts w:asciiTheme="majorHAnsi" w:hAnsiTheme="majorHAnsi" w:cstheme="majorHAnsi"/>
        </w:rPr>
        <w:t xml:space="preserve">models the data as the </w:t>
      </w:r>
      <w:r w:rsidRPr="008A47F8">
        <w:rPr>
          <w:rFonts w:asciiTheme="majorHAnsi" w:hAnsiTheme="majorHAnsi" w:cstheme="majorHAnsi"/>
          <w:i/>
          <w:iCs/>
        </w:rPr>
        <w:t xml:space="preserve">probability </w:t>
      </w:r>
      <w:r w:rsidRPr="008A47F8">
        <w:rPr>
          <w:rFonts w:asciiTheme="majorHAnsi" w:hAnsiTheme="majorHAnsi" w:cstheme="majorHAnsi"/>
        </w:rPr>
        <w:t xml:space="preserve">of observing the count </w:t>
      </w:r>
      <w:r w:rsidRPr="008A47F8">
        <w:rPr>
          <w:rFonts w:asciiTheme="majorHAnsi" w:hAnsiTheme="majorHAnsi" w:cstheme="majorHAnsi"/>
        </w:rPr>
        <w:fldChar w:fldCharType="begin" w:fldLock="1"/>
      </w:r>
      <w:r w:rsidR="003F0F57">
        <w:rPr>
          <w:rFonts w:asciiTheme="majorHAnsi" w:hAnsiTheme="majorHAnsi" w:cstheme="majorHAnsi"/>
        </w:rPr>
        <w:instrText>ADDIN CSL_CITATION {"citationItems":[{"id":"ITEM-1","itemData":{"DOI":"10.1186/2049-2618-2-15","ISSN":"2049-2618","PMID":"24910773","abstract":"Background: Experimental designs that take advantage of high-throughput sequencing to generate datasets include RNA sequencing (RNA-seq), chromatin immunoprecipitation sequencing (ChIP-seq), sequencing of 16S rRNA gene fragments, metagenomic analysis and selective growth experiments. In each case the underlying data are similar and are composed of counts of sequencing reads mapped to a large number of features in each sample. Despite this underlying similarity, the data analysis methods used for these experimental designs are all different, and do not translate across experiments. Alternative methods have been developed in the physical and geological sciences that treat similar data as compositions. Compositional data analysis methods transform the data to relative abundances with the result that the analyses are more robust and reproducible.Results: Data from an in vitro selective growth experiment, an RNA-seq experiment and the Human Microbiome Project 16S rRNA gene abundance dataset were examined by ALDEx2, a compositional data analysis tool that uses Bayesian methods to infer technical and statistical error. The ALDEx2 approach is shown to be suitable for all three types of data: it correctly identifies both the direction and differential abundance of features in the differential growth experiment, it identifies a substantially similar set of differentially expressed genes in the RNA-seq dataset as the leading tools and it identifies as differential the taxa that distinguish the tongue dorsum and buccal mucosa in the Human Microbiome Project dataset. The design of ALDEx2 reduces the number of false positive identifications that result from datasets composed of many features in few samples.Conclusion: Statistical analysis of high-throughput sequencing datasets composed of per feature counts showed that the ALDEx2 R package is a simple and robust tool, which can be applied to RNA-seq, 16S rRNA gene sequencing and differential growth datasets, and by extension to other techniques that use a similar approach.","author":[{"dropping-particle":"","family":"Fernandes","given":"Andrew D.","non-dropping-particle":"","parse-names":false,"suffix":""},{"dropping-particle":"","family":"Reid","given":"Jennifer N.S.","non-dropping-particle":"","parse-names":false,"suffix":""},{"dropping-particle":"","family":"Macklaim","given":"Jean M.","non-dropping-particle":"","parse-names":false,"suffix":""},{"dropping-particle":"","family":"McMurrough","given":"Thomas A.","non-dropping-particle":"","parse-names":false,"suffix":""},{"dropping-particle":"","family":"Edgell","given":"David R.","non-dropping-particle":"","parse-names":false,"suffix":""},{"dropping-particle":"","family":"Gloor","given":"Gregory B.","non-dropping-particle":"","parse-names":false,"suffix":""}],"container-title":"Microbiome","id":"ITEM-1","issue":"1","issued":{"date-parts":[["2014"]]},"page":"15","title":"Unifying the analysis of high-throughput sequencing datasets: characterizing RNA-seq, 16S rRNA gene sequencing and selective growth experiments by compositional data analysis","type":"article-journal","volume":"2"},"uris":["http://www.mendeley.com/documents/?uuid=b577ff50-a1ab-4039-ab60-1b1650ddf286"]}],"mendeley":{"formattedCitation":"&lt;sup&gt;15&lt;/sup&gt;","plainTextFormattedCitation":"15","previouslyFormattedCitation":"&lt;sup&gt;15&lt;/sup&gt;"},"properties":{"noteIndex":0},"schema":"https://github.com/citation-style-language/schema/raw/master/csl-citation.json"}</w:instrText>
      </w:r>
      <w:r w:rsidRPr="008A47F8">
        <w:rPr>
          <w:rFonts w:asciiTheme="majorHAnsi" w:hAnsiTheme="majorHAnsi" w:cstheme="majorHAnsi"/>
        </w:rPr>
        <w:fldChar w:fldCharType="separate"/>
      </w:r>
      <w:r w:rsidR="00161A65" w:rsidRPr="008A47F8">
        <w:rPr>
          <w:rFonts w:asciiTheme="majorHAnsi" w:hAnsiTheme="majorHAnsi" w:cstheme="majorHAnsi"/>
          <w:noProof/>
          <w:vertAlign w:val="superscript"/>
        </w:rPr>
        <w:t>15</w:t>
      </w:r>
      <w:r w:rsidRPr="008A47F8">
        <w:rPr>
          <w:rFonts w:asciiTheme="majorHAnsi" w:hAnsiTheme="majorHAnsi" w:cstheme="majorHAnsi"/>
        </w:rPr>
        <w:fldChar w:fldCharType="end"/>
      </w:r>
      <w:r w:rsidRPr="008A47F8">
        <w:rPr>
          <w:rFonts w:asciiTheme="majorHAnsi" w:hAnsiTheme="majorHAnsi" w:cstheme="majorHAnsi"/>
        </w:rPr>
        <w:t xml:space="preserve">. </w:t>
      </w:r>
      <w:r w:rsidRPr="008A47F8">
        <w:rPr>
          <w:rFonts w:asciiTheme="majorHAnsi" w:hAnsiTheme="majorHAnsi" w:cstheme="majorHAnsi"/>
          <w:color w:val="000000" w:themeColor="text1"/>
          <w:lang w:val="en-US"/>
        </w:rPr>
        <w:t>The ALDEx2 reports the:</w:t>
      </w:r>
    </w:p>
    <w:p w14:paraId="76B883D4" w14:textId="77777777" w:rsidR="001E1916" w:rsidRPr="008A47F8" w:rsidRDefault="001E1916" w:rsidP="008A47F8">
      <w:pPr>
        <w:widowControl w:val="0"/>
        <w:autoSpaceDE w:val="0"/>
        <w:autoSpaceDN w:val="0"/>
        <w:adjustRightInd w:val="0"/>
        <w:spacing w:line="480" w:lineRule="auto"/>
        <w:ind w:left="640" w:hanging="640"/>
        <w:rPr>
          <w:rFonts w:asciiTheme="majorHAnsi" w:hAnsiTheme="majorHAnsi" w:cstheme="majorHAnsi"/>
        </w:rPr>
      </w:pPr>
      <w:r w:rsidRPr="008A47F8">
        <w:rPr>
          <w:rFonts w:asciiTheme="majorHAnsi" w:hAnsiTheme="majorHAnsi" w:cstheme="majorHAnsi"/>
        </w:rPr>
        <w:t>kw.ep a vector containing the expected p-value of the Kruskal-Wallis test for each species.</w:t>
      </w:r>
    </w:p>
    <w:p w14:paraId="1FA642E5" w14:textId="77777777" w:rsidR="001E1916" w:rsidRPr="008A47F8" w:rsidRDefault="001E1916" w:rsidP="008A47F8">
      <w:pPr>
        <w:spacing w:line="480" w:lineRule="auto"/>
        <w:rPr>
          <w:rFonts w:asciiTheme="majorHAnsi" w:hAnsiTheme="majorHAnsi" w:cstheme="majorHAnsi"/>
        </w:rPr>
      </w:pPr>
      <w:proofErr w:type="gramStart"/>
      <w:r w:rsidRPr="008A47F8">
        <w:rPr>
          <w:rFonts w:asciiTheme="majorHAnsi" w:hAnsiTheme="majorHAnsi" w:cstheme="majorHAnsi"/>
        </w:rPr>
        <w:t>kw.eBH</w:t>
      </w:r>
      <w:proofErr w:type="gramEnd"/>
      <w:r w:rsidRPr="008A47F8">
        <w:rPr>
          <w:rFonts w:asciiTheme="majorHAnsi" w:hAnsiTheme="majorHAnsi" w:cstheme="majorHAnsi"/>
        </w:rPr>
        <w:t xml:space="preserve"> a vector containing the corresponding expected value of the Benjamini-Hochberg corrected Kruskal-Wallis p-value for each species.</w:t>
      </w:r>
    </w:p>
    <w:p w14:paraId="48610DCD" w14:textId="77777777" w:rsidR="001E1916" w:rsidRPr="008A47F8" w:rsidRDefault="001E1916" w:rsidP="008A47F8">
      <w:pPr>
        <w:spacing w:line="480" w:lineRule="auto"/>
        <w:rPr>
          <w:rFonts w:asciiTheme="majorHAnsi" w:hAnsiTheme="majorHAnsi" w:cstheme="majorHAnsi"/>
        </w:rPr>
      </w:pPr>
      <w:r w:rsidRPr="008A47F8">
        <w:rPr>
          <w:rFonts w:asciiTheme="majorHAnsi" w:hAnsiTheme="majorHAnsi" w:cstheme="majorHAnsi"/>
        </w:rPr>
        <w:t>glm.ep a vector containing the expected p-value of the glm ANOVA for each species.</w:t>
      </w:r>
    </w:p>
    <w:p w14:paraId="4E5B5DAB" w14:textId="77777777" w:rsidR="001E1916" w:rsidRPr="008A47F8" w:rsidRDefault="001E1916" w:rsidP="008A47F8">
      <w:pPr>
        <w:spacing w:line="480" w:lineRule="auto"/>
        <w:rPr>
          <w:rFonts w:asciiTheme="majorHAnsi" w:hAnsiTheme="majorHAnsi" w:cstheme="majorHAnsi"/>
        </w:rPr>
      </w:pPr>
      <w:proofErr w:type="gramStart"/>
      <w:r w:rsidRPr="008A47F8">
        <w:rPr>
          <w:rFonts w:asciiTheme="majorHAnsi" w:hAnsiTheme="majorHAnsi" w:cstheme="majorHAnsi"/>
        </w:rPr>
        <w:t>glm.eBH</w:t>
      </w:r>
      <w:proofErr w:type="gramEnd"/>
      <w:r w:rsidRPr="008A47F8">
        <w:rPr>
          <w:rFonts w:asciiTheme="majorHAnsi" w:hAnsiTheme="majorHAnsi" w:cstheme="majorHAnsi"/>
        </w:rPr>
        <w:t xml:space="preserve"> a vector containing the corresponding expected value of the Benjamini-Hochberg corrected ANOVA p-value for each species.</w:t>
      </w:r>
    </w:p>
    <w:p w14:paraId="22254E0D" w14:textId="5F72ACCA" w:rsidR="001E1916" w:rsidRDefault="001E1916" w:rsidP="008A47F8">
      <w:pPr>
        <w:widowControl w:val="0"/>
        <w:autoSpaceDE w:val="0"/>
        <w:autoSpaceDN w:val="0"/>
        <w:adjustRightInd w:val="0"/>
        <w:spacing w:line="480" w:lineRule="auto"/>
        <w:rPr>
          <w:rFonts w:asciiTheme="majorHAnsi" w:hAnsiTheme="majorHAnsi" w:cstheme="majorHAnsi"/>
          <w:color w:val="222222"/>
          <w:shd w:val="clear" w:color="auto" w:fill="FFFFFF"/>
        </w:rPr>
      </w:pPr>
      <w:r w:rsidRPr="008A47F8">
        <w:rPr>
          <w:rFonts w:asciiTheme="majorHAnsi" w:hAnsiTheme="majorHAnsi" w:cstheme="majorHAnsi"/>
          <w:color w:val="000000" w:themeColor="text1"/>
          <w:lang w:val="en-US"/>
        </w:rPr>
        <w:t xml:space="preserve">The aldex.glm calculate the generalized linear model (GLM) statistics using a “model.matrix”. It is a </w:t>
      </w:r>
      <w:r w:rsidRPr="008A47F8">
        <w:rPr>
          <w:rFonts w:asciiTheme="majorHAnsi" w:hAnsiTheme="majorHAnsi" w:cstheme="majorHAnsi"/>
          <w:color w:val="222222"/>
          <w:shd w:val="clear" w:color="auto" w:fill="FFFFFF"/>
        </w:rPr>
        <w:t>flexible generalization of ordinary linear regression that allows for response variables that have error distribution models other than a normal distribution.</w:t>
      </w:r>
    </w:p>
    <w:p w14:paraId="4D5BBB71" w14:textId="3FDB23C9" w:rsidR="007250E0" w:rsidRPr="007250E0" w:rsidRDefault="007250E0" w:rsidP="008A47F8">
      <w:pPr>
        <w:widowControl w:val="0"/>
        <w:autoSpaceDE w:val="0"/>
        <w:autoSpaceDN w:val="0"/>
        <w:adjustRightInd w:val="0"/>
        <w:spacing w:line="480" w:lineRule="auto"/>
        <w:rPr>
          <w:rFonts w:asciiTheme="majorHAnsi" w:hAnsiTheme="majorHAnsi" w:cstheme="majorHAnsi"/>
          <w:u w:val="single"/>
        </w:rPr>
      </w:pPr>
      <w:r w:rsidRPr="007250E0">
        <w:rPr>
          <w:rFonts w:asciiTheme="majorHAnsi" w:hAnsiTheme="majorHAnsi" w:cstheme="majorHAnsi"/>
          <w:color w:val="222222"/>
          <w:u w:val="single"/>
          <w:shd w:val="clear" w:color="auto" w:fill="FFFFFF"/>
        </w:rPr>
        <w:t>4.8 Antibiotic information</w:t>
      </w:r>
    </w:p>
    <w:p w14:paraId="07F1416A" w14:textId="3823CAD7" w:rsidR="007250E0" w:rsidRPr="00846569" w:rsidRDefault="007250E0" w:rsidP="007250E0">
      <w:pPr>
        <w:spacing w:line="480" w:lineRule="auto"/>
        <w:rPr>
          <w:rFonts w:asciiTheme="majorHAnsi" w:hAnsiTheme="majorHAnsi" w:cstheme="majorHAnsi"/>
        </w:rPr>
      </w:pPr>
      <w:r w:rsidRPr="00846569">
        <w:rPr>
          <w:rFonts w:asciiTheme="majorHAnsi" w:hAnsiTheme="majorHAnsi" w:cstheme="majorHAnsi"/>
        </w:rPr>
        <w:t>In this large study only 15/633 patients (2.4%) ha</w:t>
      </w:r>
      <w:r>
        <w:rPr>
          <w:rFonts w:asciiTheme="majorHAnsi" w:hAnsiTheme="majorHAnsi" w:cstheme="majorHAnsi"/>
        </w:rPr>
        <w:t>d</w:t>
      </w:r>
      <w:r w:rsidRPr="00846569">
        <w:rPr>
          <w:rFonts w:asciiTheme="majorHAnsi" w:hAnsiTheme="majorHAnsi" w:cstheme="majorHAnsi"/>
        </w:rPr>
        <w:t xml:space="preserve"> received antibiotics within the collection time frame. They were treated for dysentery (N = 12 patients) and respiratory infections (N = 3 patients). All except two of these patients had received their antibiotics after the day 15 </w:t>
      </w:r>
      <w:r w:rsidRPr="00846569">
        <w:rPr>
          <w:rFonts w:asciiTheme="majorHAnsi" w:hAnsiTheme="majorHAnsi" w:cstheme="majorHAnsi"/>
        </w:rPr>
        <w:lastRenderedPageBreak/>
        <w:t xml:space="preserve">stool collection (min 23 days, max 65 days, mean 41 days, SD 15 days). Two patients received antibiotics at day 8 and 14. One patient received two courses of antibiotics; one starting at day 27 and the second one at day 45. In the middle age group 8/193 patients received antibiotics (one patient received antibiotics twice), </w:t>
      </w:r>
      <w:r>
        <w:rPr>
          <w:rFonts w:asciiTheme="majorHAnsi" w:hAnsiTheme="majorHAnsi" w:cstheme="majorHAnsi"/>
        </w:rPr>
        <w:t>in</w:t>
      </w:r>
      <w:r w:rsidRPr="00846569">
        <w:rPr>
          <w:rFonts w:asciiTheme="majorHAnsi" w:hAnsiTheme="majorHAnsi" w:cstheme="majorHAnsi"/>
        </w:rPr>
        <w:t xml:space="preserve"> the old age group 6/247 patients received antibiotics, and </w:t>
      </w:r>
      <w:r>
        <w:rPr>
          <w:rFonts w:asciiTheme="majorHAnsi" w:hAnsiTheme="majorHAnsi" w:cstheme="majorHAnsi"/>
        </w:rPr>
        <w:t>in</w:t>
      </w:r>
      <w:r w:rsidRPr="00846569">
        <w:rPr>
          <w:rFonts w:asciiTheme="majorHAnsi" w:hAnsiTheme="majorHAnsi" w:cstheme="majorHAnsi"/>
        </w:rPr>
        <w:t xml:space="preserve"> the young age group 1/32 patients received antibiotics. We performed multivariate PCoA analysis for the middle age group (12 - &lt;24 mths) (</w:t>
      </w:r>
      <w:r w:rsidRPr="00846569">
        <w:rPr>
          <w:rFonts w:asciiTheme="majorHAnsi" w:hAnsiTheme="majorHAnsi" w:cstheme="majorHAnsi"/>
          <w:b/>
          <w:bCs/>
        </w:rPr>
        <w:t>Supplementary Figure 1.a</w:t>
      </w:r>
      <w:r w:rsidRPr="00846569">
        <w:rPr>
          <w:rFonts w:asciiTheme="majorHAnsi" w:hAnsiTheme="majorHAnsi" w:cstheme="majorHAnsi"/>
        </w:rPr>
        <w:t xml:space="preserve">) and old age group (24 – </w:t>
      </w:r>
      <w:r>
        <w:rPr>
          <w:rFonts w:asciiTheme="majorHAnsi" w:hAnsiTheme="majorHAnsi" w:cstheme="majorHAnsi"/>
        </w:rPr>
        <w:t>40</w:t>
      </w:r>
      <w:r w:rsidRPr="00846569">
        <w:rPr>
          <w:rFonts w:asciiTheme="majorHAnsi" w:hAnsiTheme="majorHAnsi" w:cstheme="majorHAnsi"/>
        </w:rPr>
        <w:t xml:space="preserve"> mths) (</w:t>
      </w:r>
      <w:r w:rsidRPr="00846569">
        <w:rPr>
          <w:rFonts w:asciiTheme="majorHAnsi" w:hAnsiTheme="majorHAnsi" w:cstheme="majorHAnsi"/>
          <w:b/>
          <w:bCs/>
        </w:rPr>
        <w:t>Supplementary Figure 1.b</w:t>
      </w:r>
      <w:r w:rsidRPr="00846569">
        <w:rPr>
          <w:rFonts w:asciiTheme="majorHAnsi" w:hAnsiTheme="majorHAnsi" w:cstheme="majorHAnsi"/>
        </w:rPr>
        <w:t>) patients comparing the microbiome from the antibiotic</w:t>
      </w:r>
      <w:r>
        <w:rPr>
          <w:rFonts w:asciiTheme="majorHAnsi" w:hAnsiTheme="majorHAnsi" w:cstheme="majorHAnsi"/>
        </w:rPr>
        <w:t xml:space="preserve"> treatment</w:t>
      </w:r>
      <w:r w:rsidRPr="00846569">
        <w:rPr>
          <w:rFonts w:asciiTheme="majorHAnsi" w:hAnsiTheme="majorHAnsi" w:cstheme="majorHAnsi"/>
        </w:rPr>
        <w:t xml:space="preserve"> samples with the non-antibiotic samples from the day 85 collection time points. PCoA analysis revealed that all antibiotic </w:t>
      </w:r>
      <w:r>
        <w:rPr>
          <w:rFonts w:asciiTheme="majorHAnsi" w:hAnsiTheme="majorHAnsi" w:cstheme="majorHAnsi"/>
        </w:rPr>
        <w:t xml:space="preserve">treatment </w:t>
      </w:r>
      <w:r w:rsidRPr="00846569">
        <w:rPr>
          <w:rFonts w:asciiTheme="majorHAnsi" w:hAnsiTheme="majorHAnsi" w:cstheme="majorHAnsi"/>
        </w:rPr>
        <w:t xml:space="preserve">samples clustered within the expected range of the other samples and did not present as outliers. ANCOM testing </w:t>
      </w:r>
      <w:r w:rsidRPr="00846569">
        <w:rPr>
          <w:rFonts w:asciiTheme="majorHAnsi" w:hAnsiTheme="majorHAnsi" w:cstheme="majorHAnsi"/>
        </w:rPr>
        <w:fldChar w:fldCharType="begin" w:fldLock="1"/>
      </w:r>
      <w:r w:rsidR="003F0F57">
        <w:rPr>
          <w:rFonts w:asciiTheme="majorHAnsi" w:hAnsiTheme="majorHAnsi" w:cstheme="majorHAnsi"/>
        </w:rPr>
        <w:instrText>ADDIN CSL_CITATION {"citationItems":[{"id":"ITEM-1","itemData":{"DOI":"10.3402/mehd.v26.27663","ISSN":"1651-2235","PMID":"26028277","abstract":"BACKGROUND Understanding the factors regulating our microbiota is important but requires appropriate statistical methodology. When comparing two or more populations most existing approaches either discount the underlying compositional structure in the microbiome data or use probability models such as the multinomial and Dirichlet-multinomial distributions, which may impose a correlation structure not suitable for microbiome data. OBJECTIVE To develop a methodology that accounts for compositional constraints to reduce false discoveries in detecting differentially abundant taxa at an ecosystem level, while maintaining high statistical power. METHODS We introduced a novel statistical framework called analysis of composition of microbiomes (ANCOM). ANCOM accounts for the underlying structure in the data and can be used for comparing the composition of microbiomes in two or more populations. ANCOM makes no distributional assumptions and can be implemented in a linear model framework to adjust for covariates as well as model longitudinal data. ANCOM also scales well to compare samples involving thousands of taxa. RESULTS We compared the performance of ANCOM to the standard t-test and a recently published methodology called Zero Inflated Gaussian (ZIG) methodology (1) for drawing inferences on the mean taxa abundance in two or more populations. ANCOM controlled the false discovery rate (FDR) at the desired nominal level while also improving power, whereas the t-test and ZIG had inflated FDRs, in some instances as high as 68% for the t-test and 60% for ZIG. We illustrate the performance of ANCOM using two publicly available microbial datasets in the human gut, demonstrating its general applicability to testing hypotheses about compositional differences in microbial communities. CONCLUSION Accounting for compositionality using log-ratio analysis results in significantly improved inference in microbiota survey data.","author":[{"dropping-particle":"","family":"Mandal","given":"Siddhartha","non-dropping-particle":"","parse-names":false,"suffix":""},{"dropping-particle":"","family":"Treuren","given":"Will","non-dropping-particle":"Van","parse-names":false,"suffix":""},{"dropping-particle":"","family":"White","given":"Richard A.","non-dropping-particle":"","parse-names":false,"suffix":""},{"dropping-particle":"","family":"Eggesbø","given":"Merete","non-dropping-particle":"","parse-names":false,"suffix":""},{"dropping-particle":"","family":"Knight","given":"Rob","non-dropping-particle":"","parse-names":false,"suffix":""},{"dropping-particle":"","family":"Peddada","given":"Shyamal D.","non-dropping-particle":"","parse-names":false,"suffix":""}],"container-title":"Microbial Ecology in Health &amp; Disease","id":"ITEM-1","issued":{"date-parts":[["2015","5","29"]]},"page":"27663","title":"Analysis of composition of microbiomes: a novel method for studying microbial composition","type":"article-journal","volume":"26"},"uris":["http://www.mendeley.com/documents/?uuid=7badfa83-c871-400f-a9d9-79a54bceea03"]}],"mendeley":{"formattedCitation":"&lt;sup&gt;14&lt;/sup&gt;","plainTextFormattedCitation":"14","previouslyFormattedCitation":"&lt;sup&gt;14&lt;/sup&gt;"},"properties":{"noteIndex":0},"schema":"https://github.com/citation-style-language/schema/raw/master/csl-citation.json"}</w:instrText>
      </w:r>
      <w:r w:rsidRPr="00846569">
        <w:rPr>
          <w:rFonts w:asciiTheme="majorHAnsi" w:hAnsiTheme="majorHAnsi" w:cstheme="majorHAnsi"/>
        </w:rPr>
        <w:fldChar w:fldCharType="separate"/>
      </w:r>
      <w:r w:rsidR="003F0F57" w:rsidRPr="003F0F57">
        <w:rPr>
          <w:rFonts w:asciiTheme="majorHAnsi" w:hAnsiTheme="majorHAnsi" w:cstheme="majorHAnsi"/>
          <w:noProof/>
          <w:vertAlign w:val="superscript"/>
        </w:rPr>
        <w:t>14</w:t>
      </w:r>
      <w:r w:rsidRPr="00846569">
        <w:rPr>
          <w:rFonts w:asciiTheme="majorHAnsi" w:hAnsiTheme="majorHAnsi" w:cstheme="majorHAnsi"/>
        </w:rPr>
        <w:fldChar w:fldCharType="end"/>
      </w:r>
      <w:r w:rsidRPr="00846569">
        <w:rPr>
          <w:rFonts w:asciiTheme="majorHAnsi" w:hAnsiTheme="majorHAnsi" w:cstheme="majorHAnsi"/>
        </w:rPr>
        <w:t xml:space="preserve"> revealed no significant differences in microbial composition between antibiotic positive and negative samples in the middle age group (data not shown). In the old age group, only one species was statistically significantly depleted in the antibiotic treated group. </w:t>
      </w:r>
      <w:r w:rsidRPr="00846569">
        <w:rPr>
          <w:rFonts w:asciiTheme="majorHAnsi" w:hAnsiTheme="majorHAnsi" w:cstheme="majorHAnsi"/>
          <w:i/>
          <w:iCs/>
        </w:rPr>
        <w:t>Holdemanella biformis</w:t>
      </w:r>
      <w:r w:rsidRPr="00846569">
        <w:rPr>
          <w:rFonts w:asciiTheme="majorHAnsi" w:hAnsiTheme="majorHAnsi" w:cstheme="majorHAnsi"/>
        </w:rPr>
        <w:t xml:space="preserve">, with an overall abundance of 0.416 % in all 1407 samples, were detected at a mean abundance of 0.069 in the antibiotic positive group and at a mean abundance of 0.65 in the antibiotic negative group, </w:t>
      </w:r>
      <w:r w:rsidRPr="00846569">
        <w:rPr>
          <w:rFonts w:asciiTheme="majorHAnsi" w:hAnsiTheme="majorHAnsi" w:cstheme="majorHAnsi"/>
          <w:b/>
          <w:bCs/>
        </w:rPr>
        <w:t>Supplementary Figure 1.c</w:t>
      </w:r>
      <w:r w:rsidRPr="00846569">
        <w:rPr>
          <w:rFonts w:asciiTheme="majorHAnsi" w:hAnsiTheme="majorHAnsi" w:cstheme="majorHAnsi"/>
        </w:rPr>
        <w:t xml:space="preserve"> (ANOVA uncorrected P value 7.5e-06). As antibiotic use had not caused obvious microbiome composition distortions</w:t>
      </w:r>
      <w:r>
        <w:rPr>
          <w:rFonts w:asciiTheme="majorHAnsi" w:hAnsiTheme="majorHAnsi" w:cstheme="majorHAnsi"/>
        </w:rPr>
        <w:t xml:space="preserve"> </w:t>
      </w:r>
      <w:r w:rsidRPr="00846569">
        <w:rPr>
          <w:rFonts w:asciiTheme="majorHAnsi" w:hAnsiTheme="majorHAnsi" w:cstheme="majorHAnsi"/>
        </w:rPr>
        <w:t xml:space="preserve">the analysis was continued with all samples included. The limited or absent effect of antibiotics was most likely due to the large time frame (min 23 days, max 65 days, mean 41 days) between antibiotics </w:t>
      </w:r>
      <w:r>
        <w:rPr>
          <w:rFonts w:asciiTheme="majorHAnsi" w:hAnsiTheme="majorHAnsi" w:cstheme="majorHAnsi"/>
        </w:rPr>
        <w:t xml:space="preserve">being </w:t>
      </w:r>
      <w:r w:rsidRPr="00846569">
        <w:rPr>
          <w:rFonts w:asciiTheme="majorHAnsi" w:hAnsiTheme="majorHAnsi" w:cstheme="majorHAnsi"/>
        </w:rPr>
        <w:t xml:space="preserve">given and </w:t>
      </w:r>
      <w:r>
        <w:rPr>
          <w:rFonts w:asciiTheme="majorHAnsi" w:hAnsiTheme="majorHAnsi" w:cstheme="majorHAnsi"/>
        </w:rPr>
        <w:t xml:space="preserve">the </w:t>
      </w:r>
      <w:r w:rsidRPr="00846569">
        <w:rPr>
          <w:rFonts w:asciiTheme="majorHAnsi" w:hAnsiTheme="majorHAnsi" w:cstheme="majorHAnsi"/>
        </w:rPr>
        <w:t xml:space="preserve">day 85 stool collection. </w:t>
      </w:r>
    </w:p>
    <w:p w14:paraId="4D672F63" w14:textId="77777777" w:rsidR="007250E0" w:rsidRPr="00846569" w:rsidRDefault="007250E0" w:rsidP="007250E0">
      <w:pPr>
        <w:spacing w:line="480" w:lineRule="auto"/>
        <w:rPr>
          <w:rFonts w:asciiTheme="majorHAnsi" w:hAnsiTheme="majorHAnsi" w:cstheme="majorHAnsi"/>
        </w:rPr>
      </w:pPr>
    </w:p>
    <w:p w14:paraId="0A91C56E" w14:textId="77777777" w:rsidR="007250E0" w:rsidRPr="00846569" w:rsidRDefault="007250E0" w:rsidP="007250E0">
      <w:pPr>
        <w:spacing w:line="480" w:lineRule="auto"/>
        <w:rPr>
          <w:rFonts w:asciiTheme="majorHAnsi" w:hAnsiTheme="majorHAnsi" w:cstheme="majorHAnsi"/>
        </w:rPr>
      </w:pPr>
    </w:p>
    <w:p w14:paraId="154FC5FC" w14:textId="77777777" w:rsidR="007250E0" w:rsidRPr="00846569" w:rsidRDefault="007250E0" w:rsidP="007250E0">
      <w:pPr>
        <w:spacing w:line="360" w:lineRule="auto"/>
        <w:rPr>
          <w:rFonts w:asciiTheme="majorHAnsi" w:hAnsiTheme="majorHAnsi" w:cstheme="majorHAnsi"/>
        </w:rPr>
      </w:pPr>
    </w:p>
    <w:p w14:paraId="7B105F25" w14:textId="6227E97B" w:rsidR="00AF7C1C" w:rsidRPr="008A47F8" w:rsidRDefault="00AF7C1C" w:rsidP="008A47F8">
      <w:pPr>
        <w:spacing w:line="480" w:lineRule="auto"/>
        <w:rPr>
          <w:rFonts w:asciiTheme="majorHAnsi" w:hAnsiTheme="majorHAnsi" w:cstheme="majorHAnsi"/>
          <w:lang w:eastAsia="ja-JP"/>
        </w:rPr>
      </w:pPr>
      <w:r w:rsidRPr="008A47F8">
        <w:rPr>
          <w:rFonts w:asciiTheme="majorHAnsi" w:hAnsiTheme="majorHAnsi" w:cstheme="majorHAnsi"/>
          <w:b/>
          <w:bCs/>
          <w:lang w:eastAsia="ja-JP"/>
        </w:rPr>
        <w:lastRenderedPageBreak/>
        <w:t xml:space="preserve">5) Bacterial tropic network analysis </w:t>
      </w:r>
    </w:p>
    <w:p w14:paraId="46B5B661" w14:textId="77777777" w:rsidR="00AF7C1C" w:rsidRPr="008A47F8" w:rsidRDefault="00AF7C1C" w:rsidP="008A47F8">
      <w:pPr>
        <w:spacing w:line="480" w:lineRule="auto"/>
        <w:rPr>
          <w:rFonts w:asciiTheme="majorHAnsi" w:hAnsiTheme="majorHAnsi" w:cstheme="majorHAnsi"/>
          <w:u w:val="single"/>
          <w:lang w:eastAsia="ja-JP"/>
        </w:rPr>
      </w:pPr>
      <w:r w:rsidRPr="008A47F8">
        <w:rPr>
          <w:rFonts w:asciiTheme="majorHAnsi" w:hAnsiTheme="majorHAnsi" w:cstheme="majorHAnsi"/>
          <w:u w:val="single"/>
          <w:lang w:eastAsia="ja-JP"/>
        </w:rPr>
        <w:t xml:space="preserve">5.1 Heatmap to visualize bacterial tropic networks </w:t>
      </w:r>
    </w:p>
    <w:p w14:paraId="44228ECA" w14:textId="0CF555A5" w:rsidR="00AF7C1C" w:rsidRPr="008A47F8" w:rsidRDefault="00AF7C1C" w:rsidP="008A47F8">
      <w:pPr>
        <w:spacing w:line="480" w:lineRule="auto"/>
        <w:rPr>
          <w:rFonts w:asciiTheme="majorHAnsi" w:hAnsiTheme="majorHAnsi" w:cstheme="majorHAnsi"/>
          <w:lang w:eastAsia="ja-JP"/>
        </w:rPr>
      </w:pPr>
      <w:r w:rsidRPr="008A47F8">
        <w:rPr>
          <w:rFonts w:asciiTheme="majorHAnsi" w:hAnsiTheme="majorHAnsi" w:cstheme="majorHAnsi"/>
          <w:lang w:eastAsia="ja-JP"/>
        </w:rPr>
        <w:t>The heatmap (</w:t>
      </w:r>
      <w:r w:rsidRPr="008A47F8">
        <w:rPr>
          <w:rFonts w:asciiTheme="majorHAnsi" w:hAnsiTheme="majorHAnsi" w:cstheme="majorHAnsi"/>
          <w:b/>
          <w:bCs/>
          <w:lang w:eastAsia="ja-JP"/>
        </w:rPr>
        <w:t>Figure 4.a</w:t>
      </w:r>
      <w:r w:rsidRPr="008A47F8">
        <w:rPr>
          <w:rFonts w:asciiTheme="majorHAnsi" w:hAnsiTheme="majorHAnsi" w:cstheme="majorHAnsi"/>
          <w:lang w:eastAsia="ja-JP"/>
        </w:rPr>
        <w:t xml:space="preserve">) used to visualize bacterial trophic networks was generated using the online web portal Calypso </w:t>
      </w:r>
      <w:r w:rsidRPr="008A47F8">
        <w:rPr>
          <w:rFonts w:asciiTheme="majorHAnsi" w:hAnsiTheme="majorHAnsi" w:cstheme="majorHAnsi"/>
          <w:color w:val="333333"/>
          <w:shd w:val="clear" w:color="auto" w:fill="FFFFFF"/>
          <w:lang w:eastAsia="ja-JP"/>
        </w:rPr>
        <w:t xml:space="preserve">version: </w:t>
      </w:r>
      <w:r w:rsidRPr="008A47F8">
        <w:rPr>
          <w:rFonts w:asciiTheme="majorHAnsi" w:hAnsiTheme="majorHAnsi" w:cstheme="majorHAnsi"/>
          <w:color w:val="333333"/>
          <w:lang w:eastAsia="ja-JP"/>
        </w:rPr>
        <w:t xml:space="preserve">8.84 </w:t>
      </w:r>
      <w:r w:rsidR="003F0F57" w:rsidRPr="003F0F57">
        <w:rPr>
          <w:rFonts w:asciiTheme="majorHAnsi" w:hAnsiTheme="majorHAnsi" w:cstheme="majorHAnsi"/>
          <w:position w:val="8"/>
          <w:vertAlign w:val="superscript"/>
          <w:lang w:eastAsia="ja-JP"/>
        </w:rPr>
        <w:t>9</w:t>
      </w:r>
      <w:r w:rsidRPr="008A47F8">
        <w:rPr>
          <w:rFonts w:asciiTheme="majorHAnsi" w:hAnsiTheme="majorHAnsi" w:cstheme="majorHAnsi"/>
          <w:position w:val="8"/>
          <w:lang w:eastAsia="ja-JP"/>
        </w:rPr>
        <w:t xml:space="preserve"> </w:t>
      </w:r>
      <w:r w:rsidRPr="008A47F8">
        <w:rPr>
          <w:rFonts w:asciiTheme="majorHAnsi" w:hAnsiTheme="majorHAnsi" w:cstheme="majorHAnsi"/>
          <w:lang w:eastAsia="ja-JP"/>
        </w:rPr>
        <w:t xml:space="preserve">using TSS normalized abundances. For easier visualization we used the top 51 species with a minimum abundance of 0.2% in all samples. Blocks representing apparent trophic networks or other kinds of associations were color coded on the heatmap. The </w:t>
      </w:r>
      <w:r w:rsidRPr="008A47F8">
        <w:rPr>
          <w:rFonts w:asciiTheme="majorHAnsi" w:hAnsiTheme="majorHAnsi" w:cstheme="majorHAnsi"/>
          <w:i/>
          <w:iCs/>
          <w:lang w:eastAsia="ja-JP"/>
        </w:rPr>
        <w:t xml:space="preserve">Prevotella stercorea </w:t>
      </w:r>
      <w:r w:rsidRPr="008A47F8">
        <w:rPr>
          <w:rFonts w:asciiTheme="majorHAnsi" w:hAnsiTheme="majorHAnsi" w:cstheme="majorHAnsi"/>
          <w:lang w:eastAsia="ja-JP"/>
        </w:rPr>
        <w:t xml:space="preserve">network cluster is highlighted in green, the </w:t>
      </w:r>
      <w:r w:rsidRPr="008A47F8">
        <w:rPr>
          <w:rFonts w:asciiTheme="majorHAnsi" w:hAnsiTheme="majorHAnsi" w:cstheme="majorHAnsi"/>
          <w:i/>
          <w:iCs/>
          <w:lang w:eastAsia="ja-JP"/>
        </w:rPr>
        <w:t xml:space="preserve">Faecalibacterium prausnitzii </w:t>
      </w:r>
      <w:r w:rsidRPr="008A47F8">
        <w:rPr>
          <w:rFonts w:asciiTheme="majorHAnsi" w:hAnsiTheme="majorHAnsi" w:cstheme="majorHAnsi"/>
          <w:lang w:eastAsia="ja-JP"/>
        </w:rPr>
        <w:t xml:space="preserve">network cluster is highlighted in light blue, the small intestine microbiota cluster is highlighted in dark blue, and the </w:t>
      </w:r>
      <w:r w:rsidRPr="008A47F8">
        <w:rPr>
          <w:rFonts w:asciiTheme="majorHAnsi" w:hAnsiTheme="majorHAnsi" w:cstheme="majorHAnsi"/>
          <w:i/>
          <w:iCs/>
          <w:lang w:eastAsia="ja-JP"/>
        </w:rPr>
        <w:t xml:space="preserve">Bifidobacterium </w:t>
      </w:r>
      <w:r w:rsidRPr="008A47F8">
        <w:rPr>
          <w:rFonts w:asciiTheme="majorHAnsi" w:hAnsiTheme="majorHAnsi" w:cstheme="majorHAnsi"/>
          <w:lang w:eastAsia="ja-JP"/>
        </w:rPr>
        <w:t xml:space="preserve">cluster (young age) is highlighted in black. Several additional important bacteria are highlighted in red colours including, </w:t>
      </w:r>
      <w:r w:rsidRPr="008A47F8">
        <w:rPr>
          <w:rFonts w:asciiTheme="majorHAnsi" w:hAnsiTheme="majorHAnsi" w:cstheme="majorHAnsi"/>
          <w:i/>
          <w:iCs/>
          <w:lang w:eastAsia="ja-JP"/>
        </w:rPr>
        <w:t>Prevotella copri</w:t>
      </w:r>
      <w:r w:rsidRPr="008A47F8">
        <w:rPr>
          <w:rFonts w:asciiTheme="majorHAnsi" w:hAnsiTheme="majorHAnsi" w:cstheme="majorHAnsi"/>
          <w:lang w:eastAsia="ja-JP"/>
        </w:rPr>
        <w:t xml:space="preserve">, </w:t>
      </w:r>
      <w:r w:rsidRPr="008A47F8">
        <w:rPr>
          <w:rFonts w:asciiTheme="majorHAnsi" w:hAnsiTheme="majorHAnsi" w:cstheme="majorHAnsi"/>
          <w:i/>
          <w:iCs/>
          <w:lang w:eastAsia="ja-JP"/>
        </w:rPr>
        <w:t>Bacteroides</w:t>
      </w:r>
      <w:r w:rsidRPr="008A47F8">
        <w:rPr>
          <w:rFonts w:asciiTheme="majorHAnsi" w:hAnsiTheme="majorHAnsi" w:cstheme="majorHAnsi"/>
          <w:lang w:eastAsia="ja-JP"/>
        </w:rPr>
        <w:t xml:space="preserve">, and </w:t>
      </w:r>
      <w:r w:rsidRPr="008A47F8">
        <w:rPr>
          <w:rFonts w:asciiTheme="majorHAnsi" w:hAnsiTheme="majorHAnsi" w:cstheme="majorHAnsi"/>
          <w:i/>
          <w:iCs/>
          <w:lang w:eastAsia="ja-JP"/>
        </w:rPr>
        <w:t>Escherichia coli</w:t>
      </w:r>
      <w:r w:rsidRPr="008A47F8">
        <w:rPr>
          <w:rFonts w:asciiTheme="majorHAnsi" w:hAnsiTheme="majorHAnsi" w:cstheme="majorHAnsi"/>
          <w:lang w:eastAsia="ja-JP"/>
        </w:rPr>
        <w:t xml:space="preserve">. Emphasis on their associations with </w:t>
      </w:r>
      <w:r w:rsidR="00161A65" w:rsidRPr="008A47F8">
        <w:rPr>
          <w:rFonts w:asciiTheme="majorHAnsi" w:hAnsiTheme="majorHAnsi" w:cstheme="majorHAnsi"/>
          <w:lang w:eastAsia="ja-JP"/>
        </w:rPr>
        <w:t>each other</w:t>
      </w:r>
      <w:r w:rsidRPr="008A47F8">
        <w:rPr>
          <w:rFonts w:asciiTheme="majorHAnsi" w:hAnsiTheme="majorHAnsi" w:cstheme="majorHAnsi"/>
          <w:lang w:eastAsia="ja-JP"/>
        </w:rPr>
        <w:t xml:space="preserve"> is given with black lines. Please note: a read heatmap colour means strong positive correlation and a blue heatmap colour means strong negative correlation. There are additional species correlated outside the obvious labelled clusters, which were not labelled. </w:t>
      </w:r>
    </w:p>
    <w:p w14:paraId="7CCCB644" w14:textId="45BFA1C5" w:rsidR="00AF7C1C" w:rsidRPr="008A47F8" w:rsidRDefault="00AF7C1C" w:rsidP="008A47F8">
      <w:pPr>
        <w:spacing w:line="480" w:lineRule="auto"/>
        <w:rPr>
          <w:rFonts w:asciiTheme="majorHAnsi" w:hAnsiTheme="majorHAnsi" w:cstheme="majorHAnsi"/>
          <w:lang w:eastAsia="ja-JP"/>
        </w:rPr>
      </w:pPr>
      <w:r w:rsidRPr="008A47F8">
        <w:rPr>
          <w:rFonts w:asciiTheme="majorHAnsi" w:hAnsiTheme="majorHAnsi" w:cstheme="majorHAnsi"/>
          <w:u w:val="single"/>
          <w:lang w:eastAsia="ja-JP"/>
        </w:rPr>
        <w:t>5.2 Bacterial tropic network summary</w:t>
      </w:r>
      <w:r w:rsidRPr="008A47F8">
        <w:rPr>
          <w:rFonts w:asciiTheme="majorHAnsi" w:hAnsiTheme="majorHAnsi" w:cstheme="majorHAnsi"/>
          <w:lang w:eastAsia="ja-JP"/>
        </w:rPr>
        <w:br/>
        <w:t xml:space="preserve">The bacterial tropic network summary was generated from Spearman correlation coefficient data. </w:t>
      </w:r>
    </w:p>
    <w:p w14:paraId="279F7E6C" w14:textId="03F0868F" w:rsidR="00AF7C1C" w:rsidRPr="008A47F8" w:rsidRDefault="00AF7C1C" w:rsidP="008A47F8">
      <w:pPr>
        <w:spacing w:line="480" w:lineRule="auto"/>
        <w:rPr>
          <w:rFonts w:asciiTheme="majorHAnsi" w:hAnsiTheme="majorHAnsi" w:cstheme="majorHAnsi"/>
          <w:lang w:eastAsia="ja-JP"/>
        </w:rPr>
      </w:pPr>
      <w:r w:rsidRPr="008A47F8">
        <w:rPr>
          <w:rFonts w:asciiTheme="majorHAnsi" w:hAnsiTheme="majorHAnsi" w:cstheme="majorHAnsi"/>
          <w:b/>
          <w:bCs/>
          <w:lang w:eastAsia="ja-JP"/>
        </w:rPr>
        <w:t xml:space="preserve">6) Bacterial tropic network species development </w:t>
      </w:r>
    </w:p>
    <w:p w14:paraId="2CC1C496" w14:textId="6350C331" w:rsidR="00AF7C1C" w:rsidRDefault="00AF7C1C" w:rsidP="008A47F8">
      <w:pPr>
        <w:spacing w:line="480" w:lineRule="auto"/>
        <w:rPr>
          <w:rFonts w:asciiTheme="majorHAnsi" w:hAnsiTheme="majorHAnsi" w:cstheme="majorHAnsi"/>
          <w:lang w:eastAsia="ja-JP"/>
        </w:rPr>
      </w:pPr>
      <w:r w:rsidRPr="008A47F8">
        <w:rPr>
          <w:rFonts w:asciiTheme="majorHAnsi" w:hAnsiTheme="majorHAnsi" w:cstheme="majorHAnsi"/>
          <w:lang w:eastAsia="ja-JP"/>
        </w:rPr>
        <w:t xml:space="preserve">Species identified to be either associated with the </w:t>
      </w:r>
      <w:r w:rsidRPr="008A47F8">
        <w:rPr>
          <w:rFonts w:asciiTheme="majorHAnsi" w:hAnsiTheme="majorHAnsi" w:cstheme="majorHAnsi"/>
          <w:i/>
          <w:iCs/>
          <w:lang w:eastAsia="ja-JP"/>
        </w:rPr>
        <w:t xml:space="preserve">Prevotella stercorea </w:t>
      </w:r>
      <w:r w:rsidRPr="008A47F8">
        <w:rPr>
          <w:rFonts w:asciiTheme="majorHAnsi" w:hAnsiTheme="majorHAnsi" w:cstheme="majorHAnsi"/>
          <w:lang w:eastAsia="ja-JP"/>
        </w:rPr>
        <w:t xml:space="preserve">or the </w:t>
      </w:r>
      <w:r w:rsidRPr="008A47F8">
        <w:rPr>
          <w:rFonts w:asciiTheme="majorHAnsi" w:hAnsiTheme="majorHAnsi" w:cstheme="majorHAnsi"/>
          <w:i/>
          <w:iCs/>
          <w:lang w:eastAsia="ja-JP"/>
        </w:rPr>
        <w:t xml:space="preserve">Faecalibacterium prausnitzii </w:t>
      </w:r>
      <w:r w:rsidRPr="008A47F8">
        <w:rPr>
          <w:rFonts w:asciiTheme="majorHAnsi" w:hAnsiTheme="majorHAnsi" w:cstheme="majorHAnsi"/>
          <w:lang w:eastAsia="ja-JP"/>
        </w:rPr>
        <w:t xml:space="preserve">cluster (see Heatmap) were plotted as a stacked line chart using Mac Keynote version 10.0. For this analysis we used the TSS normalized </w:t>
      </w:r>
      <w:r w:rsidR="00A964A4" w:rsidRPr="008A47F8">
        <w:rPr>
          <w:rFonts w:asciiTheme="majorHAnsi" w:hAnsiTheme="majorHAnsi" w:cstheme="majorHAnsi"/>
          <w:lang w:eastAsia="ja-JP"/>
        </w:rPr>
        <w:t xml:space="preserve">and CSS+log2 transformed </w:t>
      </w:r>
      <w:r w:rsidRPr="008A47F8">
        <w:rPr>
          <w:rFonts w:asciiTheme="majorHAnsi" w:hAnsiTheme="majorHAnsi" w:cstheme="majorHAnsi"/>
          <w:lang w:eastAsia="ja-JP"/>
        </w:rPr>
        <w:t xml:space="preserve">dataset using the online web portal Calypso </w:t>
      </w:r>
      <w:r w:rsidRPr="008A47F8">
        <w:rPr>
          <w:rFonts w:asciiTheme="majorHAnsi" w:hAnsiTheme="majorHAnsi" w:cstheme="majorHAnsi"/>
          <w:color w:val="333333"/>
          <w:shd w:val="clear" w:color="auto" w:fill="FFFFFF"/>
          <w:lang w:eastAsia="ja-JP"/>
        </w:rPr>
        <w:t xml:space="preserve">version: </w:t>
      </w:r>
      <w:r w:rsidRPr="008A47F8">
        <w:rPr>
          <w:rFonts w:asciiTheme="majorHAnsi" w:hAnsiTheme="majorHAnsi" w:cstheme="majorHAnsi"/>
          <w:color w:val="333333"/>
          <w:lang w:eastAsia="ja-JP"/>
        </w:rPr>
        <w:t xml:space="preserve">8.84 </w:t>
      </w:r>
      <w:r w:rsidR="003F0F57">
        <w:rPr>
          <w:rFonts w:asciiTheme="majorHAnsi" w:hAnsiTheme="majorHAnsi" w:cstheme="majorHAnsi"/>
          <w:position w:val="8"/>
          <w:vertAlign w:val="superscript"/>
          <w:lang w:eastAsia="ja-JP"/>
        </w:rPr>
        <w:t>9</w:t>
      </w:r>
      <w:r w:rsidRPr="008A47F8">
        <w:rPr>
          <w:rFonts w:asciiTheme="majorHAnsi" w:hAnsiTheme="majorHAnsi" w:cstheme="majorHAnsi"/>
          <w:lang w:eastAsia="ja-JP"/>
        </w:rPr>
        <w:t xml:space="preserve">. The values for the individual taxa were taken from Supplementary Table 2. </w:t>
      </w:r>
    </w:p>
    <w:p w14:paraId="5E4D6C65" w14:textId="77777777" w:rsidR="007250E0" w:rsidRPr="008A47F8" w:rsidRDefault="007250E0" w:rsidP="008A47F8">
      <w:pPr>
        <w:spacing w:line="480" w:lineRule="auto"/>
        <w:rPr>
          <w:rFonts w:asciiTheme="majorHAnsi" w:hAnsiTheme="majorHAnsi" w:cstheme="majorHAnsi"/>
          <w:lang w:eastAsia="ja-JP"/>
        </w:rPr>
      </w:pPr>
    </w:p>
    <w:p w14:paraId="0ECE4681" w14:textId="79861F7A" w:rsidR="002C0D70" w:rsidRPr="008A47F8" w:rsidRDefault="002C0D70" w:rsidP="008A47F8">
      <w:pPr>
        <w:widowControl w:val="0"/>
        <w:autoSpaceDE w:val="0"/>
        <w:autoSpaceDN w:val="0"/>
        <w:adjustRightInd w:val="0"/>
        <w:spacing w:line="480" w:lineRule="auto"/>
        <w:ind w:left="284" w:hanging="284"/>
        <w:rPr>
          <w:rFonts w:asciiTheme="majorHAnsi" w:hAnsiTheme="majorHAnsi" w:cstheme="majorHAnsi"/>
          <w:b/>
          <w:bCs/>
          <w:color w:val="000000" w:themeColor="text1"/>
          <w:lang w:val="en-US"/>
        </w:rPr>
      </w:pPr>
      <w:r w:rsidRPr="008A47F8">
        <w:rPr>
          <w:rFonts w:asciiTheme="majorHAnsi" w:hAnsiTheme="majorHAnsi" w:cstheme="majorHAnsi"/>
          <w:b/>
          <w:bCs/>
          <w:color w:val="000000" w:themeColor="text1"/>
          <w:lang w:val="en-US"/>
        </w:rPr>
        <w:lastRenderedPageBreak/>
        <w:t>7)</w:t>
      </w:r>
      <w:r w:rsidRPr="008A47F8">
        <w:rPr>
          <w:rFonts w:asciiTheme="majorHAnsi" w:hAnsiTheme="majorHAnsi" w:cstheme="majorHAnsi"/>
          <w:b/>
          <w:bCs/>
          <w:color w:val="000000" w:themeColor="text1"/>
          <w:lang w:val="en-US"/>
        </w:rPr>
        <w:tab/>
        <w:t xml:space="preserve">Multivariate linear regression to identify an association between bacterial taxa and anthropometric Z-scores </w:t>
      </w:r>
    </w:p>
    <w:p w14:paraId="01B5E739" w14:textId="1F2F0670" w:rsidR="002C0D70" w:rsidRDefault="002C0D70" w:rsidP="008A47F8">
      <w:pPr>
        <w:widowControl w:val="0"/>
        <w:autoSpaceDE w:val="0"/>
        <w:autoSpaceDN w:val="0"/>
        <w:adjustRightInd w:val="0"/>
        <w:spacing w:line="480" w:lineRule="auto"/>
        <w:rPr>
          <w:rFonts w:asciiTheme="majorHAnsi" w:hAnsiTheme="majorHAnsi" w:cstheme="majorHAnsi"/>
          <w:color w:val="000000" w:themeColor="text1"/>
          <w:shd w:val="clear" w:color="auto" w:fill="FFFFFF"/>
          <w:lang w:eastAsia="en-GB"/>
        </w:rPr>
      </w:pPr>
      <w:r w:rsidRPr="008A47F8">
        <w:rPr>
          <w:rFonts w:asciiTheme="majorHAnsi" w:hAnsiTheme="majorHAnsi" w:cstheme="majorHAnsi"/>
          <w:color w:val="000000" w:themeColor="text1"/>
          <w:lang w:val="en-US"/>
        </w:rPr>
        <w:t>Multivariate linear regression (MLR) is a powerful technique that can identify complex association between bacterial taxa composition and multiple explanatory variables. In this analysis the multiple explanatory variables were height-for-</w:t>
      </w:r>
      <w:r w:rsidRPr="008A47F8">
        <w:rPr>
          <w:rFonts w:asciiTheme="majorHAnsi" w:hAnsiTheme="majorHAnsi" w:cstheme="majorHAnsi"/>
          <w:color w:val="000000" w:themeColor="text1"/>
          <w:shd w:val="clear" w:color="auto" w:fill="FFFFFF"/>
          <w:lang w:eastAsia="en-GB"/>
        </w:rPr>
        <w:t>age </w:t>
      </w:r>
      <w:r w:rsidRPr="008A47F8">
        <w:rPr>
          <w:rFonts w:asciiTheme="majorHAnsi" w:hAnsiTheme="majorHAnsi" w:cstheme="majorHAnsi"/>
          <w:i/>
          <w:iCs/>
          <w:color w:val="000000" w:themeColor="text1"/>
          <w:bdr w:val="none" w:sz="0" w:space="0" w:color="auto" w:frame="1"/>
          <w:lang w:eastAsia="en-GB"/>
        </w:rPr>
        <w:t>Z</w:t>
      </w:r>
      <w:r w:rsidRPr="008A47F8">
        <w:rPr>
          <w:rFonts w:asciiTheme="majorHAnsi" w:hAnsiTheme="majorHAnsi" w:cstheme="majorHAnsi"/>
          <w:color w:val="000000" w:themeColor="text1"/>
          <w:shd w:val="clear" w:color="auto" w:fill="FFFFFF"/>
          <w:lang w:eastAsia="en-GB"/>
        </w:rPr>
        <w:t>-scores (HAZ), weight-for-age </w:t>
      </w:r>
      <w:r w:rsidRPr="008A47F8">
        <w:rPr>
          <w:rFonts w:asciiTheme="majorHAnsi" w:hAnsiTheme="majorHAnsi" w:cstheme="majorHAnsi"/>
          <w:i/>
          <w:iCs/>
          <w:color w:val="000000" w:themeColor="text1"/>
          <w:bdr w:val="none" w:sz="0" w:space="0" w:color="auto" w:frame="1"/>
          <w:lang w:eastAsia="en-GB"/>
        </w:rPr>
        <w:t>Z</w:t>
      </w:r>
      <w:r w:rsidRPr="008A47F8">
        <w:rPr>
          <w:rFonts w:asciiTheme="majorHAnsi" w:hAnsiTheme="majorHAnsi" w:cstheme="majorHAnsi"/>
          <w:color w:val="000000" w:themeColor="text1"/>
          <w:shd w:val="clear" w:color="auto" w:fill="FFFFFF"/>
          <w:lang w:eastAsia="en-GB"/>
        </w:rPr>
        <w:t>-scores (WAZ), weight-for-height </w:t>
      </w:r>
      <w:r w:rsidRPr="008A47F8">
        <w:rPr>
          <w:rFonts w:asciiTheme="majorHAnsi" w:hAnsiTheme="majorHAnsi" w:cstheme="majorHAnsi"/>
          <w:i/>
          <w:iCs/>
          <w:color w:val="000000" w:themeColor="text1"/>
          <w:bdr w:val="none" w:sz="0" w:space="0" w:color="auto" w:frame="1"/>
          <w:lang w:eastAsia="en-GB"/>
        </w:rPr>
        <w:t>Z</w:t>
      </w:r>
      <w:r w:rsidRPr="008A47F8">
        <w:rPr>
          <w:rFonts w:asciiTheme="majorHAnsi" w:hAnsiTheme="majorHAnsi" w:cstheme="majorHAnsi"/>
          <w:color w:val="000000" w:themeColor="text1"/>
          <w:shd w:val="clear" w:color="auto" w:fill="FFFFFF"/>
          <w:lang w:eastAsia="en-GB"/>
        </w:rPr>
        <w:t xml:space="preserve">-scores (WHZ). In a first analysis we </w:t>
      </w:r>
      <w:r w:rsidR="00161A65" w:rsidRPr="008A47F8">
        <w:rPr>
          <w:rFonts w:asciiTheme="majorHAnsi" w:hAnsiTheme="majorHAnsi" w:cstheme="majorHAnsi"/>
          <w:color w:val="000000" w:themeColor="text1"/>
          <w:shd w:val="clear" w:color="auto" w:fill="FFFFFF"/>
          <w:lang w:eastAsia="en-GB"/>
        </w:rPr>
        <w:t xml:space="preserve">used MLR to identify an association between individual bacterial taxa and all Z-scores factors controlled by age and in a second analysis we used MLR to identify an association between bacterial community diversity (alpha diversity indexes) and all Z-scores factors again controlled by age. MLR was conducted using the advanced regression analysis option in the online CALPYSO web portal (version 8.84) </w:t>
      </w:r>
      <w:r w:rsidR="00161A65" w:rsidRPr="008A47F8">
        <w:rPr>
          <w:rFonts w:asciiTheme="majorHAnsi" w:hAnsiTheme="majorHAnsi" w:cstheme="majorHAnsi"/>
          <w:color w:val="000000" w:themeColor="text1"/>
          <w:shd w:val="clear" w:color="auto" w:fill="FFFFFF"/>
          <w:lang w:eastAsia="en-GB"/>
        </w:rPr>
        <w:fldChar w:fldCharType="begin" w:fldLock="1"/>
      </w:r>
      <w:r w:rsidR="003F0F57">
        <w:rPr>
          <w:rFonts w:asciiTheme="majorHAnsi" w:hAnsiTheme="majorHAnsi" w:cstheme="majorHAnsi"/>
          <w:color w:val="000000" w:themeColor="text1"/>
          <w:shd w:val="clear" w:color="auto" w:fill="FFFFFF"/>
          <w:lang w:eastAsia="en-GB"/>
        </w:rPr>
        <w:instrText>ADDIN CSL_CITATION {"citationItems":[{"id":"ITEM-1","itemData":{"DOI":"10.1093/bioinformatics/btw725","ISSN":"1367-4803","abstract":"Calypso is an easy-to-use online software suite that allows non-expert users to mine, interpret and compare taxonomic information from metagenomic or 16S rDNA datasets. Calypso has a focus on multivariate statistical approaches that can identify complex environment-microbiome associations. The software enables quantitative visualizations, statistical testing, multivariate analysis, supervised learning, factor analysis, multivariable regression, network analysis and diversity estimates. Comprehensive help pages, tutorials and videos are provided via a wiki page.","author":[{"dropping-particle":"","family":"Zakrzewski","given":"Martha","non-dropping-particle":"","parse-names":false,"suffix":""},{"dropping-particle":"","family":"Proietti","given":"Carla","non-dropping-particle":"","parse-names":false,"suffix":""},{"dropping-particle":"","family":"Ellis","given":"Jonathan J.","non-dropping-particle":"","parse-names":false,"suffix":""},{"dropping-particle":"","family":"Hasan","given":"Shihab","non-dropping-particle":"","parse-names":false,"suffix":""},{"dropping-particle":"","family":"Brion","given":"Marie-Jo","non-dropping-particle":"","parse-names":false,"suffix":""},{"dropping-particle":"","family":"Berger","given":"Bernard","non-dropping-particle":"","parse-names":false,"suffix":""},{"dropping-particle":"","family":"Krause","given":"Lutz","non-dropping-particle":"","parse-names":false,"suffix":""}],"container-title":"Bioinformatics","id":"ITEM-1","issue":"5","issued":{"date-parts":[["2017","12","24"]]},"page":"782-783","title":"Calypso: a user-friendly web-server for mining and visualizing microbiome–environment interactions","type":"article-journal","volume":"33"},"uris":["http://www.mendeley.com/documents/?uuid=6ee8f08e-eb81-4f0a-9152-2323fb5bddcf"]}],"mendeley":{"formattedCitation":"&lt;sup&gt;9&lt;/sup&gt;","plainTextFormattedCitation":"9","previouslyFormattedCitation":"&lt;sup&gt;9&lt;/sup&gt;"},"properties":{"noteIndex":0},"schema":"https://github.com/citation-style-language/schema/raw/master/csl-citation.json"}</w:instrText>
      </w:r>
      <w:r w:rsidR="00161A65" w:rsidRPr="008A47F8">
        <w:rPr>
          <w:rFonts w:asciiTheme="majorHAnsi" w:hAnsiTheme="majorHAnsi" w:cstheme="majorHAnsi"/>
          <w:color w:val="000000" w:themeColor="text1"/>
          <w:shd w:val="clear" w:color="auto" w:fill="FFFFFF"/>
          <w:lang w:eastAsia="en-GB"/>
        </w:rPr>
        <w:fldChar w:fldCharType="separate"/>
      </w:r>
      <w:r w:rsidR="00161A65" w:rsidRPr="008A47F8">
        <w:rPr>
          <w:rFonts w:asciiTheme="majorHAnsi" w:hAnsiTheme="majorHAnsi" w:cstheme="majorHAnsi"/>
          <w:noProof/>
          <w:color w:val="000000" w:themeColor="text1"/>
          <w:shd w:val="clear" w:color="auto" w:fill="FFFFFF"/>
          <w:vertAlign w:val="superscript"/>
          <w:lang w:eastAsia="en-GB"/>
        </w:rPr>
        <w:t>9</w:t>
      </w:r>
      <w:r w:rsidR="00161A65" w:rsidRPr="008A47F8">
        <w:rPr>
          <w:rFonts w:asciiTheme="majorHAnsi" w:hAnsiTheme="majorHAnsi" w:cstheme="majorHAnsi"/>
          <w:color w:val="000000" w:themeColor="text1"/>
          <w:shd w:val="clear" w:color="auto" w:fill="FFFFFF"/>
          <w:lang w:eastAsia="en-GB"/>
        </w:rPr>
        <w:fldChar w:fldCharType="end"/>
      </w:r>
      <w:r w:rsidR="00161A65" w:rsidRPr="008A47F8">
        <w:rPr>
          <w:rFonts w:asciiTheme="majorHAnsi" w:hAnsiTheme="majorHAnsi" w:cstheme="majorHAnsi"/>
          <w:color w:val="000000" w:themeColor="text1"/>
          <w:shd w:val="clear" w:color="auto" w:fill="FFFFFF"/>
          <w:lang w:eastAsia="en-GB"/>
        </w:rPr>
        <w:t>.</w:t>
      </w:r>
    </w:p>
    <w:p w14:paraId="63FD0248" w14:textId="77777777" w:rsidR="007250E0" w:rsidRPr="008A47F8" w:rsidRDefault="007250E0" w:rsidP="008A47F8">
      <w:pPr>
        <w:widowControl w:val="0"/>
        <w:autoSpaceDE w:val="0"/>
        <w:autoSpaceDN w:val="0"/>
        <w:adjustRightInd w:val="0"/>
        <w:spacing w:line="480" w:lineRule="auto"/>
        <w:rPr>
          <w:rFonts w:asciiTheme="majorHAnsi" w:hAnsiTheme="majorHAnsi" w:cstheme="majorHAnsi"/>
          <w:lang w:eastAsia="en-GB"/>
        </w:rPr>
      </w:pPr>
    </w:p>
    <w:p w14:paraId="657FA520" w14:textId="2FDDB5BE" w:rsidR="009047E3" w:rsidRPr="008A47F8" w:rsidRDefault="009047E3" w:rsidP="008A47F8">
      <w:pPr>
        <w:spacing w:line="480" w:lineRule="auto"/>
        <w:rPr>
          <w:rFonts w:asciiTheme="majorHAnsi" w:hAnsiTheme="majorHAnsi" w:cstheme="majorHAnsi"/>
          <w:b/>
          <w:bCs/>
          <w:lang w:eastAsia="ja-JP"/>
        </w:rPr>
      </w:pPr>
      <w:r w:rsidRPr="008A47F8">
        <w:rPr>
          <w:rFonts w:asciiTheme="majorHAnsi" w:hAnsiTheme="majorHAnsi" w:cstheme="majorHAnsi"/>
          <w:b/>
          <w:bCs/>
          <w:lang w:eastAsia="ja-JP"/>
        </w:rPr>
        <w:t>References</w:t>
      </w:r>
    </w:p>
    <w:p w14:paraId="587E4453" w14:textId="545356F6" w:rsidR="003F0F57" w:rsidRPr="003F0F57" w:rsidRDefault="00C61BD9" w:rsidP="003F0F57">
      <w:pPr>
        <w:widowControl w:val="0"/>
        <w:autoSpaceDE w:val="0"/>
        <w:autoSpaceDN w:val="0"/>
        <w:adjustRightInd w:val="0"/>
        <w:spacing w:line="480" w:lineRule="auto"/>
        <w:ind w:left="640" w:hanging="640"/>
        <w:rPr>
          <w:rFonts w:ascii="Calibri Light" w:hAnsi="Calibri Light" w:cs="Calibri Light"/>
          <w:noProof/>
          <w:lang w:val="en-GB"/>
        </w:rPr>
      </w:pPr>
      <w:r w:rsidRPr="008A47F8">
        <w:rPr>
          <w:rFonts w:asciiTheme="majorHAnsi" w:hAnsiTheme="majorHAnsi" w:cstheme="majorHAnsi"/>
          <w:color w:val="000000" w:themeColor="text1"/>
          <w:lang w:val="en-US"/>
        </w:rPr>
        <w:fldChar w:fldCharType="begin" w:fldLock="1"/>
      </w:r>
      <w:r w:rsidRPr="008A47F8">
        <w:rPr>
          <w:rFonts w:asciiTheme="majorHAnsi" w:hAnsiTheme="majorHAnsi" w:cstheme="majorHAnsi"/>
          <w:color w:val="000000" w:themeColor="text1"/>
          <w:lang w:val="en-US"/>
        </w:rPr>
        <w:instrText xml:space="preserve">ADDIN Mendeley Bibliography CSL_BIBLIOGRAPHY </w:instrText>
      </w:r>
      <w:r w:rsidRPr="008A47F8">
        <w:rPr>
          <w:rFonts w:asciiTheme="majorHAnsi" w:hAnsiTheme="majorHAnsi" w:cstheme="majorHAnsi"/>
          <w:color w:val="000000" w:themeColor="text1"/>
          <w:lang w:val="en-US"/>
        </w:rPr>
        <w:fldChar w:fldCharType="separate"/>
      </w:r>
      <w:r w:rsidR="003F0F57" w:rsidRPr="003F0F57">
        <w:rPr>
          <w:rFonts w:ascii="Calibri Light" w:hAnsi="Calibri Light" w:cs="Calibri Light"/>
          <w:noProof/>
          <w:lang w:val="en-GB"/>
        </w:rPr>
        <w:t>1.</w:t>
      </w:r>
      <w:r w:rsidR="003F0F57" w:rsidRPr="003F0F57">
        <w:rPr>
          <w:rFonts w:ascii="Calibri Light" w:hAnsi="Calibri Light" w:cs="Calibri Light"/>
          <w:noProof/>
          <w:lang w:val="en-GB"/>
        </w:rPr>
        <w:tab/>
        <w:t xml:space="preserve">Pereira, D. I. A. </w:t>
      </w:r>
      <w:r w:rsidR="003F0F57" w:rsidRPr="003F0F57">
        <w:rPr>
          <w:rFonts w:ascii="Calibri Light" w:hAnsi="Calibri Light" w:cs="Calibri Light"/>
          <w:i/>
          <w:iCs/>
          <w:noProof/>
          <w:lang w:val="en-GB"/>
        </w:rPr>
        <w:t>et al.</w:t>
      </w:r>
      <w:r w:rsidR="003F0F57" w:rsidRPr="003F0F57">
        <w:rPr>
          <w:rFonts w:ascii="Calibri Light" w:hAnsi="Calibri Light" w:cs="Calibri Light"/>
          <w:noProof/>
          <w:lang w:val="en-GB"/>
        </w:rPr>
        <w:t xml:space="preserve"> A novel nano-iron supplement to safely combat iron deficiency and anaemia in young children: The IHAT-GUT double-blind, randomised, placebo-controlled trial protocol. </w:t>
      </w:r>
      <w:r w:rsidR="003F0F57" w:rsidRPr="003F0F57">
        <w:rPr>
          <w:rFonts w:ascii="Calibri Light" w:hAnsi="Calibri Light" w:cs="Calibri Light"/>
          <w:i/>
          <w:iCs/>
          <w:noProof/>
          <w:lang w:val="en-GB"/>
        </w:rPr>
        <w:t>Gates Open Res.</w:t>
      </w:r>
      <w:r w:rsidR="003F0F57" w:rsidRPr="003F0F57">
        <w:rPr>
          <w:rFonts w:ascii="Calibri Light" w:hAnsi="Calibri Light" w:cs="Calibri Light"/>
          <w:noProof/>
          <w:lang w:val="en-GB"/>
        </w:rPr>
        <w:t xml:space="preserve"> </w:t>
      </w:r>
      <w:r w:rsidR="003F0F57" w:rsidRPr="003F0F57">
        <w:rPr>
          <w:rFonts w:ascii="Calibri Light" w:hAnsi="Calibri Light" w:cs="Calibri Light"/>
          <w:b/>
          <w:bCs/>
          <w:noProof/>
          <w:lang w:val="en-GB"/>
        </w:rPr>
        <w:t>2</w:t>
      </w:r>
      <w:r w:rsidR="003F0F57" w:rsidRPr="003F0F57">
        <w:rPr>
          <w:rFonts w:ascii="Calibri Light" w:hAnsi="Calibri Light" w:cs="Calibri Light"/>
          <w:noProof/>
          <w:lang w:val="en-GB"/>
        </w:rPr>
        <w:t>, 48 (2018).</w:t>
      </w:r>
    </w:p>
    <w:p w14:paraId="7F100495"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2.</w:t>
      </w:r>
      <w:r w:rsidRPr="003F0F57">
        <w:rPr>
          <w:rFonts w:ascii="Calibri Light" w:hAnsi="Calibri Light" w:cs="Calibri Light"/>
          <w:noProof/>
          <w:lang w:val="en-GB"/>
        </w:rPr>
        <w:tab/>
        <w:t xml:space="preserve">WHO. Guideline daily iron supplementation in infants and children. in </w:t>
      </w:r>
      <w:r w:rsidRPr="003F0F57">
        <w:rPr>
          <w:rFonts w:ascii="Calibri Light" w:hAnsi="Calibri Light" w:cs="Calibri Light"/>
          <w:i/>
          <w:iCs/>
          <w:noProof/>
          <w:lang w:val="en-GB"/>
        </w:rPr>
        <w:t>Daily Iron Supplimentation in infants and children</w:t>
      </w:r>
      <w:r w:rsidRPr="003F0F57">
        <w:rPr>
          <w:rFonts w:ascii="Calibri Light" w:hAnsi="Calibri Light" w:cs="Calibri Light"/>
          <w:noProof/>
          <w:lang w:val="en-GB"/>
        </w:rPr>
        <w:t xml:space="preserve"> (2016).</w:t>
      </w:r>
    </w:p>
    <w:p w14:paraId="248CBF91"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3.</w:t>
      </w:r>
      <w:r w:rsidRPr="003F0F57">
        <w:rPr>
          <w:rFonts w:ascii="Calibri Light" w:hAnsi="Calibri Light" w:cs="Calibri Light"/>
          <w:noProof/>
          <w:lang w:val="en-GB"/>
        </w:rPr>
        <w:tab/>
        <w:t xml:space="preserve">Pereira, D. I. A. </w:t>
      </w:r>
      <w:r w:rsidRPr="003F0F57">
        <w:rPr>
          <w:rFonts w:ascii="Calibri Light" w:hAnsi="Calibri Light" w:cs="Calibri Light"/>
          <w:i/>
          <w:iCs/>
          <w:noProof/>
          <w:lang w:val="en-GB"/>
        </w:rPr>
        <w:t>et al.</w:t>
      </w:r>
      <w:r w:rsidRPr="003F0F57">
        <w:rPr>
          <w:rFonts w:ascii="Calibri Light" w:hAnsi="Calibri Light" w:cs="Calibri Light"/>
          <w:noProof/>
          <w:lang w:val="en-GB"/>
        </w:rPr>
        <w:t xml:space="preserve"> A novel nano-iron supplement to safely combat iron deficiency and anaemia in young children: The IHAT-GUT double-blind, randomised, placebo-controlled trial protocol. </w:t>
      </w:r>
      <w:r w:rsidRPr="003F0F57">
        <w:rPr>
          <w:rFonts w:ascii="Calibri Light" w:hAnsi="Calibri Light" w:cs="Calibri Light"/>
          <w:i/>
          <w:iCs/>
          <w:noProof/>
          <w:lang w:val="en-GB"/>
        </w:rPr>
        <w:t>Gates Open Res.</w:t>
      </w:r>
      <w:r w:rsidRPr="003F0F57">
        <w:rPr>
          <w:rFonts w:ascii="Calibri Light" w:hAnsi="Calibri Light" w:cs="Calibri Light"/>
          <w:noProof/>
          <w:lang w:val="en-GB"/>
        </w:rPr>
        <w:t xml:space="preserve"> (2018). doi:10.12688/gatesopenres.12866.2</w:t>
      </w:r>
    </w:p>
    <w:p w14:paraId="469DE5D5"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4.</w:t>
      </w:r>
      <w:r w:rsidRPr="003F0F57">
        <w:rPr>
          <w:rFonts w:ascii="Calibri Light" w:hAnsi="Calibri Light" w:cs="Calibri Light"/>
          <w:noProof/>
          <w:lang w:val="en-GB"/>
        </w:rPr>
        <w:tab/>
        <w:t xml:space="preserve">Kozich, J. J., Westcott, S. L., Baxter, N. T., Highlander, S. K. &amp; Schloss, P. D. Development of a dual-index sequencing strategy and curation pipeline for analyzing amplicon sequence data on the MiSeq Illumina sequencing platform. </w:t>
      </w:r>
      <w:r w:rsidRPr="003F0F57">
        <w:rPr>
          <w:rFonts w:ascii="Calibri Light" w:hAnsi="Calibri Light" w:cs="Calibri Light"/>
          <w:i/>
          <w:iCs/>
          <w:noProof/>
          <w:lang w:val="en-GB"/>
        </w:rPr>
        <w:t xml:space="preserve">Appl. Environ. </w:t>
      </w:r>
      <w:r w:rsidRPr="003F0F57">
        <w:rPr>
          <w:rFonts w:ascii="Calibri Light" w:hAnsi="Calibri Light" w:cs="Calibri Light"/>
          <w:i/>
          <w:iCs/>
          <w:noProof/>
          <w:lang w:val="en-GB"/>
        </w:rPr>
        <w:lastRenderedPageBreak/>
        <w:t>Microbiol.</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79</w:t>
      </w:r>
      <w:r w:rsidRPr="003F0F57">
        <w:rPr>
          <w:rFonts w:ascii="Calibri Light" w:hAnsi="Calibri Light" w:cs="Calibri Light"/>
          <w:noProof/>
          <w:lang w:val="en-GB"/>
        </w:rPr>
        <w:t>, 5112–20 (2013).</w:t>
      </w:r>
    </w:p>
    <w:p w14:paraId="3286F326"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5.</w:t>
      </w:r>
      <w:r w:rsidRPr="003F0F57">
        <w:rPr>
          <w:rFonts w:ascii="Calibri Light" w:hAnsi="Calibri Light" w:cs="Calibri Light"/>
          <w:noProof/>
          <w:lang w:val="en-GB"/>
        </w:rPr>
        <w:tab/>
        <w:t>Illumina. 16S Metagenomic Sequencing Library Preparation. Available at: https://support.illumina.com/documents/documentation/chemistry_documentation/16s/16s-metagenomic-library-prep-guide-15044223-b.pdf. (Accessed: 15th August 2018)</w:t>
      </w:r>
    </w:p>
    <w:p w14:paraId="7E2AB951"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6.</w:t>
      </w:r>
      <w:r w:rsidRPr="003F0F57">
        <w:rPr>
          <w:rFonts w:ascii="Calibri Light" w:hAnsi="Calibri Light" w:cs="Calibri Light"/>
          <w:noProof/>
          <w:lang w:val="en-GB"/>
        </w:rPr>
        <w:tab/>
        <w:t xml:space="preserve">Schmieder, R. &amp; Edwards, R. Quality control and preprocessing of metagenomic datasets. </w:t>
      </w:r>
      <w:r w:rsidRPr="003F0F57">
        <w:rPr>
          <w:rFonts w:ascii="Calibri Light" w:hAnsi="Calibri Light" w:cs="Calibri Light"/>
          <w:i/>
          <w:iCs/>
          <w:noProof/>
          <w:lang w:val="en-GB"/>
        </w:rPr>
        <w:t>Bioinformatics</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27</w:t>
      </w:r>
      <w:r w:rsidRPr="003F0F57">
        <w:rPr>
          <w:rFonts w:ascii="Calibri Light" w:hAnsi="Calibri Light" w:cs="Calibri Light"/>
          <w:noProof/>
          <w:lang w:val="en-GB"/>
        </w:rPr>
        <w:t>, 863–864 (2011).</w:t>
      </w:r>
    </w:p>
    <w:p w14:paraId="48144153"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7.</w:t>
      </w:r>
      <w:r w:rsidRPr="003F0F57">
        <w:rPr>
          <w:rFonts w:ascii="Calibri Light" w:hAnsi="Calibri Light" w:cs="Calibri Light"/>
          <w:noProof/>
          <w:lang w:val="en-GB"/>
        </w:rPr>
        <w:tab/>
        <w:t xml:space="preserve">A Murat Eren, Hilary G Morrison, Pamela J Lescault, Julie Reveillaud, J. H. V. and M. L. S. Minimum entropy decomposition: Unsupervised oligotyping for sensitive partitioning of high-throughput marker gene sequences. </w:t>
      </w:r>
      <w:r w:rsidRPr="003F0F57">
        <w:rPr>
          <w:rFonts w:ascii="Calibri Light" w:hAnsi="Calibri Light" w:cs="Calibri Light"/>
          <w:i/>
          <w:iCs/>
          <w:noProof/>
          <w:lang w:val="en-GB"/>
        </w:rPr>
        <w:t>ISME J.</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9</w:t>
      </w:r>
      <w:r w:rsidRPr="003F0F57">
        <w:rPr>
          <w:rFonts w:ascii="Calibri Light" w:hAnsi="Calibri Light" w:cs="Calibri Light"/>
          <w:noProof/>
          <w:lang w:val="en-GB"/>
        </w:rPr>
        <w:t>, 968–979 (2015).</w:t>
      </w:r>
    </w:p>
    <w:p w14:paraId="4C1AF261"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8.</w:t>
      </w:r>
      <w:r w:rsidRPr="003F0F57">
        <w:rPr>
          <w:rFonts w:ascii="Calibri Light" w:hAnsi="Calibri Light" w:cs="Calibri Light"/>
          <w:noProof/>
          <w:lang w:val="en-GB"/>
        </w:rPr>
        <w:tab/>
        <w:t xml:space="preserve">Ludwig, W. ARB: a software environment for sequence data. </w:t>
      </w:r>
      <w:r w:rsidRPr="003F0F57">
        <w:rPr>
          <w:rFonts w:ascii="Calibri Light" w:hAnsi="Calibri Light" w:cs="Calibri Light"/>
          <w:i/>
          <w:iCs/>
          <w:noProof/>
          <w:lang w:val="en-GB"/>
        </w:rPr>
        <w:t>Nucleic Acids Res.</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32</w:t>
      </w:r>
      <w:r w:rsidRPr="003F0F57">
        <w:rPr>
          <w:rFonts w:ascii="Calibri Light" w:hAnsi="Calibri Light" w:cs="Calibri Light"/>
          <w:noProof/>
          <w:lang w:val="en-GB"/>
        </w:rPr>
        <w:t>, 1363–1371 (2004).</w:t>
      </w:r>
    </w:p>
    <w:p w14:paraId="40D15C4A"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9.</w:t>
      </w:r>
      <w:r w:rsidRPr="003F0F57">
        <w:rPr>
          <w:rFonts w:ascii="Calibri Light" w:hAnsi="Calibri Light" w:cs="Calibri Light"/>
          <w:noProof/>
          <w:lang w:val="en-GB"/>
        </w:rPr>
        <w:tab/>
        <w:t xml:space="preserve">Zakrzewski, M. </w:t>
      </w:r>
      <w:r w:rsidRPr="003F0F57">
        <w:rPr>
          <w:rFonts w:ascii="Calibri Light" w:hAnsi="Calibri Light" w:cs="Calibri Light"/>
          <w:i/>
          <w:iCs/>
          <w:noProof/>
          <w:lang w:val="en-GB"/>
        </w:rPr>
        <w:t>et al.</w:t>
      </w:r>
      <w:r w:rsidRPr="003F0F57">
        <w:rPr>
          <w:rFonts w:ascii="Calibri Light" w:hAnsi="Calibri Light" w:cs="Calibri Light"/>
          <w:noProof/>
          <w:lang w:val="en-GB"/>
        </w:rPr>
        <w:t xml:space="preserve"> Calypso: a user-friendly web-server for mining and visualizing microbiome–environment interactions. </w:t>
      </w:r>
      <w:r w:rsidRPr="003F0F57">
        <w:rPr>
          <w:rFonts w:ascii="Calibri Light" w:hAnsi="Calibri Light" w:cs="Calibri Light"/>
          <w:i/>
          <w:iCs/>
          <w:noProof/>
          <w:lang w:val="en-GB"/>
        </w:rPr>
        <w:t>Bioinformatics</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33</w:t>
      </w:r>
      <w:r w:rsidRPr="003F0F57">
        <w:rPr>
          <w:rFonts w:ascii="Calibri Light" w:hAnsi="Calibri Light" w:cs="Calibri Light"/>
          <w:noProof/>
          <w:lang w:val="en-GB"/>
        </w:rPr>
        <w:t>, 782–783 (2017).</w:t>
      </w:r>
    </w:p>
    <w:p w14:paraId="3ACE4FAF"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10.</w:t>
      </w:r>
      <w:r w:rsidRPr="003F0F57">
        <w:rPr>
          <w:rFonts w:ascii="Calibri Light" w:hAnsi="Calibri Light" w:cs="Calibri Light"/>
          <w:noProof/>
          <w:lang w:val="en-GB"/>
        </w:rPr>
        <w:tab/>
        <w:t xml:space="preserve">Fisher, R. A., Corbet, A. S. &amp; Williams, C. B. The Relation Between the Number of Species and the Number of Individuals in a Random Sample of an Animal Population. </w:t>
      </w:r>
      <w:r w:rsidRPr="003F0F57">
        <w:rPr>
          <w:rFonts w:ascii="Calibri Light" w:hAnsi="Calibri Light" w:cs="Calibri Light"/>
          <w:i/>
          <w:iCs/>
          <w:noProof/>
          <w:lang w:val="en-GB"/>
        </w:rPr>
        <w:t>J. Anim. Ecol.</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12</w:t>
      </w:r>
      <w:r w:rsidRPr="003F0F57">
        <w:rPr>
          <w:rFonts w:ascii="Calibri Light" w:hAnsi="Calibri Light" w:cs="Calibri Light"/>
          <w:noProof/>
          <w:lang w:val="en-GB"/>
        </w:rPr>
        <w:t>, 42 (1943).</w:t>
      </w:r>
    </w:p>
    <w:p w14:paraId="17D3CD62"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11.</w:t>
      </w:r>
      <w:r w:rsidRPr="003F0F57">
        <w:rPr>
          <w:rFonts w:ascii="Calibri Light" w:hAnsi="Calibri Light" w:cs="Calibri Light"/>
          <w:noProof/>
          <w:lang w:val="en-GB"/>
        </w:rPr>
        <w:tab/>
        <w:t xml:space="preserve">TAYLOR, L. R. </w:t>
      </w:r>
      <w:r w:rsidRPr="003F0F57">
        <w:rPr>
          <w:rFonts w:ascii="Calibri Light" w:hAnsi="Calibri Light" w:cs="Calibri Light"/>
          <w:i/>
          <w:iCs/>
          <w:noProof/>
          <w:lang w:val="en-GB"/>
        </w:rPr>
        <w:t>Diversity of insect faunas (Symposia of the Royal Entomological Society of London)</w:t>
      </w:r>
      <w:r w:rsidRPr="003F0F57">
        <w:rPr>
          <w:rFonts w:ascii="Calibri Light" w:hAnsi="Calibri Light" w:cs="Calibri Light"/>
          <w:noProof/>
          <w:lang w:val="en-GB"/>
        </w:rPr>
        <w:t>. (Balckwell, Oxford, Royal Entomological Society, 1978, 1978).</w:t>
      </w:r>
    </w:p>
    <w:p w14:paraId="337AF627"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12.</w:t>
      </w:r>
      <w:r w:rsidRPr="003F0F57">
        <w:rPr>
          <w:rFonts w:ascii="Calibri Light" w:hAnsi="Calibri Light" w:cs="Calibri Light"/>
          <w:noProof/>
          <w:lang w:val="en-GB"/>
        </w:rPr>
        <w:tab/>
        <w:t xml:space="preserve">Hammer, Ø., Harper, D. A. T. &amp; Ryan, P. D. PAST: Paleontological statistics sofware package for education and data analysis. </w:t>
      </w:r>
      <w:r w:rsidRPr="003F0F57">
        <w:rPr>
          <w:rFonts w:ascii="Calibri Light" w:hAnsi="Calibri Light" w:cs="Calibri Light"/>
          <w:i/>
          <w:iCs/>
          <w:noProof/>
          <w:lang w:val="en-GB"/>
        </w:rPr>
        <w:t>Palaeontol. Electron.</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4</w:t>
      </w:r>
      <w:r w:rsidRPr="003F0F57">
        <w:rPr>
          <w:rFonts w:ascii="Calibri Light" w:hAnsi="Calibri Light" w:cs="Calibri Light"/>
          <w:noProof/>
          <w:lang w:val="en-GB"/>
        </w:rPr>
        <w:t>, 1–9 (2001).</w:t>
      </w:r>
    </w:p>
    <w:p w14:paraId="0F420FEF"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13.</w:t>
      </w:r>
      <w:r w:rsidRPr="003F0F57">
        <w:rPr>
          <w:rFonts w:ascii="Calibri Light" w:hAnsi="Calibri Light" w:cs="Calibri Light"/>
          <w:noProof/>
          <w:lang w:val="en-GB"/>
        </w:rPr>
        <w:tab/>
        <w:t xml:space="preserve">Paulson, J. N., Talukder, H., Pop, M. &amp; Bravo, H. C. Robust methods for differential abundance analysis in marker gene surveys. </w:t>
      </w:r>
      <w:r w:rsidRPr="003F0F57">
        <w:rPr>
          <w:rFonts w:ascii="Calibri Light" w:hAnsi="Calibri Light" w:cs="Calibri Light"/>
          <w:i/>
          <w:iCs/>
          <w:noProof/>
          <w:lang w:val="en-GB"/>
        </w:rPr>
        <w:t>Nat. Methods</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10</w:t>
      </w:r>
      <w:r w:rsidRPr="003F0F57">
        <w:rPr>
          <w:rFonts w:ascii="Calibri Light" w:hAnsi="Calibri Light" w:cs="Calibri Light"/>
          <w:noProof/>
          <w:lang w:val="en-GB"/>
        </w:rPr>
        <w:t>, 1200–1202 (2013).</w:t>
      </w:r>
    </w:p>
    <w:p w14:paraId="746A0E86"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lang w:val="en-GB"/>
        </w:rPr>
      </w:pPr>
      <w:r w:rsidRPr="003F0F57">
        <w:rPr>
          <w:rFonts w:ascii="Calibri Light" w:hAnsi="Calibri Light" w:cs="Calibri Light"/>
          <w:noProof/>
          <w:lang w:val="en-GB"/>
        </w:rPr>
        <w:t>14.</w:t>
      </w:r>
      <w:r w:rsidRPr="003F0F57">
        <w:rPr>
          <w:rFonts w:ascii="Calibri Light" w:hAnsi="Calibri Light" w:cs="Calibri Light"/>
          <w:noProof/>
          <w:lang w:val="en-GB"/>
        </w:rPr>
        <w:tab/>
        <w:t xml:space="preserve">Mandal, S. </w:t>
      </w:r>
      <w:r w:rsidRPr="003F0F57">
        <w:rPr>
          <w:rFonts w:ascii="Calibri Light" w:hAnsi="Calibri Light" w:cs="Calibri Light"/>
          <w:i/>
          <w:iCs/>
          <w:noProof/>
          <w:lang w:val="en-GB"/>
        </w:rPr>
        <w:t>et al.</w:t>
      </w:r>
      <w:r w:rsidRPr="003F0F57">
        <w:rPr>
          <w:rFonts w:ascii="Calibri Light" w:hAnsi="Calibri Light" w:cs="Calibri Light"/>
          <w:noProof/>
          <w:lang w:val="en-GB"/>
        </w:rPr>
        <w:t xml:space="preserve"> Analysis of composition of microbiomes: a novel method for studying </w:t>
      </w:r>
      <w:r w:rsidRPr="003F0F57">
        <w:rPr>
          <w:rFonts w:ascii="Calibri Light" w:hAnsi="Calibri Light" w:cs="Calibri Light"/>
          <w:noProof/>
          <w:lang w:val="en-GB"/>
        </w:rPr>
        <w:lastRenderedPageBreak/>
        <w:t xml:space="preserve">microbial composition. </w:t>
      </w:r>
      <w:r w:rsidRPr="003F0F57">
        <w:rPr>
          <w:rFonts w:ascii="Calibri Light" w:hAnsi="Calibri Light" w:cs="Calibri Light"/>
          <w:i/>
          <w:iCs/>
          <w:noProof/>
          <w:lang w:val="en-GB"/>
        </w:rPr>
        <w:t>Microb. Ecol. Heal. Dis.</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26</w:t>
      </w:r>
      <w:r w:rsidRPr="003F0F57">
        <w:rPr>
          <w:rFonts w:ascii="Calibri Light" w:hAnsi="Calibri Light" w:cs="Calibri Light"/>
          <w:noProof/>
          <w:lang w:val="en-GB"/>
        </w:rPr>
        <w:t>, 27663 (2015).</w:t>
      </w:r>
    </w:p>
    <w:p w14:paraId="23BC2E8E" w14:textId="77777777" w:rsidR="003F0F57" w:rsidRPr="003F0F57" w:rsidRDefault="003F0F57" w:rsidP="003F0F57">
      <w:pPr>
        <w:widowControl w:val="0"/>
        <w:autoSpaceDE w:val="0"/>
        <w:autoSpaceDN w:val="0"/>
        <w:adjustRightInd w:val="0"/>
        <w:spacing w:line="480" w:lineRule="auto"/>
        <w:ind w:left="640" w:hanging="640"/>
        <w:rPr>
          <w:rFonts w:ascii="Calibri Light" w:hAnsi="Calibri Light" w:cs="Calibri Light"/>
          <w:noProof/>
        </w:rPr>
      </w:pPr>
      <w:r w:rsidRPr="003F0F57">
        <w:rPr>
          <w:rFonts w:ascii="Calibri Light" w:hAnsi="Calibri Light" w:cs="Calibri Light"/>
          <w:noProof/>
          <w:lang w:val="en-GB"/>
        </w:rPr>
        <w:t>15.</w:t>
      </w:r>
      <w:r w:rsidRPr="003F0F57">
        <w:rPr>
          <w:rFonts w:ascii="Calibri Light" w:hAnsi="Calibri Light" w:cs="Calibri Light"/>
          <w:noProof/>
          <w:lang w:val="en-GB"/>
        </w:rPr>
        <w:tab/>
        <w:t xml:space="preserve">Fernandes, A. D. </w:t>
      </w:r>
      <w:r w:rsidRPr="003F0F57">
        <w:rPr>
          <w:rFonts w:ascii="Calibri Light" w:hAnsi="Calibri Light" w:cs="Calibri Light"/>
          <w:i/>
          <w:iCs/>
          <w:noProof/>
          <w:lang w:val="en-GB"/>
        </w:rPr>
        <w:t>et al.</w:t>
      </w:r>
      <w:r w:rsidRPr="003F0F57">
        <w:rPr>
          <w:rFonts w:ascii="Calibri Light" w:hAnsi="Calibri Light" w:cs="Calibri Light"/>
          <w:noProof/>
          <w:lang w:val="en-GB"/>
        </w:rPr>
        <w:t xml:space="preserve"> Unifying the analysis of high-throughput sequencing datasets: characterizing RNA-seq, 16S rRNA gene sequencing and selective growth experiments by compositional data analysis. </w:t>
      </w:r>
      <w:r w:rsidRPr="003F0F57">
        <w:rPr>
          <w:rFonts w:ascii="Calibri Light" w:hAnsi="Calibri Light" w:cs="Calibri Light"/>
          <w:i/>
          <w:iCs/>
          <w:noProof/>
          <w:lang w:val="en-GB"/>
        </w:rPr>
        <w:t>Microbiome</w:t>
      </w:r>
      <w:r w:rsidRPr="003F0F57">
        <w:rPr>
          <w:rFonts w:ascii="Calibri Light" w:hAnsi="Calibri Light" w:cs="Calibri Light"/>
          <w:noProof/>
          <w:lang w:val="en-GB"/>
        </w:rPr>
        <w:t xml:space="preserve"> </w:t>
      </w:r>
      <w:r w:rsidRPr="003F0F57">
        <w:rPr>
          <w:rFonts w:ascii="Calibri Light" w:hAnsi="Calibri Light" w:cs="Calibri Light"/>
          <w:b/>
          <w:bCs/>
          <w:noProof/>
          <w:lang w:val="en-GB"/>
        </w:rPr>
        <w:t>2</w:t>
      </w:r>
      <w:r w:rsidRPr="003F0F57">
        <w:rPr>
          <w:rFonts w:ascii="Calibri Light" w:hAnsi="Calibri Light" w:cs="Calibri Light"/>
          <w:noProof/>
          <w:lang w:val="en-GB"/>
        </w:rPr>
        <w:t>, 15 (2014).</w:t>
      </w:r>
    </w:p>
    <w:p w14:paraId="15BDCCB6" w14:textId="0552CB71" w:rsidR="007C60D5" w:rsidRPr="008A47F8" w:rsidRDefault="00C61BD9" w:rsidP="003F0F57">
      <w:pPr>
        <w:widowControl w:val="0"/>
        <w:autoSpaceDE w:val="0"/>
        <w:autoSpaceDN w:val="0"/>
        <w:adjustRightInd w:val="0"/>
        <w:spacing w:line="480" w:lineRule="auto"/>
        <w:ind w:left="640" w:hanging="640"/>
        <w:rPr>
          <w:rFonts w:asciiTheme="majorHAnsi" w:hAnsiTheme="majorHAnsi" w:cstheme="majorHAnsi"/>
        </w:rPr>
      </w:pPr>
      <w:r w:rsidRPr="008A47F8">
        <w:rPr>
          <w:rFonts w:asciiTheme="majorHAnsi" w:hAnsiTheme="majorHAnsi" w:cstheme="majorHAnsi"/>
          <w:color w:val="000000" w:themeColor="text1"/>
          <w:lang w:val="en-US"/>
        </w:rPr>
        <w:fldChar w:fldCharType="end"/>
      </w:r>
    </w:p>
    <w:sectPr w:rsidR="007C60D5" w:rsidRPr="008A47F8" w:rsidSect="00992C09">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958EE"/>
    <w:multiLevelType w:val="hybridMultilevel"/>
    <w:tmpl w:val="AE2EC520"/>
    <w:lvl w:ilvl="0" w:tplc="B88C5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E993935"/>
    <w:multiLevelType w:val="multilevel"/>
    <w:tmpl w:val="B420E66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2DE7BC6"/>
    <w:multiLevelType w:val="multilevel"/>
    <w:tmpl w:val="6472CE26"/>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9686024"/>
    <w:multiLevelType w:val="hybridMultilevel"/>
    <w:tmpl w:val="09986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41EE9"/>
    <w:multiLevelType w:val="hybridMultilevel"/>
    <w:tmpl w:val="14B4A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50785"/>
    <w:multiLevelType w:val="multilevel"/>
    <w:tmpl w:val="3AEA833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4335552"/>
    <w:multiLevelType w:val="multilevel"/>
    <w:tmpl w:val="00E0EB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6B20A4"/>
    <w:multiLevelType w:val="hybridMultilevel"/>
    <w:tmpl w:val="419692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66628"/>
    <w:multiLevelType w:val="hybridMultilevel"/>
    <w:tmpl w:val="4FFA7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8"/>
  </w:num>
  <w:num w:numId="5">
    <w:abstractNumId w:val="4"/>
  </w:num>
  <w:num w:numId="6">
    <w:abstractNumId w:val="6"/>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D9"/>
    <w:rsid w:val="000058D3"/>
    <w:rsid w:val="00011ADC"/>
    <w:rsid w:val="000128A6"/>
    <w:rsid w:val="00022A9B"/>
    <w:rsid w:val="00083B79"/>
    <w:rsid w:val="000A6931"/>
    <w:rsid w:val="000C47BB"/>
    <w:rsid w:val="000E7D72"/>
    <w:rsid w:val="00107D0E"/>
    <w:rsid w:val="0012228B"/>
    <w:rsid w:val="00136370"/>
    <w:rsid w:val="00137C94"/>
    <w:rsid w:val="00153810"/>
    <w:rsid w:val="001577A0"/>
    <w:rsid w:val="00161102"/>
    <w:rsid w:val="00161A65"/>
    <w:rsid w:val="001E1916"/>
    <w:rsid w:val="00202AA3"/>
    <w:rsid w:val="00207B7E"/>
    <w:rsid w:val="0021332E"/>
    <w:rsid w:val="00231C51"/>
    <w:rsid w:val="00251E71"/>
    <w:rsid w:val="00256222"/>
    <w:rsid w:val="002609CF"/>
    <w:rsid w:val="00261BA0"/>
    <w:rsid w:val="0026688F"/>
    <w:rsid w:val="002A360A"/>
    <w:rsid w:val="002C0D70"/>
    <w:rsid w:val="002C3DAB"/>
    <w:rsid w:val="002E740E"/>
    <w:rsid w:val="002F081E"/>
    <w:rsid w:val="002F18F9"/>
    <w:rsid w:val="00303BCC"/>
    <w:rsid w:val="00311E5F"/>
    <w:rsid w:val="00323CD3"/>
    <w:rsid w:val="00331F38"/>
    <w:rsid w:val="00333A98"/>
    <w:rsid w:val="0035549E"/>
    <w:rsid w:val="00376959"/>
    <w:rsid w:val="00383DFE"/>
    <w:rsid w:val="0038782E"/>
    <w:rsid w:val="003903B3"/>
    <w:rsid w:val="003C4B84"/>
    <w:rsid w:val="003F0F57"/>
    <w:rsid w:val="0044411D"/>
    <w:rsid w:val="00463B91"/>
    <w:rsid w:val="0047427D"/>
    <w:rsid w:val="004749DE"/>
    <w:rsid w:val="00483FDD"/>
    <w:rsid w:val="004B1DCB"/>
    <w:rsid w:val="004B5D2C"/>
    <w:rsid w:val="004C47B5"/>
    <w:rsid w:val="00510135"/>
    <w:rsid w:val="00513A95"/>
    <w:rsid w:val="0051720A"/>
    <w:rsid w:val="00565F82"/>
    <w:rsid w:val="00573BB9"/>
    <w:rsid w:val="00582B09"/>
    <w:rsid w:val="005C4D88"/>
    <w:rsid w:val="00605D4C"/>
    <w:rsid w:val="00610325"/>
    <w:rsid w:val="00622A65"/>
    <w:rsid w:val="0066041C"/>
    <w:rsid w:val="00674E1A"/>
    <w:rsid w:val="006C0CDC"/>
    <w:rsid w:val="006E6399"/>
    <w:rsid w:val="00700859"/>
    <w:rsid w:val="0072360A"/>
    <w:rsid w:val="007250E0"/>
    <w:rsid w:val="0076044C"/>
    <w:rsid w:val="00774440"/>
    <w:rsid w:val="00797BBB"/>
    <w:rsid w:val="007B2ED2"/>
    <w:rsid w:val="007C0CF1"/>
    <w:rsid w:val="007D3B47"/>
    <w:rsid w:val="007E6468"/>
    <w:rsid w:val="007F608A"/>
    <w:rsid w:val="00805D18"/>
    <w:rsid w:val="00833699"/>
    <w:rsid w:val="008403EB"/>
    <w:rsid w:val="00843887"/>
    <w:rsid w:val="00891FA9"/>
    <w:rsid w:val="008A47F8"/>
    <w:rsid w:val="008F1C2D"/>
    <w:rsid w:val="008F7250"/>
    <w:rsid w:val="00900697"/>
    <w:rsid w:val="00900AA0"/>
    <w:rsid w:val="00903DDB"/>
    <w:rsid w:val="009047E3"/>
    <w:rsid w:val="00910936"/>
    <w:rsid w:val="00927E28"/>
    <w:rsid w:val="009413B2"/>
    <w:rsid w:val="0095195E"/>
    <w:rsid w:val="0098331A"/>
    <w:rsid w:val="009836E2"/>
    <w:rsid w:val="00992C09"/>
    <w:rsid w:val="00A74137"/>
    <w:rsid w:val="00A750A6"/>
    <w:rsid w:val="00A75B6F"/>
    <w:rsid w:val="00A82AA6"/>
    <w:rsid w:val="00A87F00"/>
    <w:rsid w:val="00A960AA"/>
    <w:rsid w:val="00A964A4"/>
    <w:rsid w:val="00AB55E3"/>
    <w:rsid w:val="00AD3637"/>
    <w:rsid w:val="00AF7C1C"/>
    <w:rsid w:val="00B24A61"/>
    <w:rsid w:val="00B24B4A"/>
    <w:rsid w:val="00B644C7"/>
    <w:rsid w:val="00B9370D"/>
    <w:rsid w:val="00B95335"/>
    <w:rsid w:val="00B967D0"/>
    <w:rsid w:val="00C40FF0"/>
    <w:rsid w:val="00C61BD9"/>
    <w:rsid w:val="00C92871"/>
    <w:rsid w:val="00CA599A"/>
    <w:rsid w:val="00CA6D16"/>
    <w:rsid w:val="00CB5C04"/>
    <w:rsid w:val="00D34BA3"/>
    <w:rsid w:val="00D91A59"/>
    <w:rsid w:val="00E14448"/>
    <w:rsid w:val="00E322DF"/>
    <w:rsid w:val="00EA2B01"/>
    <w:rsid w:val="00EA6E09"/>
    <w:rsid w:val="00EC695C"/>
    <w:rsid w:val="00F14C4B"/>
    <w:rsid w:val="00F33EB5"/>
    <w:rsid w:val="00F370CD"/>
    <w:rsid w:val="00F845D6"/>
    <w:rsid w:val="00F9669A"/>
    <w:rsid w:val="00FA75DE"/>
    <w:rsid w:val="00FE19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A4AE"/>
  <w15:chartTrackingRefBased/>
  <w15:docId w15:val="{B7C77E6F-4433-B440-869B-B970F9A5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2D"/>
    <w:rPr>
      <w:rFonts w:ascii="Times New Roman" w:eastAsia="Times New Roman" w:hAnsi="Times New Roman" w:cs="Times New Roman"/>
    </w:rPr>
  </w:style>
  <w:style w:type="paragraph" w:styleId="Heading1">
    <w:name w:val="heading 1"/>
    <w:basedOn w:val="Normal"/>
    <w:next w:val="Normal"/>
    <w:link w:val="Heading1Char"/>
    <w:uiPriority w:val="9"/>
    <w:qFormat/>
    <w:rsid w:val="00CA5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13A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1BD9"/>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836E2"/>
    <w:rPr>
      <w:color w:val="0563C1" w:themeColor="hyperlink"/>
      <w:u w:val="single"/>
    </w:rPr>
  </w:style>
  <w:style w:type="character" w:styleId="FollowedHyperlink">
    <w:name w:val="FollowedHyperlink"/>
    <w:basedOn w:val="DefaultParagraphFont"/>
    <w:uiPriority w:val="99"/>
    <w:semiHidden/>
    <w:unhideWhenUsed/>
    <w:rsid w:val="00AD3637"/>
    <w:rPr>
      <w:color w:val="954F72" w:themeColor="followedHyperlink"/>
      <w:u w:val="single"/>
    </w:rPr>
  </w:style>
  <w:style w:type="character" w:customStyle="1" w:styleId="apple-converted-space">
    <w:name w:val="apple-converted-space"/>
    <w:basedOn w:val="DefaultParagraphFont"/>
    <w:rsid w:val="00AD3637"/>
  </w:style>
  <w:style w:type="paragraph" w:styleId="HTMLPreformatted">
    <w:name w:val="HTML Preformatted"/>
    <w:basedOn w:val="Normal"/>
    <w:link w:val="HTMLPreformattedChar"/>
    <w:uiPriority w:val="99"/>
    <w:semiHidden/>
    <w:unhideWhenUsed/>
    <w:rsid w:val="0001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1ADC"/>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513A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3A95"/>
    <w:pPr>
      <w:spacing w:before="100" w:beforeAutospacing="1" w:after="100" w:afterAutospacing="1"/>
    </w:pPr>
  </w:style>
  <w:style w:type="character" w:styleId="UnresolvedMention">
    <w:name w:val="Unresolved Mention"/>
    <w:basedOn w:val="DefaultParagraphFont"/>
    <w:uiPriority w:val="99"/>
    <w:semiHidden/>
    <w:unhideWhenUsed/>
    <w:rsid w:val="00E322DF"/>
    <w:rPr>
      <w:color w:val="605E5C"/>
      <w:shd w:val="clear" w:color="auto" w:fill="E1DFDD"/>
    </w:rPr>
  </w:style>
  <w:style w:type="character" w:styleId="CommentReference">
    <w:name w:val="annotation reference"/>
    <w:basedOn w:val="DefaultParagraphFont"/>
    <w:uiPriority w:val="99"/>
    <w:semiHidden/>
    <w:unhideWhenUsed/>
    <w:rsid w:val="0044411D"/>
    <w:rPr>
      <w:sz w:val="16"/>
      <w:szCs w:val="16"/>
    </w:rPr>
  </w:style>
  <w:style w:type="paragraph" w:styleId="CommentText">
    <w:name w:val="annotation text"/>
    <w:basedOn w:val="Normal"/>
    <w:link w:val="CommentTextChar"/>
    <w:uiPriority w:val="99"/>
    <w:unhideWhenUsed/>
    <w:rsid w:val="0044411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4411D"/>
    <w:rPr>
      <w:sz w:val="20"/>
      <w:szCs w:val="20"/>
    </w:rPr>
  </w:style>
  <w:style w:type="paragraph" w:styleId="BalloonText">
    <w:name w:val="Balloon Text"/>
    <w:basedOn w:val="Normal"/>
    <w:link w:val="BalloonTextChar"/>
    <w:uiPriority w:val="99"/>
    <w:semiHidden/>
    <w:unhideWhenUsed/>
    <w:rsid w:val="0044411D"/>
    <w:rPr>
      <w:sz w:val="18"/>
      <w:szCs w:val="18"/>
    </w:rPr>
  </w:style>
  <w:style w:type="character" w:customStyle="1" w:styleId="BalloonTextChar">
    <w:name w:val="Balloon Text Char"/>
    <w:basedOn w:val="DefaultParagraphFont"/>
    <w:link w:val="BalloonText"/>
    <w:uiPriority w:val="99"/>
    <w:semiHidden/>
    <w:rsid w:val="0044411D"/>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CA599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00AA0"/>
    <w:rPr>
      <w:b/>
      <w:bCs/>
    </w:rPr>
  </w:style>
  <w:style w:type="character" w:styleId="Emphasis">
    <w:name w:val="Emphasis"/>
    <w:basedOn w:val="DefaultParagraphFont"/>
    <w:uiPriority w:val="20"/>
    <w:qFormat/>
    <w:rsid w:val="002C0D70"/>
    <w:rPr>
      <w:i/>
      <w:iCs/>
    </w:rPr>
  </w:style>
  <w:style w:type="character" w:styleId="LineNumber">
    <w:name w:val="line number"/>
    <w:basedOn w:val="DefaultParagraphFont"/>
    <w:uiPriority w:val="99"/>
    <w:semiHidden/>
    <w:unhideWhenUsed/>
    <w:rsid w:val="0099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9856">
      <w:bodyDiv w:val="1"/>
      <w:marLeft w:val="0"/>
      <w:marRight w:val="0"/>
      <w:marTop w:val="0"/>
      <w:marBottom w:val="0"/>
      <w:divBdr>
        <w:top w:val="none" w:sz="0" w:space="0" w:color="auto"/>
        <w:left w:val="none" w:sz="0" w:space="0" w:color="auto"/>
        <w:bottom w:val="none" w:sz="0" w:space="0" w:color="auto"/>
        <w:right w:val="none" w:sz="0" w:space="0" w:color="auto"/>
      </w:divBdr>
    </w:div>
    <w:div w:id="168760322">
      <w:bodyDiv w:val="1"/>
      <w:marLeft w:val="0"/>
      <w:marRight w:val="0"/>
      <w:marTop w:val="0"/>
      <w:marBottom w:val="0"/>
      <w:divBdr>
        <w:top w:val="none" w:sz="0" w:space="0" w:color="auto"/>
        <w:left w:val="none" w:sz="0" w:space="0" w:color="auto"/>
        <w:bottom w:val="none" w:sz="0" w:space="0" w:color="auto"/>
        <w:right w:val="none" w:sz="0" w:space="0" w:color="auto"/>
      </w:divBdr>
    </w:div>
    <w:div w:id="171917216">
      <w:bodyDiv w:val="1"/>
      <w:marLeft w:val="0"/>
      <w:marRight w:val="0"/>
      <w:marTop w:val="0"/>
      <w:marBottom w:val="0"/>
      <w:divBdr>
        <w:top w:val="none" w:sz="0" w:space="0" w:color="auto"/>
        <w:left w:val="none" w:sz="0" w:space="0" w:color="auto"/>
        <w:bottom w:val="none" w:sz="0" w:space="0" w:color="auto"/>
        <w:right w:val="none" w:sz="0" w:space="0" w:color="auto"/>
      </w:divBdr>
      <w:divsChild>
        <w:div w:id="727219366">
          <w:marLeft w:val="0"/>
          <w:marRight w:val="0"/>
          <w:marTop w:val="0"/>
          <w:marBottom w:val="0"/>
          <w:divBdr>
            <w:top w:val="none" w:sz="0" w:space="0" w:color="auto"/>
            <w:left w:val="none" w:sz="0" w:space="0" w:color="auto"/>
            <w:bottom w:val="none" w:sz="0" w:space="0" w:color="auto"/>
            <w:right w:val="none" w:sz="0" w:space="0" w:color="auto"/>
          </w:divBdr>
          <w:divsChild>
            <w:div w:id="1022631856">
              <w:marLeft w:val="0"/>
              <w:marRight w:val="0"/>
              <w:marTop w:val="0"/>
              <w:marBottom w:val="0"/>
              <w:divBdr>
                <w:top w:val="none" w:sz="0" w:space="0" w:color="auto"/>
                <w:left w:val="none" w:sz="0" w:space="0" w:color="auto"/>
                <w:bottom w:val="none" w:sz="0" w:space="0" w:color="auto"/>
                <w:right w:val="none" w:sz="0" w:space="0" w:color="auto"/>
              </w:divBdr>
              <w:divsChild>
                <w:div w:id="1228302635">
                  <w:marLeft w:val="0"/>
                  <w:marRight w:val="0"/>
                  <w:marTop w:val="0"/>
                  <w:marBottom w:val="0"/>
                  <w:divBdr>
                    <w:top w:val="none" w:sz="0" w:space="0" w:color="auto"/>
                    <w:left w:val="none" w:sz="0" w:space="0" w:color="auto"/>
                    <w:bottom w:val="none" w:sz="0" w:space="0" w:color="auto"/>
                    <w:right w:val="none" w:sz="0" w:space="0" w:color="auto"/>
                  </w:divBdr>
                  <w:divsChild>
                    <w:div w:id="12385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83716">
      <w:bodyDiv w:val="1"/>
      <w:marLeft w:val="0"/>
      <w:marRight w:val="0"/>
      <w:marTop w:val="0"/>
      <w:marBottom w:val="0"/>
      <w:divBdr>
        <w:top w:val="none" w:sz="0" w:space="0" w:color="auto"/>
        <w:left w:val="none" w:sz="0" w:space="0" w:color="auto"/>
        <w:bottom w:val="none" w:sz="0" w:space="0" w:color="auto"/>
        <w:right w:val="none" w:sz="0" w:space="0" w:color="auto"/>
      </w:divBdr>
    </w:div>
    <w:div w:id="470827329">
      <w:bodyDiv w:val="1"/>
      <w:marLeft w:val="0"/>
      <w:marRight w:val="0"/>
      <w:marTop w:val="0"/>
      <w:marBottom w:val="0"/>
      <w:divBdr>
        <w:top w:val="none" w:sz="0" w:space="0" w:color="auto"/>
        <w:left w:val="none" w:sz="0" w:space="0" w:color="auto"/>
        <w:bottom w:val="none" w:sz="0" w:space="0" w:color="auto"/>
        <w:right w:val="none" w:sz="0" w:space="0" w:color="auto"/>
      </w:divBdr>
    </w:div>
    <w:div w:id="516433559">
      <w:bodyDiv w:val="1"/>
      <w:marLeft w:val="0"/>
      <w:marRight w:val="0"/>
      <w:marTop w:val="0"/>
      <w:marBottom w:val="0"/>
      <w:divBdr>
        <w:top w:val="none" w:sz="0" w:space="0" w:color="auto"/>
        <w:left w:val="none" w:sz="0" w:space="0" w:color="auto"/>
        <w:bottom w:val="none" w:sz="0" w:space="0" w:color="auto"/>
        <w:right w:val="none" w:sz="0" w:space="0" w:color="auto"/>
      </w:divBdr>
    </w:div>
    <w:div w:id="540752058">
      <w:bodyDiv w:val="1"/>
      <w:marLeft w:val="0"/>
      <w:marRight w:val="0"/>
      <w:marTop w:val="0"/>
      <w:marBottom w:val="0"/>
      <w:divBdr>
        <w:top w:val="none" w:sz="0" w:space="0" w:color="auto"/>
        <w:left w:val="none" w:sz="0" w:space="0" w:color="auto"/>
        <w:bottom w:val="none" w:sz="0" w:space="0" w:color="auto"/>
        <w:right w:val="none" w:sz="0" w:space="0" w:color="auto"/>
      </w:divBdr>
    </w:div>
    <w:div w:id="651370825">
      <w:bodyDiv w:val="1"/>
      <w:marLeft w:val="0"/>
      <w:marRight w:val="0"/>
      <w:marTop w:val="0"/>
      <w:marBottom w:val="0"/>
      <w:divBdr>
        <w:top w:val="none" w:sz="0" w:space="0" w:color="auto"/>
        <w:left w:val="none" w:sz="0" w:space="0" w:color="auto"/>
        <w:bottom w:val="none" w:sz="0" w:space="0" w:color="auto"/>
        <w:right w:val="none" w:sz="0" w:space="0" w:color="auto"/>
      </w:divBdr>
      <w:divsChild>
        <w:div w:id="1121800140">
          <w:marLeft w:val="0"/>
          <w:marRight w:val="0"/>
          <w:marTop w:val="0"/>
          <w:marBottom w:val="0"/>
          <w:divBdr>
            <w:top w:val="none" w:sz="0" w:space="0" w:color="auto"/>
            <w:left w:val="none" w:sz="0" w:space="0" w:color="auto"/>
            <w:bottom w:val="none" w:sz="0" w:space="0" w:color="auto"/>
            <w:right w:val="none" w:sz="0" w:space="0" w:color="auto"/>
          </w:divBdr>
          <w:divsChild>
            <w:div w:id="1321500602">
              <w:marLeft w:val="0"/>
              <w:marRight w:val="0"/>
              <w:marTop w:val="0"/>
              <w:marBottom w:val="0"/>
              <w:divBdr>
                <w:top w:val="none" w:sz="0" w:space="0" w:color="auto"/>
                <w:left w:val="none" w:sz="0" w:space="0" w:color="auto"/>
                <w:bottom w:val="none" w:sz="0" w:space="0" w:color="auto"/>
                <w:right w:val="none" w:sz="0" w:space="0" w:color="auto"/>
              </w:divBdr>
              <w:divsChild>
                <w:div w:id="2090689819">
                  <w:marLeft w:val="0"/>
                  <w:marRight w:val="0"/>
                  <w:marTop w:val="0"/>
                  <w:marBottom w:val="0"/>
                  <w:divBdr>
                    <w:top w:val="none" w:sz="0" w:space="0" w:color="auto"/>
                    <w:left w:val="none" w:sz="0" w:space="0" w:color="auto"/>
                    <w:bottom w:val="none" w:sz="0" w:space="0" w:color="auto"/>
                    <w:right w:val="none" w:sz="0" w:space="0" w:color="auto"/>
                  </w:divBdr>
                  <w:divsChild>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 w:id="1970939341">
                  <w:marLeft w:val="0"/>
                  <w:marRight w:val="0"/>
                  <w:marTop w:val="0"/>
                  <w:marBottom w:val="0"/>
                  <w:divBdr>
                    <w:top w:val="none" w:sz="0" w:space="0" w:color="auto"/>
                    <w:left w:val="none" w:sz="0" w:space="0" w:color="auto"/>
                    <w:bottom w:val="none" w:sz="0" w:space="0" w:color="auto"/>
                    <w:right w:val="none" w:sz="0" w:space="0" w:color="auto"/>
                  </w:divBdr>
                  <w:divsChild>
                    <w:div w:id="1492213119">
                      <w:marLeft w:val="0"/>
                      <w:marRight w:val="0"/>
                      <w:marTop w:val="0"/>
                      <w:marBottom w:val="0"/>
                      <w:divBdr>
                        <w:top w:val="none" w:sz="0" w:space="0" w:color="auto"/>
                        <w:left w:val="none" w:sz="0" w:space="0" w:color="auto"/>
                        <w:bottom w:val="none" w:sz="0" w:space="0" w:color="auto"/>
                        <w:right w:val="none" w:sz="0" w:space="0" w:color="auto"/>
                      </w:divBdr>
                    </w:div>
                  </w:divsChild>
                </w:div>
                <w:div w:id="1915385983">
                  <w:marLeft w:val="0"/>
                  <w:marRight w:val="0"/>
                  <w:marTop w:val="0"/>
                  <w:marBottom w:val="0"/>
                  <w:divBdr>
                    <w:top w:val="none" w:sz="0" w:space="0" w:color="auto"/>
                    <w:left w:val="none" w:sz="0" w:space="0" w:color="auto"/>
                    <w:bottom w:val="none" w:sz="0" w:space="0" w:color="auto"/>
                    <w:right w:val="none" w:sz="0" w:space="0" w:color="auto"/>
                  </w:divBdr>
                  <w:divsChild>
                    <w:div w:id="990209644">
                      <w:marLeft w:val="0"/>
                      <w:marRight w:val="0"/>
                      <w:marTop w:val="0"/>
                      <w:marBottom w:val="0"/>
                      <w:divBdr>
                        <w:top w:val="none" w:sz="0" w:space="0" w:color="auto"/>
                        <w:left w:val="none" w:sz="0" w:space="0" w:color="auto"/>
                        <w:bottom w:val="none" w:sz="0" w:space="0" w:color="auto"/>
                        <w:right w:val="none" w:sz="0" w:space="0" w:color="auto"/>
                      </w:divBdr>
                    </w:div>
                  </w:divsChild>
                </w:div>
                <w:div w:id="1840534890">
                  <w:marLeft w:val="0"/>
                  <w:marRight w:val="0"/>
                  <w:marTop w:val="0"/>
                  <w:marBottom w:val="0"/>
                  <w:divBdr>
                    <w:top w:val="none" w:sz="0" w:space="0" w:color="auto"/>
                    <w:left w:val="none" w:sz="0" w:space="0" w:color="auto"/>
                    <w:bottom w:val="none" w:sz="0" w:space="0" w:color="auto"/>
                    <w:right w:val="none" w:sz="0" w:space="0" w:color="auto"/>
                  </w:divBdr>
                  <w:divsChild>
                    <w:div w:id="1530801750">
                      <w:marLeft w:val="0"/>
                      <w:marRight w:val="0"/>
                      <w:marTop w:val="0"/>
                      <w:marBottom w:val="0"/>
                      <w:divBdr>
                        <w:top w:val="none" w:sz="0" w:space="0" w:color="auto"/>
                        <w:left w:val="none" w:sz="0" w:space="0" w:color="auto"/>
                        <w:bottom w:val="none" w:sz="0" w:space="0" w:color="auto"/>
                        <w:right w:val="none" w:sz="0" w:space="0" w:color="auto"/>
                      </w:divBdr>
                    </w:div>
                    <w:div w:id="875242374">
                      <w:marLeft w:val="0"/>
                      <w:marRight w:val="0"/>
                      <w:marTop w:val="0"/>
                      <w:marBottom w:val="0"/>
                      <w:divBdr>
                        <w:top w:val="none" w:sz="0" w:space="0" w:color="auto"/>
                        <w:left w:val="none" w:sz="0" w:space="0" w:color="auto"/>
                        <w:bottom w:val="none" w:sz="0" w:space="0" w:color="auto"/>
                        <w:right w:val="none" w:sz="0" w:space="0" w:color="auto"/>
                      </w:divBdr>
                    </w:div>
                  </w:divsChild>
                </w:div>
                <w:div w:id="2053771775">
                  <w:marLeft w:val="0"/>
                  <w:marRight w:val="0"/>
                  <w:marTop w:val="0"/>
                  <w:marBottom w:val="0"/>
                  <w:divBdr>
                    <w:top w:val="none" w:sz="0" w:space="0" w:color="auto"/>
                    <w:left w:val="none" w:sz="0" w:space="0" w:color="auto"/>
                    <w:bottom w:val="none" w:sz="0" w:space="0" w:color="auto"/>
                    <w:right w:val="none" w:sz="0" w:space="0" w:color="auto"/>
                  </w:divBdr>
                  <w:divsChild>
                    <w:div w:id="1771585807">
                      <w:marLeft w:val="0"/>
                      <w:marRight w:val="0"/>
                      <w:marTop w:val="0"/>
                      <w:marBottom w:val="0"/>
                      <w:divBdr>
                        <w:top w:val="none" w:sz="0" w:space="0" w:color="auto"/>
                        <w:left w:val="none" w:sz="0" w:space="0" w:color="auto"/>
                        <w:bottom w:val="none" w:sz="0" w:space="0" w:color="auto"/>
                        <w:right w:val="none" w:sz="0" w:space="0" w:color="auto"/>
                      </w:divBdr>
                    </w:div>
                  </w:divsChild>
                </w:div>
                <w:div w:id="1175877114">
                  <w:marLeft w:val="0"/>
                  <w:marRight w:val="0"/>
                  <w:marTop w:val="0"/>
                  <w:marBottom w:val="0"/>
                  <w:divBdr>
                    <w:top w:val="none" w:sz="0" w:space="0" w:color="auto"/>
                    <w:left w:val="none" w:sz="0" w:space="0" w:color="auto"/>
                    <w:bottom w:val="none" w:sz="0" w:space="0" w:color="auto"/>
                    <w:right w:val="none" w:sz="0" w:space="0" w:color="auto"/>
                  </w:divBdr>
                  <w:divsChild>
                    <w:div w:id="1984656664">
                      <w:marLeft w:val="0"/>
                      <w:marRight w:val="0"/>
                      <w:marTop w:val="0"/>
                      <w:marBottom w:val="0"/>
                      <w:divBdr>
                        <w:top w:val="none" w:sz="0" w:space="0" w:color="auto"/>
                        <w:left w:val="none" w:sz="0" w:space="0" w:color="auto"/>
                        <w:bottom w:val="none" w:sz="0" w:space="0" w:color="auto"/>
                        <w:right w:val="none" w:sz="0" w:space="0" w:color="auto"/>
                      </w:divBdr>
                    </w:div>
                  </w:divsChild>
                </w:div>
                <w:div w:id="1087926792">
                  <w:marLeft w:val="0"/>
                  <w:marRight w:val="0"/>
                  <w:marTop w:val="0"/>
                  <w:marBottom w:val="0"/>
                  <w:divBdr>
                    <w:top w:val="none" w:sz="0" w:space="0" w:color="auto"/>
                    <w:left w:val="none" w:sz="0" w:space="0" w:color="auto"/>
                    <w:bottom w:val="none" w:sz="0" w:space="0" w:color="auto"/>
                    <w:right w:val="none" w:sz="0" w:space="0" w:color="auto"/>
                  </w:divBdr>
                  <w:divsChild>
                    <w:div w:id="827672199">
                      <w:marLeft w:val="0"/>
                      <w:marRight w:val="0"/>
                      <w:marTop w:val="0"/>
                      <w:marBottom w:val="0"/>
                      <w:divBdr>
                        <w:top w:val="none" w:sz="0" w:space="0" w:color="auto"/>
                        <w:left w:val="none" w:sz="0" w:space="0" w:color="auto"/>
                        <w:bottom w:val="none" w:sz="0" w:space="0" w:color="auto"/>
                        <w:right w:val="none" w:sz="0" w:space="0" w:color="auto"/>
                      </w:divBdr>
                    </w:div>
                  </w:divsChild>
                </w:div>
                <w:div w:id="1968275321">
                  <w:marLeft w:val="0"/>
                  <w:marRight w:val="0"/>
                  <w:marTop w:val="0"/>
                  <w:marBottom w:val="0"/>
                  <w:divBdr>
                    <w:top w:val="none" w:sz="0" w:space="0" w:color="auto"/>
                    <w:left w:val="none" w:sz="0" w:space="0" w:color="auto"/>
                    <w:bottom w:val="none" w:sz="0" w:space="0" w:color="auto"/>
                    <w:right w:val="none" w:sz="0" w:space="0" w:color="auto"/>
                  </w:divBdr>
                  <w:divsChild>
                    <w:div w:id="1404331822">
                      <w:marLeft w:val="0"/>
                      <w:marRight w:val="0"/>
                      <w:marTop w:val="0"/>
                      <w:marBottom w:val="0"/>
                      <w:divBdr>
                        <w:top w:val="none" w:sz="0" w:space="0" w:color="auto"/>
                        <w:left w:val="none" w:sz="0" w:space="0" w:color="auto"/>
                        <w:bottom w:val="none" w:sz="0" w:space="0" w:color="auto"/>
                        <w:right w:val="none" w:sz="0" w:space="0" w:color="auto"/>
                      </w:divBdr>
                    </w:div>
                  </w:divsChild>
                </w:div>
                <w:div w:id="1278442114">
                  <w:marLeft w:val="0"/>
                  <w:marRight w:val="0"/>
                  <w:marTop w:val="0"/>
                  <w:marBottom w:val="0"/>
                  <w:divBdr>
                    <w:top w:val="none" w:sz="0" w:space="0" w:color="auto"/>
                    <w:left w:val="none" w:sz="0" w:space="0" w:color="auto"/>
                    <w:bottom w:val="none" w:sz="0" w:space="0" w:color="auto"/>
                    <w:right w:val="none" w:sz="0" w:space="0" w:color="auto"/>
                  </w:divBdr>
                  <w:divsChild>
                    <w:div w:id="1751809852">
                      <w:marLeft w:val="0"/>
                      <w:marRight w:val="0"/>
                      <w:marTop w:val="0"/>
                      <w:marBottom w:val="0"/>
                      <w:divBdr>
                        <w:top w:val="none" w:sz="0" w:space="0" w:color="auto"/>
                        <w:left w:val="none" w:sz="0" w:space="0" w:color="auto"/>
                        <w:bottom w:val="none" w:sz="0" w:space="0" w:color="auto"/>
                        <w:right w:val="none" w:sz="0" w:space="0" w:color="auto"/>
                      </w:divBdr>
                    </w:div>
                  </w:divsChild>
                </w:div>
                <w:div w:id="1671518842">
                  <w:marLeft w:val="0"/>
                  <w:marRight w:val="0"/>
                  <w:marTop w:val="0"/>
                  <w:marBottom w:val="0"/>
                  <w:divBdr>
                    <w:top w:val="none" w:sz="0" w:space="0" w:color="auto"/>
                    <w:left w:val="none" w:sz="0" w:space="0" w:color="auto"/>
                    <w:bottom w:val="none" w:sz="0" w:space="0" w:color="auto"/>
                    <w:right w:val="none" w:sz="0" w:space="0" w:color="auto"/>
                  </w:divBdr>
                  <w:divsChild>
                    <w:div w:id="1800874933">
                      <w:marLeft w:val="0"/>
                      <w:marRight w:val="0"/>
                      <w:marTop w:val="0"/>
                      <w:marBottom w:val="0"/>
                      <w:divBdr>
                        <w:top w:val="none" w:sz="0" w:space="0" w:color="auto"/>
                        <w:left w:val="none" w:sz="0" w:space="0" w:color="auto"/>
                        <w:bottom w:val="none" w:sz="0" w:space="0" w:color="auto"/>
                        <w:right w:val="none" w:sz="0" w:space="0" w:color="auto"/>
                      </w:divBdr>
                    </w:div>
                  </w:divsChild>
                </w:div>
                <w:div w:id="534588033">
                  <w:marLeft w:val="0"/>
                  <w:marRight w:val="0"/>
                  <w:marTop w:val="0"/>
                  <w:marBottom w:val="0"/>
                  <w:divBdr>
                    <w:top w:val="none" w:sz="0" w:space="0" w:color="auto"/>
                    <w:left w:val="none" w:sz="0" w:space="0" w:color="auto"/>
                    <w:bottom w:val="none" w:sz="0" w:space="0" w:color="auto"/>
                    <w:right w:val="none" w:sz="0" w:space="0" w:color="auto"/>
                  </w:divBdr>
                  <w:divsChild>
                    <w:div w:id="318506522">
                      <w:marLeft w:val="0"/>
                      <w:marRight w:val="0"/>
                      <w:marTop w:val="0"/>
                      <w:marBottom w:val="0"/>
                      <w:divBdr>
                        <w:top w:val="none" w:sz="0" w:space="0" w:color="auto"/>
                        <w:left w:val="none" w:sz="0" w:space="0" w:color="auto"/>
                        <w:bottom w:val="none" w:sz="0" w:space="0" w:color="auto"/>
                        <w:right w:val="none" w:sz="0" w:space="0" w:color="auto"/>
                      </w:divBdr>
                    </w:div>
                  </w:divsChild>
                </w:div>
                <w:div w:id="1711101791">
                  <w:marLeft w:val="0"/>
                  <w:marRight w:val="0"/>
                  <w:marTop w:val="0"/>
                  <w:marBottom w:val="0"/>
                  <w:divBdr>
                    <w:top w:val="none" w:sz="0" w:space="0" w:color="auto"/>
                    <w:left w:val="none" w:sz="0" w:space="0" w:color="auto"/>
                    <w:bottom w:val="none" w:sz="0" w:space="0" w:color="auto"/>
                    <w:right w:val="none" w:sz="0" w:space="0" w:color="auto"/>
                  </w:divBdr>
                  <w:divsChild>
                    <w:div w:id="589122501">
                      <w:marLeft w:val="0"/>
                      <w:marRight w:val="0"/>
                      <w:marTop w:val="0"/>
                      <w:marBottom w:val="0"/>
                      <w:divBdr>
                        <w:top w:val="none" w:sz="0" w:space="0" w:color="auto"/>
                        <w:left w:val="none" w:sz="0" w:space="0" w:color="auto"/>
                        <w:bottom w:val="none" w:sz="0" w:space="0" w:color="auto"/>
                        <w:right w:val="none" w:sz="0" w:space="0" w:color="auto"/>
                      </w:divBdr>
                    </w:div>
                  </w:divsChild>
                </w:div>
                <w:div w:id="1414814138">
                  <w:marLeft w:val="0"/>
                  <w:marRight w:val="0"/>
                  <w:marTop w:val="0"/>
                  <w:marBottom w:val="0"/>
                  <w:divBdr>
                    <w:top w:val="none" w:sz="0" w:space="0" w:color="auto"/>
                    <w:left w:val="none" w:sz="0" w:space="0" w:color="auto"/>
                    <w:bottom w:val="none" w:sz="0" w:space="0" w:color="auto"/>
                    <w:right w:val="none" w:sz="0" w:space="0" w:color="auto"/>
                  </w:divBdr>
                  <w:divsChild>
                    <w:div w:id="19292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3631">
              <w:marLeft w:val="0"/>
              <w:marRight w:val="0"/>
              <w:marTop w:val="0"/>
              <w:marBottom w:val="0"/>
              <w:divBdr>
                <w:top w:val="none" w:sz="0" w:space="0" w:color="auto"/>
                <w:left w:val="none" w:sz="0" w:space="0" w:color="auto"/>
                <w:bottom w:val="none" w:sz="0" w:space="0" w:color="auto"/>
                <w:right w:val="none" w:sz="0" w:space="0" w:color="auto"/>
              </w:divBdr>
              <w:divsChild>
                <w:div w:id="1668635718">
                  <w:marLeft w:val="0"/>
                  <w:marRight w:val="0"/>
                  <w:marTop w:val="0"/>
                  <w:marBottom w:val="0"/>
                  <w:divBdr>
                    <w:top w:val="none" w:sz="0" w:space="0" w:color="auto"/>
                    <w:left w:val="none" w:sz="0" w:space="0" w:color="auto"/>
                    <w:bottom w:val="none" w:sz="0" w:space="0" w:color="auto"/>
                    <w:right w:val="none" w:sz="0" w:space="0" w:color="auto"/>
                  </w:divBdr>
                  <w:divsChild>
                    <w:div w:id="9602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8462">
          <w:marLeft w:val="0"/>
          <w:marRight w:val="0"/>
          <w:marTop w:val="0"/>
          <w:marBottom w:val="0"/>
          <w:divBdr>
            <w:top w:val="none" w:sz="0" w:space="0" w:color="auto"/>
            <w:left w:val="none" w:sz="0" w:space="0" w:color="auto"/>
            <w:bottom w:val="none" w:sz="0" w:space="0" w:color="auto"/>
            <w:right w:val="none" w:sz="0" w:space="0" w:color="auto"/>
          </w:divBdr>
          <w:divsChild>
            <w:div w:id="669063981">
              <w:marLeft w:val="0"/>
              <w:marRight w:val="0"/>
              <w:marTop w:val="0"/>
              <w:marBottom w:val="0"/>
              <w:divBdr>
                <w:top w:val="none" w:sz="0" w:space="0" w:color="auto"/>
                <w:left w:val="none" w:sz="0" w:space="0" w:color="auto"/>
                <w:bottom w:val="none" w:sz="0" w:space="0" w:color="auto"/>
                <w:right w:val="none" w:sz="0" w:space="0" w:color="auto"/>
              </w:divBdr>
              <w:divsChild>
                <w:div w:id="774177861">
                  <w:marLeft w:val="0"/>
                  <w:marRight w:val="0"/>
                  <w:marTop w:val="0"/>
                  <w:marBottom w:val="0"/>
                  <w:divBdr>
                    <w:top w:val="none" w:sz="0" w:space="0" w:color="auto"/>
                    <w:left w:val="none" w:sz="0" w:space="0" w:color="auto"/>
                    <w:bottom w:val="none" w:sz="0" w:space="0" w:color="auto"/>
                    <w:right w:val="none" w:sz="0" w:space="0" w:color="auto"/>
                  </w:divBdr>
                  <w:divsChild>
                    <w:div w:id="1670598021">
                      <w:marLeft w:val="0"/>
                      <w:marRight w:val="0"/>
                      <w:marTop w:val="0"/>
                      <w:marBottom w:val="0"/>
                      <w:divBdr>
                        <w:top w:val="none" w:sz="0" w:space="0" w:color="auto"/>
                        <w:left w:val="none" w:sz="0" w:space="0" w:color="auto"/>
                        <w:bottom w:val="none" w:sz="0" w:space="0" w:color="auto"/>
                        <w:right w:val="none" w:sz="0" w:space="0" w:color="auto"/>
                      </w:divBdr>
                    </w:div>
                    <w:div w:id="2106994659">
                      <w:marLeft w:val="0"/>
                      <w:marRight w:val="0"/>
                      <w:marTop w:val="0"/>
                      <w:marBottom w:val="0"/>
                      <w:divBdr>
                        <w:top w:val="none" w:sz="0" w:space="0" w:color="auto"/>
                        <w:left w:val="none" w:sz="0" w:space="0" w:color="auto"/>
                        <w:bottom w:val="none" w:sz="0" w:space="0" w:color="auto"/>
                        <w:right w:val="none" w:sz="0" w:space="0" w:color="auto"/>
                      </w:divBdr>
                    </w:div>
                  </w:divsChild>
                </w:div>
                <w:div w:id="1098939862">
                  <w:marLeft w:val="0"/>
                  <w:marRight w:val="0"/>
                  <w:marTop w:val="0"/>
                  <w:marBottom w:val="0"/>
                  <w:divBdr>
                    <w:top w:val="none" w:sz="0" w:space="0" w:color="auto"/>
                    <w:left w:val="none" w:sz="0" w:space="0" w:color="auto"/>
                    <w:bottom w:val="none" w:sz="0" w:space="0" w:color="auto"/>
                    <w:right w:val="none" w:sz="0" w:space="0" w:color="auto"/>
                  </w:divBdr>
                  <w:divsChild>
                    <w:div w:id="1527868640">
                      <w:marLeft w:val="0"/>
                      <w:marRight w:val="0"/>
                      <w:marTop w:val="0"/>
                      <w:marBottom w:val="0"/>
                      <w:divBdr>
                        <w:top w:val="none" w:sz="0" w:space="0" w:color="auto"/>
                        <w:left w:val="none" w:sz="0" w:space="0" w:color="auto"/>
                        <w:bottom w:val="none" w:sz="0" w:space="0" w:color="auto"/>
                        <w:right w:val="none" w:sz="0" w:space="0" w:color="auto"/>
                      </w:divBdr>
                    </w:div>
                    <w:div w:id="19095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6326">
      <w:bodyDiv w:val="1"/>
      <w:marLeft w:val="0"/>
      <w:marRight w:val="0"/>
      <w:marTop w:val="0"/>
      <w:marBottom w:val="0"/>
      <w:divBdr>
        <w:top w:val="none" w:sz="0" w:space="0" w:color="auto"/>
        <w:left w:val="none" w:sz="0" w:space="0" w:color="auto"/>
        <w:bottom w:val="none" w:sz="0" w:space="0" w:color="auto"/>
        <w:right w:val="none" w:sz="0" w:space="0" w:color="auto"/>
      </w:divBdr>
    </w:div>
    <w:div w:id="1022123299">
      <w:bodyDiv w:val="1"/>
      <w:marLeft w:val="0"/>
      <w:marRight w:val="0"/>
      <w:marTop w:val="0"/>
      <w:marBottom w:val="0"/>
      <w:divBdr>
        <w:top w:val="none" w:sz="0" w:space="0" w:color="auto"/>
        <w:left w:val="none" w:sz="0" w:space="0" w:color="auto"/>
        <w:bottom w:val="none" w:sz="0" w:space="0" w:color="auto"/>
        <w:right w:val="none" w:sz="0" w:space="0" w:color="auto"/>
      </w:divBdr>
    </w:div>
    <w:div w:id="1126191932">
      <w:bodyDiv w:val="1"/>
      <w:marLeft w:val="0"/>
      <w:marRight w:val="0"/>
      <w:marTop w:val="0"/>
      <w:marBottom w:val="0"/>
      <w:divBdr>
        <w:top w:val="none" w:sz="0" w:space="0" w:color="auto"/>
        <w:left w:val="none" w:sz="0" w:space="0" w:color="auto"/>
        <w:bottom w:val="none" w:sz="0" w:space="0" w:color="auto"/>
        <w:right w:val="none" w:sz="0" w:space="0" w:color="auto"/>
      </w:divBdr>
      <w:divsChild>
        <w:div w:id="1330862805">
          <w:marLeft w:val="0"/>
          <w:marRight w:val="0"/>
          <w:marTop w:val="0"/>
          <w:marBottom w:val="0"/>
          <w:divBdr>
            <w:top w:val="none" w:sz="0" w:space="0" w:color="auto"/>
            <w:left w:val="none" w:sz="0" w:space="0" w:color="auto"/>
            <w:bottom w:val="none" w:sz="0" w:space="0" w:color="auto"/>
            <w:right w:val="none" w:sz="0" w:space="0" w:color="auto"/>
          </w:divBdr>
          <w:divsChild>
            <w:div w:id="1390500132">
              <w:marLeft w:val="0"/>
              <w:marRight w:val="0"/>
              <w:marTop w:val="0"/>
              <w:marBottom w:val="0"/>
              <w:divBdr>
                <w:top w:val="none" w:sz="0" w:space="0" w:color="auto"/>
                <w:left w:val="none" w:sz="0" w:space="0" w:color="auto"/>
                <w:bottom w:val="none" w:sz="0" w:space="0" w:color="auto"/>
                <w:right w:val="none" w:sz="0" w:space="0" w:color="auto"/>
              </w:divBdr>
              <w:divsChild>
                <w:div w:id="1118529962">
                  <w:marLeft w:val="0"/>
                  <w:marRight w:val="0"/>
                  <w:marTop w:val="0"/>
                  <w:marBottom w:val="0"/>
                  <w:divBdr>
                    <w:top w:val="none" w:sz="0" w:space="0" w:color="auto"/>
                    <w:left w:val="none" w:sz="0" w:space="0" w:color="auto"/>
                    <w:bottom w:val="none" w:sz="0" w:space="0" w:color="auto"/>
                    <w:right w:val="none" w:sz="0" w:space="0" w:color="auto"/>
                  </w:divBdr>
                  <w:divsChild>
                    <w:div w:id="1405370997">
                      <w:marLeft w:val="0"/>
                      <w:marRight w:val="0"/>
                      <w:marTop w:val="0"/>
                      <w:marBottom w:val="0"/>
                      <w:divBdr>
                        <w:top w:val="none" w:sz="0" w:space="0" w:color="auto"/>
                        <w:left w:val="none" w:sz="0" w:space="0" w:color="auto"/>
                        <w:bottom w:val="none" w:sz="0" w:space="0" w:color="auto"/>
                        <w:right w:val="none" w:sz="0" w:space="0" w:color="auto"/>
                      </w:divBdr>
                    </w:div>
                    <w:div w:id="512308056">
                      <w:marLeft w:val="0"/>
                      <w:marRight w:val="0"/>
                      <w:marTop w:val="0"/>
                      <w:marBottom w:val="0"/>
                      <w:divBdr>
                        <w:top w:val="none" w:sz="0" w:space="0" w:color="auto"/>
                        <w:left w:val="none" w:sz="0" w:space="0" w:color="auto"/>
                        <w:bottom w:val="none" w:sz="0" w:space="0" w:color="auto"/>
                        <w:right w:val="none" w:sz="0" w:space="0" w:color="auto"/>
                      </w:divBdr>
                    </w:div>
                  </w:divsChild>
                </w:div>
                <w:div w:id="1903131185">
                  <w:marLeft w:val="0"/>
                  <w:marRight w:val="0"/>
                  <w:marTop w:val="0"/>
                  <w:marBottom w:val="0"/>
                  <w:divBdr>
                    <w:top w:val="none" w:sz="0" w:space="0" w:color="auto"/>
                    <w:left w:val="none" w:sz="0" w:space="0" w:color="auto"/>
                    <w:bottom w:val="none" w:sz="0" w:space="0" w:color="auto"/>
                    <w:right w:val="none" w:sz="0" w:space="0" w:color="auto"/>
                  </w:divBdr>
                  <w:divsChild>
                    <w:div w:id="11550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78460">
      <w:bodyDiv w:val="1"/>
      <w:marLeft w:val="0"/>
      <w:marRight w:val="0"/>
      <w:marTop w:val="0"/>
      <w:marBottom w:val="0"/>
      <w:divBdr>
        <w:top w:val="none" w:sz="0" w:space="0" w:color="auto"/>
        <w:left w:val="none" w:sz="0" w:space="0" w:color="auto"/>
        <w:bottom w:val="none" w:sz="0" w:space="0" w:color="auto"/>
        <w:right w:val="none" w:sz="0" w:space="0" w:color="auto"/>
      </w:divBdr>
    </w:div>
    <w:div w:id="1314480252">
      <w:bodyDiv w:val="1"/>
      <w:marLeft w:val="0"/>
      <w:marRight w:val="0"/>
      <w:marTop w:val="0"/>
      <w:marBottom w:val="0"/>
      <w:divBdr>
        <w:top w:val="none" w:sz="0" w:space="0" w:color="auto"/>
        <w:left w:val="none" w:sz="0" w:space="0" w:color="auto"/>
        <w:bottom w:val="none" w:sz="0" w:space="0" w:color="auto"/>
        <w:right w:val="none" w:sz="0" w:space="0" w:color="auto"/>
      </w:divBdr>
      <w:divsChild>
        <w:div w:id="1724255428">
          <w:marLeft w:val="0"/>
          <w:marRight w:val="0"/>
          <w:marTop w:val="0"/>
          <w:marBottom w:val="0"/>
          <w:divBdr>
            <w:top w:val="none" w:sz="0" w:space="0" w:color="auto"/>
            <w:left w:val="none" w:sz="0" w:space="0" w:color="auto"/>
            <w:bottom w:val="none" w:sz="0" w:space="0" w:color="auto"/>
            <w:right w:val="none" w:sz="0" w:space="0" w:color="auto"/>
          </w:divBdr>
          <w:divsChild>
            <w:div w:id="888804126">
              <w:marLeft w:val="0"/>
              <w:marRight w:val="0"/>
              <w:marTop w:val="0"/>
              <w:marBottom w:val="0"/>
              <w:divBdr>
                <w:top w:val="none" w:sz="0" w:space="0" w:color="auto"/>
                <w:left w:val="none" w:sz="0" w:space="0" w:color="auto"/>
                <w:bottom w:val="none" w:sz="0" w:space="0" w:color="auto"/>
                <w:right w:val="none" w:sz="0" w:space="0" w:color="auto"/>
              </w:divBdr>
              <w:divsChild>
                <w:div w:id="396589150">
                  <w:marLeft w:val="0"/>
                  <w:marRight w:val="0"/>
                  <w:marTop w:val="0"/>
                  <w:marBottom w:val="0"/>
                  <w:divBdr>
                    <w:top w:val="none" w:sz="0" w:space="0" w:color="auto"/>
                    <w:left w:val="none" w:sz="0" w:space="0" w:color="auto"/>
                    <w:bottom w:val="none" w:sz="0" w:space="0" w:color="auto"/>
                    <w:right w:val="none" w:sz="0" w:space="0" w:color="auto"/>
                  </w:divBdr>
                </w:div>
                <w:div w:id="1619918953">
                  <w:marLeft w:val="0"/>
                  <w:marRight w:val="0"/>
                  <w:marTop w:val="0"/>
                  <w:marBottom w:val="0"/>
                  <w:divBdr>
                    <w:top w:val="none" w:sz="0" w:space="0" w:color="auto"/>
                    <w:left w:val="none" w:sz="0" w:space="0" w:color="auto"/>
                    <w:bottom w:val="none" w:sz="0" w:space="0" w:color="auto"/>
                    <w:right w:val="none" w:sz="0" w:space="0" w:color="auto"/>
                  </w:divBdr>
                </w:div>
              </w:divsChild>
            </w:div>
            <w:div w:id="760217755">
              <w:marLeft w:val="0"/>
              <w:marRight w:val="0"/>
              <w:marTop w:val="0"/>
              <w:marBottom w:val="0"/>
              <w:divBdr>
                <w:top w:val="none" w:sz="0" w:space="0" w:color="auto"/>
                <w:left w:val="none" w:sz="0" w:space="0" w:color="auto"/>
                <w:bottom w:val="none" w:sz="0" w:space="0" w:color="auto"/>
                <w:right w:val="none" w:sz="0" w:space="0" w:color="auto"/>
              </w:divBdr>
              <w:divsChild>
                <w:div w:id="106698798">
                  <w:marLeft w:val="0"/>
                  <w:marRight w:val="0"/>
                  <w:marTop w:val="0"/>
                  <w:marBottom w:val="0"/>
                  <w:divBdr>
                    <w:top w:val="none" w:sz="0" w:space="0" w:color="auto"/>
                    <w:left w:val="none" w:sz="0" w:space="0" w:color="auto"/>
                    <w:bottom w:val="none" w:sz="0" w:space="0" w:color="auto"/>
                    <w:right w:val="none" w:sz="0" w:space="0" w:color="auto"/>
                  </w:divBdr>
                </w:div>
              </w:divsChild>
            </w:div>
            <w:div w:id="468978574">
              <w:marLeft w:val="0"/>
              <w:marRight w:val="0"/>
              <w:marTop w:val="0"/>
              <w:marBottom w:val="0"/>
              <w:divBdr>
                <w:top w:val="none" w:sz="0" w:space="0" w:color="auto"/>
                <w:left w:val="none" w:sz="0" w:space="0" w:color="auto"/>
                <w:bottom w:val="none" w:sz="0" w:space="0" w:color="auto"/>
                <w:right w:val="none" w:sz="0" w:space="0" w:color="auto"/>
              </w:divBdr>
              <w:divsChild>
                <w:div w:id="1160729997">
                  <w:marLeft w:val="0"/>
                  <w:marRight w:val="0"/>
                  <w:marTop w:val="0"/>
                  <w:marBottom w:val="0"/>
                  <w:divBdr>
                    <w:top w:val="none" w:sz="0" w:space="0" w:color="auto"/>
                    <w:left w:val="none" w:sz="0" w:space="0" w:color="auto"/>
                    <w:bottom w:val="none" w:sz="0" w:space="0" w:color="auto"/>
                    <w:right w:val="none" w:sz="0" w:space="0" w:color="auto"/>
                  </w:divBdr>
                </w:div>
              </w:divsChild>
            </w:div>
            <w:div w:id="1861622395">
              <w:marLeft w:val="0"/>
              <w:marRight w:val="0"/>
              <w:marTop w:val="0"/>
              <w:marBottom w:val="0"/>
              <w:divBdr>
                <w:top w:val="none" w:sz="0" w:space="0" w:color="auto"/>
                <w:left w:val="none" w:sz="0" w:space="0" w:color="auto"/>
                <w:bottom w:val="none" w:sz="0" w:space="0" w:color="auto"/>
                <w:right w:val="none" w:sz="0" w:space="0" w:color="auto"/>
              </w:divBdr>
              <w:divsChild>
                <w:div w:id="11493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4488">
      <w:bodyDiv w:val="1"/>
      <w:marLeft w:val="0"/>
      <w:marRight w:val="0"/>
      <w:marTop w:val="0"/>
      <w:marBottom w:val="0"/>
      <w:divBdr>
        <w:top w:val="none" w:sz="0" w:space="0" w:color="auto"/>
        <w:left w:val="none" w:sz="0" w:space="0" w:color="auto"/>
        <w:bottom w:val="none" w:sz="0" w:space="0" w:color="auto"/>
        <w:right w:val="none" w:sz="0" w:space="0" w:color="auto"/>
      </w:divBdr>
      <w:divsChild>
        <w:div w:id="1951935897">
          <w:marLeft w:val="0"/>
          <w:marRight w:val="0"/>
          <w:marTop w:val="0"/>
          <w:marBottom w:val="0"/>
          <w:divBdr>
            <w:top w:val="none" w:sz="0" w:space="0" w:color="auto"/>
            <w:left w:val="none" w:sz="0" w:space="0" w:color="auto"/>
            <w:bottom w:val="none" w:sz="0" w:space="0" w:color="auto"/>
            <w:right w:val="none" w:sz="0" w:space="0" w:color="auto"/>
          </w:divBdr>
          <w:divsChild>
            <w:div w:id="1099637001">
              <w:marLeft w:val="0"/>
              <w:marRight w:val="0"/>
              <w:marTop w:val="0"/>
              <w:marBottom w:val="0"/>
              <w:divBdr>
                <w:top w:val="none" w:sz="0" w:space="0" w:color="auto"/>
                <w:left w:val="none" w:sz="0" w:space="0" w:color="auto"/>
                <w:bottom w:val="none" w:sz="0" w:space="0" w:color="auto"/>
                <w:right w:val="none" w:sz="0" w:space="0" w:color="auto"/>
              </w:divBdr>
              <w:divsChild>
                <w:div w:id="5979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10150">
      <w:bodyDiv w:val="1"/>
      <w:marLeft w:val="0"/>
      <w:marRight w:val="0"/>
      <w:marTop w:val="0"/>
      <w:marBottom w:val="0"/>
      <w:divBdr>
        <w:top w:val="none" w:sz="0" w:space="0" w:color="auto"/>
        <w:left w:val="none" w:sz="0" w:space="0" w:color="auto"/>
        <w:bottom w:val="none" w:sz="0" w:space="0" w:color="auto"/>
        <w:right w:val="none" w:sz="0" w:space="0" w:color="auto"/>
      </w:divBdr>
      <w:divsChild>
        <w:div w:id="91559379">
          <w:marLeft w:val="0"/>
          <w:marRight w:val="0"/>
          <w:marTop w:val="0"/>
          <w:marBottom w:val="0"/>
          <w:divBdr>
            <w:top w:val="none" w:sz="0" w:space="0" w:color="auto"/>
            <w:left w:val="none" w:sz="0" w:space="0" w:color="auto"/>
            <w:bottom w:val="none" w:sz="0" w:space="0" w:color="auto"/>
            <w:right w:val="none" w:sz="0" w:space="0" w:color="auto"/>
          </w:divBdr>
          <w:divsChild>
            <w:div w:id="176042805">
              <w:marLeft w:val="0"/>
              <w:marRight w:val="0"/>
              <w:marTop w:val="0"/>
              <w:marBottom w:val="0"/>
              <w:divBdr>
                <w:top w:val="none" w:sz="0" w:space="0" w:color="auto"/>
                <w:left w:val="none" w:sz="0" w:space="0" w:color="auto"/>
                <w:bottom w:val="none" w:sz="0" w:space="0" w:color="auto"/>
                <w:right w:val="none" w:sz="0" w:space="0" w:color="auto"/>
              </w:divBdr>
              <w:divsChild>
                <w:div w:id="18403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178">
      <w:bodyDiv w:val="1"/>
      <w:marLeft w:val="0"/>
      <w:marRight w:val="0"/>
      <w:marTop w:val="0"/>
      <w:marBottom w:val="0"/>
      <w:divBdr>
        <w:top w:val="none" w:sz="0" w:space="0" w:color="auto"/>
        <w:left w:val="none" w:sz="0" w:space="0" w:color="auto"/>
        <w:bottom w:val="none" w:sz="0" w:space="0" w:color="auto"/>
        <w:right w:val="none" w:sz="0" w:space="0" w:color="auto"/>
      </w:divBdr>
      <w:divsChild>
        <w:div w:id="151455103">
          <w:marLeft w:val="0"/>
          <w:marRight w:val="0"/>
          <w:marTop w:val="0"/>
          <w:marBottom w:val="0"/>
          <w:divBdr>
            <w:top w:val="none" w:sz="0" w:space="0" w:color="auto"/>
            <w:left w:val="none" w:sz="0" w:space="0" w:color="auto"/>
            <w:bottom w:val="none" w:sz="0" w:space="0" w:color="auto"/>
            <w:right w:val="none" w:sz="0" w:space="0" w:color="auto"/>
          </w:divBdr>
          <w:divsChild>
            <w:div w:id="1080062857">
              <w:marLeft w:val="0"/>
              <w:marRight w:val="0"/>
              <w:marTop w:val="0"/>
              <w:marBottom w:val="0"/>
              <w:divBdr>
                <w:top w:val="none" w:sz="0" w:space="0" w:color="auto"/>
                <w:left w:val="none" w:sz="0" w:space="0" w:color="auto"/>
                <w:bottom w:val="none" w:sz="0" w:space="0" w:color="auto"/>
                <w:right w:val="none" w:sz="0" w:space="0" w:color="auto"/>
              </w:divBdr>
              <w:divsChild>
                <w:div w:id="116427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6248">
      <w:bodyDiv w:val="1"/>
      <w:marLeft w:val="0"/>
      <w:marRight w:val="0"/>
      <w:marTop w:val="0"/>
      <w:marBottom w:val="0"/>
      <w:divBdr>
        <w:top w:val="none" w:sz="0" w:space="0" w:color="auto"/>
        <w:left w:val="none" w:sz="0" w:space="0" w:color="auto"/>
        <w:bottom w:val="none" w:sz="0" w:space="0" w:color="auto"/>
        <w:right w:val="none" w:sz="0" w:space="0" w:color="auto"/>
      </w:divBdr>
    </w:div>
    <w:div w:id="1737391991">
      <w:bodyDiv w:val="1"/>
      <w:marLeft w:val="0"/>
      <w:marRight w:val="0"/>
      <w:marTop w:val="0"/>
      <w:marBottom w:val="0"/>
      <w:divBdr>
        <w:top w:val="none" w:sz="0" w:space="0" w:color="auto"/>
        <w:left w:val="none" w:sz="0" w:space="0" w:color="auto"/>
        <w:bottom w:val="none" w:sz="0" w:space="0" w:color="auto"/>
        <w:right w:val="none" w:sz="0" w:space="0" w:color="auto"/>
      </w:divBdr>
    </w:div>
    <w:div w:id="1764106211">
      <w:bodyDiv w:val="1"/>
      <w:marLeft w:val="0"/>
      <w:marRight w:val="0"/>
      <w:marTop w:val="0"/>
      <w:marBottom w:val="0"/>
      <w:divBdr>
        <w:top w:val="none" w:sz="0" w:space="0" w:color="auto"/>
        <w:left w:val="none" w:sz="0" w:space="0" w:color="auto"/>
        <w:bottom w:val="none" w:sz="0" w:space="0" w:color="auto"/>
        <w:right w:val="none" w:sz="0" w:space="0" w:color="auto"/>
      </w:divBdr>
    </w:div>
    <w:div w:id="1822192491">
      <w:bodyDiv w:val="1"/>
      <w:marLeft w:val="0"/>
      <w:marRight w:val="0"/>
      <w:marTop w:val="0"/>
      <w:marBottom w:val="0"/>
      <w:divBdr>
        <w:top w:val="none" w:sz="0" w:space="0" w:color="auto"/>
        <w:left w:val="none" w:sz="0" w:space="0" w:color="auto"/>
        <w:bottom w:val="none" w:sz="0" w:space="0" w:color="auto"/>
        <w:right w:val="none" w:sz="0" w:space="0" w:color="auto"/>
      </w:divBdr>
      <w:divsChild>
        <w:div w:id="1744832465">
          <w:marLeft w:val="0"/>
          <w:marRight w:val="0"/>
          <w:marTop w:val="0"/>
          <w:marBottom w:val="0"/>
          <w:divBdr>
            <w:top w:val="none" w:sz="0" w:space="0" w:color="auto"/>
            <w:left w:val="none" w:sz="0" w:space="0" w:color="auto"/>
            <w:bottom w:val="none" w:sz="0" w:space="0" w:color="auto"/>
            <w:right w:val="none" w:sz="0" w:space="0" w:color="auto"/>
          </w:divBdr>
          <w:divsChild>
            <w:div w:id="238489654">
              <w:marLeft w:val="0"/>
              <w:marRight w:val="0"/>
              <w:marTop w:val="0"/>
              <w:marBottom w:val="0"/>
              <w:divBdr>
                <w:top w:val="none" w:sz="0" w:space="0" w:color="auto"/>
                <w:left w:val="none" w:sz="0" w:space="0" w:color="auto"/>
                <w:bottom w:val="none" w:sz="0" w:space="0" w:color="auto"/>
                <w:right w:val="none" w:sz="0" w:space="0" w:color="auto"/>
              </w:divBdr>
              <w:divsChild>
                <w:div w:id="17160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40945">
      <w:bodyDiv w:val="1"/>
      <w:marLeft w:val="0"/>
      <w:marRight w:val="0"/>
      <w:marTop w:val="0"/>
      <w:marBottom w:val="0"/>
      <w:divBdr>
        <w:top w:val="none" w:sz="0" w:space="0" w:color="auto"/>
        <w:left w:val="none" w:sz="0" w:space="0" w:color="auto"/>
        <w:bottom w:val="none" w:sz="0" w:space="0" w:color="auto"/>
        <w:right w:val="none" w:sz="0" w:space="0" w:color="auto"/>
      </w:divBdr>
    </w:div>
    <w:div w:id="1838575013">
      <w:bodyDiv w:val="1"/>
      <w:marLeft w:val="0"/>
      <w:marRight w:val="0"/>
      <w:marTop w:val="0"/>
      <w:marBottom w:val="0"/>
      <w:divBdr>
        <w:top w:val="none" w:sz="0" w:space="0" w:color="auto"/>
        <w:left w:val="none" w:sz="0" w:space="0" w:color="auto"/>
        <w:bottom w:val="none" w:sz="0" w:space="0" w:color="auto"/>
        <w:right w:val="none" w:sz="0" w:space="0" w:color="auto"/>
      </w:divBdr>
    </w:div>
    <w:div w:id="2138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roundvegetationdb-web.com/ground_veg/home/diversity_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thur.org/wiki/MiSeq_S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b:Tag>
    <b:SourceType>InternetSite</b:SourceType>
    <b:Guid>{0AF3A003-49C1-394A-A40D-B746C1CA7B33}</b:Guid>
    <b:Title>16S Metagenomic Sequencing Library Preparation</b:Title>
    <b:Author>
      <b:Author>
        <b:NameList>
          <b:Person>
            <b:Last>support.illumina.com</b:Last>
          </b:Person>
        </b:NameList>
      </b:Author>
    </b:Author>
    <b:InternetSiteTitle>support.illumina.com</b:InternetSiteTitle>
    <b:URL>https://support.illumina.com/documents/documentation/chemistry_documentation/16s/16s-metagenomic-library-prep-guide-15044223-b.pdf</b:URL>
    <b:RefOrder>1</b:RefOrder>
  </b:Source>
</b:Sources>
</file>

<file path=customXml/itemProps1.xml><?xml version="1.0" encoding="utf-8"?>
<ds:datastoreItem xmlns:ds="http://schemas.openxmlformats.org/officeDocument/2006/customXml" ds:itemID="{FF7EA06A-87D3-1740-B999-7549CAEC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11545</Words>
  <Characters>65811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Wagner</dc:creator>
  <cp:keywords/>
  <dc:description/>
  <cp:lastModifiedBy>Josef Wagner</cp:lastModifiedBy>
  <cp:revision>12</cp:revision>
  <cp:lastPrinted>2019-10-31T23:17:00Z</cp:lastPrinted>
  <dcterms:created xsi:type="dcterms:W3CDTF">2020-04-21T07:21:00Z</dcterms:created>
  <dcterms:modified xsi:type="dcterms:W3CDTF">2021-02-08T00:51:00Z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http://www.zotero.org/styles/bmc-gastroenterology</vt:lpwstr>
  </property>
  <property fmtid="{D5CDD505-2E9C-101B-9397-08002B2CF9AE}" pid="9" name="Mendeley Recent Style Name 3_1">
    <vt:lpwstr>BMC Gastroenterology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http://www.zotero.org/styles/gut</vt:lpwstr>
  </property>
  <property fmtid="{D5CDD505-2E9C-101B-9397-08002B2CF9AE}" pid="15" name="Mendeley Recent Style Name 6_1">
    <vt:lpwstr>Gut</vt:lpwstr>
  </property>
  <property fmtid="{D5CDD505-2E9C-101B-9397-08002B2CF9AE}" pid="16" name="Mendeley Recent Style Id 7_1">
    <vt:lpwstr>http://www.zotero.org/styles/hepatology</vt:lpwstr>
  </property>
  <property fmtid="{D5CDD505-2E9C-101B-9397-08002B2CF9AE}" pid="17" name="Mendeley Recent Style Name 7_1">
    <vt:lpwstr>Hepatology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d52bb1a9-3dba-39d7-aa73-67165ea3ddc6</vt:lpwstr>
  </property>
  <property fmtid="{D5CDD505-2E9C-101B-9397-08002B2CF9AE}" pid="24" name="Mendeley Citation Style_1">
    <vt:lpwstr>http://www.zotero.org/styles/nature</vt:lpwstr>
  </property>
</Properties>
</file>