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2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charts/chartEx3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A63D" w14:textId="661D0B22" w:rsidR="00253EF9" w:rsidRDefault="00253EF9">
      <w:pPr>
        <w:rPr>
          <w:sz w:val="40"/>
          <w:szCs w:val="40"/>
        </w:rPr>
      </w:pPr>
      <w:r w:rsidRPr="00793B82">
        <w:rPr>
          <w:sz w:val="40"/>
          <w:szCs w:val="40"/>
        </w:rPr>
        <w:t>Supplementary figures</w:t>
      </w:r>
    </w:p>
    <w:p w14:paraId="0341172F" w14:textId="732314E7" w:rsidR="004A5893" w:rsidRDefault="004A5893">
      <w:pPr>
        <w:rPr>
          <w:sz w:val="40"/>
          <w:szCs w:val="40"/>
        </w:rPr>
      </w:pPr>
    </w:p>
    <w:p w14:paraId="23E5CFEB" w14:textId="42662770" w:rsidR="004A5893" w:rsidRDefault="004A5893">
      <w:pPr>
        <w:rPr>
          <w:sz w:val="40"/>
          <w:szCs w:val="40"/>
        </w:rPr>
      </w:pPr>
    </w:p>
    <w:p w14:paraId="6403CEF3" w14:textId="6873F8CD" w:rsidR="004A5893" w:rsidRPr="00793B82" w:rsidRDefault="00687EBA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41CD013" wp14:editId="20674F8E">
            <wp:extent cx="5378450" cy="3968750"/>
            <wp:effectExtent l="0" t="0" r="6350" b="635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3CCE1FC5-B265-A6F5-A1F2-200BEA1B0B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62695CB" w14:textId="114D2E78" w:rsidR="00253EF9" w:rsidRDefault="00253EF9"/>
    <w:p w14:paraId="6A4E4991" w14:textId="5A6E75E6" w:rsidR="00217BD4" w:rsidRDefault="00687EBA">
      <w:r>
        <w:t>Supp</w:t>
      </w:r>
      <w:r w:rsidR="0038765D">
        <w:t>l</w:t>
      </w:r>
      <w:r>
        <w:t xml:space="preserve">ementary figure 1. </w:t>
      </w:r>
      <w:r w:rsidR="00FF4AC6">
        <w:t xml:space="preserve">The </w:t>
      </w:r>
      <w:r w:rsidR="00EF2087">
        <w:t>n</w:t>
      </w:r>
      <w:r>
        <w:t xml:space="preserve">umber of relevant articles </w:t>
      </w:r>
      <w:r w:rsidR="0038765D">
        <w:t>using a specific tissue type in a</w:t>
      </w:r>
      <w:r w:rsidR="008A73A7">
        <w:t>n</w:t>
      </w:r>
      <w:r w:rsidR="0038765D">
        <w:t xml:space="preserve"> unbiased search. </w:t>
      </w:r>
      <w:r w:rsidR="00EF2087">
        <w:t xml:space="preserve">The </w:t>
      </w:r>
      <w:r w:rsidR="006E528E">
        <w:t>data was obtained with a</w:t>
      </w:r>
      <w:r w:rsidR="007740ED">
        <w:t>n</w:t>
      </w:r>
      <w:r w:rsidR="006E528E">
        <w:t xml:space="preserve"> unbiased search (see </w:t>
      </w:r>
      <w:r w:rsidR="004F5B81">
        <w:t>supplementary table 1 for details). The number of articles that decried a specific cell type</w:t>
      </w:r>
      <w:r w:rsidR="00CB2D69">
        <w:t xml:space="preserve"> was counted. </w:t>
      </w:r>
    </w:p>
    <w:p w14:paraId="06F98141" w14:textId="77777777" w:rsidR="00217BD4" w:rsidRDefault="00217BD4">
      <w:r>
        <w:br w:type="page"/>
      </w:r>
    </w:p>
    <w:p w14:paraId="25470E9D" w14:textId="77777777" w:rsidR="00253EF9" w:rsidRDefault="00253EF9"/>
    <w:p w14:paraId="6835F03D" w14:textId="77777777" w:rsidR="0038765D" w:rsidRDefault="0038765D"/>
    <w:p w14:paraId="5482FD6C" w14:textId="4B60F1BA" w:rsidR="00253EF9" w:rsidRDefault="00253EF9">
      <w:r w:rsidRPr="00253EF9">
        <w:rPr>
          <w:noProof/>
        </w:rPr>
        <mc:AlternateContent>
          <mc:Choice Requires="cx1">
            <w:drawing>
              <wp:inline distT="0" distB="0" distL="0" distR="0" wp14:anchorId="01BA46FA" wp14:editId="624191A0">
                <wp:extent cx="2212435" cy="3153540"/>
                <wp:effectExtent l="0" t="0" r="10160" b="8890"/>
                <wp:docPr id="1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6DA548-17F6-21E6-622C-8114707DADB1}"/>
                    </a:ext>
                    <a:ext uri="{147F2762-F138-4A5C-976F-8EAC2B608ADB}">
                      <a16:predDERef xmlns:a16="http://schemas.microsoft.com/office/drawing/2014/main" pred="{C52688E5-EAA5-DB4D-B7A4-1DDD0B48C3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5"/>
                  </a:graphicData>
                </a:graphic>
              </wp:inline>
            </w:drawing>
          </mc:Choice>
          <mc:Fallback>
            <w:drawing>
              <wp:inline distT="0" distB="0" distL="0" distR="0" wp14:anchorId="01BA46FA" wp14:editId="624191A0">
                <wp:extent cx="2212435" cy="3153540"/>
                <wp:effectExtent l="0" t="0" r="10160" b="8890"/>
                <wp:docPr id="1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6DA548-17F6-21E6-622C-8114707DADB1}"/>
                    </a:ext>
                    <a:ext uri="{147F2762-F138-4A5C-976F-8EAC2B608ADB}">
                      <a16:predDERef xmlns:a16="http://schemas.microsoft.com/office/drawing/2014/main" pred="{C52688E5-EAA5-DB4D-B7A4-1DDD0B48C33A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art 1">
                          <a:extLst>
                            <a:ext uri="{FF2B5EF4-FFF2-40B4-BE49-F238E27FC236}">
                              <a16:creationId xmlns:a16="http://schemas.microsoft.com/office/drawing/2014/main" id="{996DA548-17F6-21E6-622C-8114707DADB1}"/>
                            </a:ext>
                            <a:ext uri="{147F2762-F138-4A5C-976F-8EAC2B608ADB}">
                              <a16:predDERef xmlns:a16="http://schemas.microsoft.com/office/drawing/2014/main" pred="{C52688E5-EAA5-DB4D-B7A4-1DDD0B48C33A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340" cy="315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Pr="00253EF9">
        <w:rPr>
          <w:noProof/>
        </w:rPr>
        <mc:AlternateContent>
          <mc:Choice Requires="cx1">
            <w:drawing>
              <wp:inline distT="0" distB="0" distL="0" distR="0" wp14:anchorId="087C98CC" wp14:editId="2EFE8348">
                <wp:extent cx="1940123" cy="3160371"/>
                <wp:effectExtent l="0" t="0" r="3175" b="2540"/>
                <wp:docPr id="2" name="Char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13B754-41D2-3841-AB79-A91B6959D62E}"/>
                    </a:ext>
                    <a:ext uri="{147F2762-F138-4A5C-976F-8EAC2B608ADB}">
                      <a16:predDERef xmlns:a16="http://schemas.microsoft.com/office/drawing/2014/main" pred="{CDB5F0B4-F5B8-6F49-BB4E-C6EDCBAB9A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087C98CC" wp14:editId="2EFE8348">
                <wp:extent cx="1940123" cy="3160371"/>
                <wp:effectExtent l="0" t="0" r="3175" b="2540"/>
                <wp:docPr id="2" name="Char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13B754-41D2-3841-AB79-A91B6959D62E}"/>
                    </a:ext>
                    <a:ext uri="{147F2762-F138-4A5C-976F-8EAC2B608ADB}">
                      <a16:predDERef xmlns:a16="http://schemas.microsoft.com/office/drawing/2014/main" pred="{CDB5F0B4-F5B8-6F49-BB4E-C6EDCBAB9A1F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hart 2">
                          <a:extLst>
                            <a:ext uri="{FF2B5EF4-FFF2-40B4-BE49-F238E27FC236}">
                              <a16:creationId xmlns:a16="http://schemas.microsoft.com/office/drawing/2014/main" id="{6113B754-41D2-3841-AB79-A91B6959D62E}"/>
                            </a:ext>
                            <a:ext uri="{147F2762-F138-4A5C-976F-8EAC2B608ADB}">
                              <a16:predDERef xmlns:a16="http://schemas.microsoft.com/office/drawing/2014/main" pred="{CDB5F0B4-F5B8-6F49-BB4E-C6EDCBAB9A1F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9925" cy="315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1264270" w14:textId="513B72DD" w:rsidR="00253EF9" w:rsidRDefault="00253EF9"/>
    <w:p w14:paraId="0671B5CA" w14:textId="5AADE2CE" w:rsidR="00BD3020" w:rsidRDefault="00BD3020" w:rsidP="00BD3020">
      <w:r>
        <w:t xml:space="preserve">Supplementary figure </w:t>
      </w:r>
      <w:r w:rsidR="0038765D">
        <w:t>2</w:t>
      </w:r>
      <w:r>
        <w:t xml:space="preserve">. The distribution of ratio collected per </w:t>
      </w:r>
      <w:r w:rsidR="008637F5">
        <w:t>article</w:t>
      </w:r>
      <w:r>
        <w:t xml:space="preserve">. </w:t>
      </w:r>
      <w:r w:rsidR="00CB2D69">
        <w:t xml:space="preserve">The ratio is the same as an independent biomarker. Most articles only collect information from up to five independent biomarkers. The data was analysed from Supplementary table 2 and 3 respectively. </w:t>
      </w:r>
    </w:p>
    <w:p w14:paraId="70B2662B" w14:textId="5646D36E" w:rsidR="00253EF9" w:rsidRDefault="00253EF9"/>
    <w:p w14:paraId="762A0FAE" w14:textId="2CE043FA" w:rsidR="00217BD4" w:rsidRDefault="00217BD4">
      <w:r>
        <w:br w:type="page"/>
      </w:r>
    </w:p>
    <w:p w14:paraId="329C8B7D" w14:textId="77777777" w:rsidR="00F85AD8" w:rsidRDefault="00F85AD8"/>
    <w:p w14:paraId="47B29F6D" w14:textId="77777777" w:rsidR="00F85AD8" w:rsidRDefault="00F85AD8"/>
    <w:p w14:paraId="6CCC9632" w14:textId="7FAAECB4" w:rsidR="00253EF9" w:rsidRDefault="00253EF9"/>
    <w:p w14:paraId="5B47AEFF" w14:textId="0AB10A86" w:rsidR="00253EF9" w:rsidRDefault="00253EF9">
      <w:r w:rsidRPr="00253EF9">
        <w:rPr>
          <w:noProof/>
        </w:rPr>
        <mc:AlternateContent>
          <mc:Choice Requires="cx1">
            <w:drawing>
              <wp:inline distT="0" distB="0" distL="0" distR="0" wp14:anchorId="52F5BF1A" wp14:editId="38B11EC3">
                <wp:extent cx="2072948" cy="2664833"/>
                <wp:effectExtent l="0" t="0" r="10160" b="2540"/>
                <wp:docPr id="3" name="Char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191D0-1162-7841-614B-FAB484965F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</wp:inline>
            </w:drawing>
          </mc:Choice>
          <mc:Fallback>
            <w:drawing>
              <wp:inline distT="0" distB="0" distL="0" distR="0" wp14:anchorId="52F5BF1A" wp14:editId="38B11EC3">
                <wp:extent cx="2072948" cy="2664833"/>
                <wp:effectExtent l="0" t="0" r="10160" b="2540"/>
                <wp:docPr id="3" name="Char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191D0-1162-7841-614B-FAB484965F35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hart 3">
                          <a:extLst>
                            <a:ext uri="{FF2B5EF4-FFF2-40B4-BE49-F238E27FC236}">
                              <a16:creationId xmlns:a16="http://schemas.microsoft.com/office/drawing/2014/main" id="{AEF191D0-1162-7841-614B-FAB484965F35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2640" cy="2664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0FF464E" w14:textId="15DB8EE0" w:rsidR="008637F5" w:rsidRDefault="008637F5" w:rsidP="008637F5">
      <w:r>
        <w:t xml:space="preserve">Supplementary figure </w:t>
      </w:r>
      <w:r w:rsidR="0038765D">
        <w:t>3</w:t>
      </w:r>
      <w:r>
        <w:t xml:space="preserve">. </w:t>
      </w:r>
      <w:r w:rsidR="00385705">
        <w:t xml:space="preserve">The distribution of the number of times </w:t>
      </w:r>
      <w:r w:rsidR="00F133B1">
        <w:t>a biomarker has been used</w:t>
      </w:r>
      <w:r w:rsidR="008448F7">
        <w:t xml:space="preserve">. The graphs show often a </w:t>
      </w:r>
      <w:r w:rsidR="00750A31">
        <w:t xml:space="preserve">biomarker is used. Most biomarkers are used only once in the literature. These are typically mRNA. Other are used </w:t>
      </w:r>
      <w:r w:rsidR="007330B8">
        <w:t xml:space="preserve">by many articles such as viability &gt;10 articles. </w:t>
      </w:r>
      <w:r w:rsidR="00F133B1">
        <w:t xml:space="preserve"> </w:t>
      </w:r>
      <w:r w:rsidR="00385705">
        <w:t xml:space="preserve"> </w:t>
      </w:r>
    </w:p>
    <w:p w14:paraId="44ED73BF" w14:textId="77777777" w:rsidR="00253EF9" w:rsidRDefault="00253EF9">
      <w:r>
        <w:br w:type="page"/>
      </w:r>
    </w:p>
    <w:p w14:paraId="3C754013" w14:textId="7927F210" w:rsidR="00253EF9" w:rsidRDefault="00253EF9"/>
    <w:p w14:paraId="0C7E55DD" w14:textId="77777777" w:rsidR="00253EF9" w:rsidRDefault="00253EF9"/>
    <w:sectPr w:rsidR="00253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F9"/>
    <w:rsid w:val="00217BD4"/>
    <w:rsid w:val="00253EF9"/>
    <w:rsid w:val="00332D08"/>
    <w:rsid w:val="00385705"/>
    <w:rsid w:val="0038765D"/>
    <w:rsid w:val="004A5893"/>
    <w:rsid w:val="004F5B81"/>
    <w:rsid w:val="00687EBA"/>
    <w:rsid w:val="006D17AC"/>
    <w:rsid w:val="006E528E"/>
    <w:rsid w:val="007330B8"/>
    <w:rsid w:val="00750A31"/>
    <w:rsid w:val="007740ED"/>
    <w:rsid w:val="00793B82"/>
    <w:rsid w:val="008448F7"/>
    <w:rsid w:val="008637F5"/>
    <w:rsid w:val="008A73A7"/>
    <w:rsid w:val="00B40CED"/>
    <w:rsid w:val="00BD3020"/>
    <w:rsid w:val="00CB2D69"/>
    <w:rsid w:val="00D06749"/>
    <w:rsid w:val="00EF2087"/>
    <w:rsid w:val="00F133B1"/>
    <w:rsid w:val="00F85AD8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C78F1"/>
  <w15:chartTrackingRefBased/>
  <w15:docId w15:val="{744FA38B-1BD8-9B46-B52D-CAD9D1B7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4/relationships/chartEx" Target="charts/chart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microsoft.com/office/2014/relationships/chartEx" Target="charts/chartEx1.xml"/><Relationship Id="rId10" Type="http://schemas.microsoft.com/office/2014/relationships/chartEx" Target="charts/chartEx3.xml"/><Relationship Id="rId4" Type="http://schemas.openxmlformats.org/officeDocument/2006/relationships/chart" Target="charts/chart1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tudk-my.sharepoint.com/personal/dufva_dtu_dk/Documents/Projects/MD%20projects/Review/Advantage%20of%20fludics%20new-Martin&#8217;s%20iMa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Ex1.xml.rels><?xml version="1.0" encoding="UTF-8" standalone="yes"?>
<Relationships xmlns="http://schemas.openxmlformats.org/package/2006/relationships"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Ex2.xml.rels><?xml version="1.0" encoding="UTF-8" standalone="yes"?>
<Relationships xmlns="http://schemas.openxmlformats.org/package/2006/relationships"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Ex3.xml.rels><?xml version="1.0" encoding="UTF-8" standalone="yes"?>
<Relationships xmlns="http://schemas.openxmlformats.org/package/2006/relationships"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Unbiased</a:t>
            </a:r>
            <a:r>
              <a:rPr lang="en-US" baseline="0"/>
              <a:t> search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D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'Unbiased search articles'!$D$2:$Q$2</c:f>
              <c:strCache>
                <c:ptCount val="14"/>
                <c:pt idx="0">
                  <c:v>Adipose tissue</c:v>
                </c:pt>
                <c:pt idx="1">
                  <c:v>Bone/Cart</c:v>
                </c:pt>
                <c:pt idx="2">
                  <c:v>Brain</c:v>
                </c:pt>
                <c:pt idx="3">
                  <c:v>Cardiac</c:v>
                </c:pt>
                <c:pt idx="4">
                  <c:v>Immune cells</c:v>
                </c:pt>
                <c:pt idx="5">
                  <c:v>Intestine</c:v>
                </c:pt>
                <c:pt idx="6">
                  <c:v>Kidney</c:v>
                </c:pt>
                <c:pt idx="7">
                  <c:v>Liver</c:v>
                </c:pt>
                <c:pt idx="8">
                  <c:v>Lung</c:v>
                </c:pt>
                <c:pt idx="9">
                  <c:v>Prostate</c:v>
                </c:pt>
                <c:pt idx="10">
                  <c:v>Skin</c:v>
                </c:pt>
                <c:pt idx="11">
                  <c:v>Stem cells</c:v>
                </c:pt>
                <c:pt idx="12">
                  <c:v>Tumour</c:v>
                </c:pt>
                <c:pt idx="13">
                  <c:v>Vessel</c:v>
                </c:pt>
              </c:strCache>
            </c:strRef>
          </c:cat>
          <c:val>
            <c:numRef>
              <c:f>'Unbiased search articles'!$D$3:$Q$3</c:f>
              <c:numCache>
                <c:formatCode>General</c:formatCode>
                <c:ptCount val="14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7</c:v>
                </c:pt>
                <c:pt idx="6">
                  <c:v>2</c:v>
                </c:pt>
                <c:pt idx="7">
                  <c:v>8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  <c:pt idx="12">
                  <c:v>4</c:v>
                </c:pt>
                <c:pt idx="1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18-B24A-BD1F-9D98B70FF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6150912"/>
        <c:axId val="508900848"/>
      </c:barChart>
      <c:catAx>
        <c:axId val="110615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DK"/>
          </a:p>
        </c:txPr>
        <c:crossAx val="508900848"/>
        <c:crosses val="autoZero"/>
        <c:auto val="1"/>
        <c:lblAlgn val="ctr"/>
        <c:lblOffset val="100"/>
        <c:noMultiLvlLbl val="0"/>
      </c:catAx>
      <c:valAx>
        <c:axId val="50890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D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DK"/>
          </a:p>
        </c:txPr>
        <c:crossAx val="1106150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DK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data id="0">
      <cx:numDim type="val">
        <cx:f>'Ratio well comp'!$AD$72:$DB$72</cx:f>
        <cx:lvl ptCount="77" formatCode="General">
          <cx:pt idx="0">1</cx:pt>
          <cx:pt idx="1">7</cx:pt>
          <cx:pt idx="2">4</cx:pt>
          <cx:pt idx="3">14</cx:pt>
          <cx:pt idx="4">1</cx:pt>
          <cx:pt idx="5">1</cx:pt>
          <cx:pt idx="6">0</cx:pt>
          <cx:pt idx="7">8</cx:pt>
          <cx:pt idx="8">7</cx:pt>
          <cx:pt idx="9">18</cx:pt>
          <cx:pt idx="10">3</cx:pt>
          <cx:pt idx="11">15</cx:pt>
          <cx:pt idx="12">2</cx:pt>
          <cx:pt idx="13">3</cx:pt>
          <cx:pt idx="14">25</cx:pt>
          <cx:pt idx="15">62</cx:pt>
          <cx:pt idx="16">5</cx:pt>
          <cx:pt idx="17">3</cx:pt>
          <cx:pt idx="18">13</cx:pt>
          <cx:pt idx="19">20</cx:pt>
          <cx:pt idx="20">33</cx:pt>
          <cx:pt idx="21">16</cx:pt>
          <cx:pt idx="22">4</cx:pt>
          <cx:pt idx="23">4</cx:pt>
          <cx:pt idx="24">18</cx:pt>
          <cx:pt idx="25">13</cx:pt>
          <cx:pt idx="26">4</cx:pt>
          <cx:pt idx="27">7</cx:pt>
          <cx:pt idx="28">7</cx:pt>
          <cx:pt idx="29">5</cx:pt>
          <cx:pt idx="30">15</cx:pt>
          <cx:pt idx="31">2</cx:pt>
          <cx:pt idx="32">30</cx:pt>
          <cx:pt idx="33">4</cx:pt>
          <cx:pt idx="34">1</cx:pt>
          <cx:pt idx="35">41</cx:pt>
          <cx:pt idx="36">8</cx:pt>
          <cx:pt idx="37">20</cx:pt>
          <cx:pt idx="38">24</cx:pt>
          <cx:pt idx="39">2</cx:pt>
          <cx:pt idx="40">27</cx:pt>
          <cx:pt idx="41">4</cx:pt>
          <cx:pt idx="42">40</cx:pt>
          <cx:pt idx="43">1</cx:pt>
          <cx:pt idx="44">19</cx:pt>
          <cx:pt idx="45">4</cx:pt>
          <cx:pt idx="46">12</cx:pt>
          <cx:pt idx="47">1</cx:pt>
          <cx:pt idx="48">2</cx:pt>
          <cx:pt idx="49">2</cx:pt>
          <cx:pt idx="50">8</cx:pt>
          <cx:pt idx="51">0</cx:pt>
          <cx:pt idx="52">1</cx:pt>
          <cx:pt idx="53">4</cx:pt>
          <cx:pt idx="54">11</cx:pt>
          <cx:pt idx="55">8</cx:pt>
          <cx:pt idx="56">10</cx:pt>
          <cx:pt idx="57">5</cx:pt>
          <cx:pt idx="58">3</cx:pt>
          <cx:pt idx="59">8</cx:pt>
          <cx:pt idx="60">9</cx:pt>
          <cx:pt idx="61">3</cx:pt>
          <cx:pt idx="62">6</cx:pt>
          <cx:pt idx="63">7</cx:pt>
          <cx:pt idx="64">2</cx:pt>
          <cx:pt idx="65">34</cx:pt>
          <cx:pt idx="66">15</cx:pt>
          <cx:pt idx="67">6</cx:pt>
          <cx:pt idx="68">3</cx:pt>
          <cx:pt idx="69">5</cx:pt>
          <cx:pt idx="70">8</cx:pt>
          <cx:pt idx="71">4</cx:pt>
          <cx:pt idx="72">6</cx:pt>
          <cx:pt idx="73">1</cx:pt>
          <cx:pt idx="74">1</cx:pt>
          <cx:pt idx="75">1</cx:pt>
          <cx:pt idx="76">7</cx:pt>
        </cx:lvl>
      </cx:numDim>
    </cx:data>
  </cx:chartData>
  <cx:chart>
    <cx:title pos="t" align="ctr" overlay="0">
      <cx:tx>
        <cx:txData>
          <cx:v>Well control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US" sz="12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rPr>
            <a:t>Well control</a:t>
          </a:r>
        </a:p>
      </cx:txPr>
    </cx:title>
    <cx:plotArea>
      <cx:plotAreaRegion>
        <cx:plotSurface>
          <cx:spPr>
            <a:ln>
              <a:noFill/>
            </a:ln>
          </cx:spPr>
        </cx:plotSurface>
        <cx:series layoutId="clusteredColumn" uniqueId="{C2D4A30E-2E83-724D-8E46-223EBFE40EA9}">
          <cx:dataId val="0"/>
          <cx:layoutPr>
            <cx:binning intervalClosed="r">
              <cx:binSize val="5"/>
            </cx:binning>
          </cx:layoutPr>
        </cx:series>
      </cx:plotAreaRegion>
      <cx:axis id="0">
        <cx:catScaling gapWidth="0"/>
        <cx:title>
          <cx:tx>
            <cx:txData>
              <cx:v>Number of data points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200"/>
              </a:pPr>
              <a:r>
                <a:rPr lang="en-US" sz="12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Calibri" panose="020F0502020204030204"/>
                </a:rPr>
                <a:t>Number of data points</a:t>
              </a:r>
            </a:p>
          </cx:txPr>
        </cx:title>
        <cx:tickLabels/>
        <cx:txPr>
          <a:bodyPr vertOverflow="overflow" horzOverflow="overflow" wrap="square" lIns="0" tIns="0" rIns="0" bIns="0"/>
          <a:lstStyle/>
          <a:p>
            <a:pPr algn="ctr" rtl="0">
              <a:defRPr sz="1000" b="0" i="0">
                <a:solidFill>
                  <a:srgbClr val="595959"/>
                </a:solidFill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000" b="0" i="0"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  <cx:axis id="1">
        <cx:valScaling/>
        <cx:title>
          <cx:tx>
            <cx:txData>
              <cx:v>Number of articles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200">
                  <a:latin typeface="Arial" panose="020B0604020202020204" pitchFamily="34" charset="0"/>
                  <a:ea typeface="Arial" panose="020B0604020202020204" pitchFamily="34" charset="0"/>
                  <a:cs typeface="Arial" panose="020B0604020202020204" pitchFamily="34" charset="0"/>
                </a:defRPr>
              </a:pPr>
              <a:r>
                <a:rPr lang="en-US" sz="12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rial" panose="020B0604020202020204" pitchFamily="34" charset="0"/>
                  <a:cs typeface="Arial" panose="020B0604020202020204" pitchFamily="34" charset="0"/>
                </a:rPr>
                <a:t>Number of articles</a:t>
              </a:r>
            </a:p>
          </cx:txPr>
        </cx:title>
        <cx:tickLabels/>
        <cx:txPr>
          <a:bodyPr vertOverflow="overflow" horzOverflow="overflow" wrap="square" lIns="0" tIns="0" rIns="0" bIns="0"/>
          <a:lstStyle/>
          <a:p>
            <a:pPr algn="ctr" rtl="0">
              <a:defRPr sz="1200" b="0" i="0">
                <a:solidFill>
                  <a:srgbClr val="595959"/>
                </a:solidFill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200" b="0" i="0"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</cx:plotArea>
  </cx:chart>
  <cx:spPr>
    <a:ln>
      <a:noFill/>
    </a:ln>
  </cx:spPr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data id="0">
      <cx:numDim type="val">
        <cx:f>'Ratio chip control'!$X$72:$BM$72</cx:f>
        <cx:lvl ptCount="42" formatCode="General">
          <cx:pt idx="0">33</cx:pt>
          <cx:pt idx="1">19</cx:pt>
          <cx:pt idx="2">30</cx:pt>
          <cx:pt idx="3">6</cx:pt>
          <cx:pt idx="4">55</cx:pt>
          <cx:pt idx="5">36</cx:pt>
          <cx:pt idx="6">5</cx:pt>
          <cx:pt idx="7">5</cx:pt>
          <cx:pt idx="8">35</cx:pt>
          <cx:pt idx="9">16</cx:pt>
          <cx:pt idx="10">4</cx:pt>
          <cx:pt idx="11">40</cx:pt>
          <cx:pt idx="12">10</cx:pt>
          <cx:pt idx="13">10</cx:pt>
          <cx:pt idx="14">21</cx:pt>
          <cx:pt idx="15">1</cx:pt>
          <cx:pt idx="16">17</cx:pt>
          <cx:pt idx="17">4</cx:pt>
          <cx:pt idx="18">9</cx:pt>
          <cx:pt idx="19">4</cx:pt>
          <cx:pt idx="20">9</cx:pt>
          <cx:pt idx="21">4</cx:pt>
          <cx:pt idx="22">12</cx:pt>
          <cx:pt idx="23">10</cx:pt>
          <cx:pt idx="24">7</cx:pt>
          <cx:pt idx="25">3</cx:pt>
          <cx:pt idx="26">48</cx:pt>
          <cx:pt idx="27">9</cx:pt>
          <cx:pt idx="28">4</cx:pt>
          <cx:pt idx="29">20</cx:pt>
          <cx:pt idx="30">4</cx:pt>
          <cx:pt idx="31">8</cx:pt>
          <cx:pt idx="32">12</cx:pt>
          <cx:pt idx="33">10</cx:pt>
          <cx:pt idx="34">27</cx:pt>
          <cx:pt idx="35">9</cx:pt>
          <cx:pt idx="36">14</cx:pt>
          <cx:pt idx="37">1</cx:pt>
          <cx:pt idx="38">3</cx:pt>
          <cx:pt idx="39">1</cx:pt>
          <cx:pt idx="40">54</cx:pt>
          <cx:pt idx="41">0</cx:pt>
        </cx:lvl>
      </cx:numDim>
    </cx:data>
  </cx:chartData>
  <cx:chart>
    <cx:title pos="t" align="ctr" overlay="0">
      <cx:tx>
        <cx:txData>
          <cx:v>Chip control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US" sz="12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rPr>
            <a:t>Chip control</a:t>
          </a:r>
        </a:p>
      </cx:txPr>
    </cx:title>
    <cx:plotArea>
      <cx:plotAreaRegion>
        <cx:plotSurface>
          <cx:spPr>
            <a:ln>
              <a:noFill/>
            </a:ln>
          </cx:spPr>
        </cx:plotSurface>
        <cx:series layoutId="clusteredColumn" uniqueId="{C816DAF1-FB50-824B-83C3-F1DA3442A8E2}">
          <cx:dataId val="0"/>
          <cx:layoutPr>
            <cx:binning intervalClosed="r">
              <cx:binSize val="5"/>
            </cx:binning>
          </cx:layoutPr>
        </cx:series>
      </cx:plotAreaRegion>
      <cx:axis id="0">
        <cx:catScaling gapWidth="0"/>
        <cx:title>
          <cx:tx>
            <cx:txData>
              <cx:v>Number of data points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200"/>
              </a:pPr>
              <a:r>
                <a:rPr lang="en-US" sz="12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Calibri" panose="020F0502020204030204"/>
                </a:rPr>
                <a:t>Number of data points</a:t>
              </a:r>
            </a:p>
          </cx:txPr>
        </cx:title>
        <cx:tickLabels/>
        <cx:txPr>
          <a:bodyPr vertOverflow="overflow" horzOverflow="overflow" wrap="square" lIns="0" tIns="0" rIns="0" bIns="0"/>
          <a:lstStyle/>
          <a:p>
            <a:pPr algn="ctr" rtl="0">
              <a:defRPr sz="1000" b="0" i="0">
                <a:solidFill>
                  <a:srgbClr val="595959"/>
                </a:solidFill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000" b="0" i="0"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  <cx:axis id="1">
        <cx:valScaling/>
        <cx:tickLabels/>
        <cx:txPr>
          <a:bodyPr vertOverflow="overflow" horzOverflow="overflow" wrap="square" lIns="0" tIns="0" rIns="0" bIns="0"/>
          <a:lstStyle/>
          <a:p>
            <a:pPr algn="ctr" rtl="0">
              <a:defRPr sz="1200" b="0" i="0">
                <a:solidFill>
                  <a:srgbClr val="595959"/>
                </a:solidFill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200" b="0" i="0"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</cx:plotArea>
  </cx:chart>
  <cx:spPr>
    <a:ln>
      <a:noFill/>
    </a:ln>
  </cx:spPr>
</cx:chartSpace>
</file>

<file path=word/charts/chartEx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data id="0">
      <cx:numDim type="val">
        <cx:f>'Name of marker'!$C$1:$C$289</cx:f>
        <cx:lvl ptCount="289" formatCode="General">
          <cx:pt idx="0">0</cx:pt>
          <cx:pt idx="1">7</cx:pt>
          <cx:pt idx="2">1</cx:pt>
          <cx:pt idx="3">1</cx:pt>
          <cx:pt idx="4">1</cx:pt>
          <cx:pt idx="5">3</cx:pt>
          <cx:pt idx="6">3</cx:pt>
          <cx:pt idx="7">3</cx:pt>
          <cx:pt idx="8">1</cx:pt>
          <cx:pt idx="9">1</cx:pt>
          <cx:pt idx="10">8</cx:pt>
          <cx:pt idx="11">1</cx:pt>
          <cx:pt idx="12">1</cx:pt>
          <cx:pt idx="13">14</cx:pt>
          <cx:pt idx="14">1</cx:pt>
          <cx:pt idx="15">1</cx:pt>
          <cx:pt idx="16">3</cx:pt>
          <cx:pt idx="17">4</cx:pt>
          <cx:pt idx="18">1</cx:pt>
          <cx:pt idx="19">1</cx:pt>
          <cx:pt idx="20">1</cx:pt>
          <cx:pt idx="21">3</cx:pt>
          <cx:pt idx="22">3</cx:pt>
          <cx:pt idx="23">1</cx:pt>
          <cx:pt idx="24">1</cx:pt>
          <cx:pt idx="25">4</cx:pt>
          <cx:pt idx="26">1</cx:pt>
          <cx:pt idx="27">1</cx:pt>
          <cx:pt idx="28">3</cx:pt>
          <cx:pt idx="29">7</cx:pt>
          <cx:pt idx="30">1</cx:pt>
          <cx:pt idx="31">4</cx:pt>
          <cx:pt idx="32">2</cx:pt>
          <cx:pt idx="33">2</cx:pt>
          <cx:pt idx="34">2</cx:pt>
          <cx:pt idx="35">1</cx:pt>
          <cx:pt idx="36">1</cx:pt>
          <cx:pt idx="37">1</cx:pt>
          <cx:pt idx="38">1</cx:pt>
          <cx:pt idx="39">1</cx:pt>
          <cx:pt idx="40">2</cx:pt>
          <cx:pt idx="41">1</cx:pt>
          <cx:pt idx="42">2</cx:pt>
          <cx:pt idx="43">3</cx:pt>
          <cx:pt idx="44">2</cx:pt>
          <cx:pt idx="45">2</cx:pt>
          <cx:pt idx="46">1</cx:pt>
          <cx:pt idx="47">2</cx:pt>
          <cx:pt idx="48">6</cx:pt>
          <cx:pt idx="49">6</cx:pt>
          <cx:pt idx="50">1</cx:pt>
          <cx:pt idx="51">1</cx:pt>
          <cx:pt idx="52">1</cx:pt>
          <cx:pt idx="53">1</cx:pt>
          <cx:pt idx="54">9</cx:pt>
          <cx:pt idx="55">4</cx:pt>
          <cx:pt idx="56">1</cx:pt>
          <cx:pt idx="57">6</cx:pt>
          <cx:pt idx="58">1</cx:pt>
          <cx:pt idx="59">2</cx:pt>
          <cx:pt idx="60">1</cx:pt>
          <cx:pt idx="61">4</cx:pt>
          <cx:pt idx="62">1</cx:pt>
          <cx:pt idx="63">3</cx:pt>
          <cx:pt idx="64">1</cx:pt>
          <cx:pt idx="65">1</cx:pt>
          <cx:pt idx="66">1</cx:pt>
          <cx:pt idx="67">1</cx:pt>
          <cx:pt idx="68">1</cx:pt>
          <cx:pt idx="69">1</cx:pt>
          <cx:pt idx="70">2</cx:pt>
          <cx:pt idx="71">1</cx:pt>
          <cx:pt idx="72">1</cx:pt>
          <cx:pt idx="73">2</cx:pt>
          <cx:pt idx="74">2</cx:pt>
          <cx:pt idx="75">6</cx:pt>
          <cx:pt idx="76">1</cx:pt>
          <cx:pt idx="77">1</cx:pt>
          <cx:pt idx="78">1</cx:pt>
          <cx:pt idx="79">2</cx:pt>
          <cx:pt idx="80">1</cx:pt>
          <cx:pt idx="81">1</cx:pt>
          <cx:pt idx="82">2</cx:pt>
          <cx:pt idx="83">2</cx:pt>
          <cx:pt idx="84">4</cx:pt>
          <cx:pt idx="85">1</cx:pt>
          <cx:pt idx="86">3</cx:pt>
          <cx:pt idx="87">1</cx:pt>
          <cx:pt idx="88">2</cx:pt>
          <cx:pt idx="89">2</cx:pt>
          <cx:pt idx="90">2</cx:pt>
          <cx:pt idx="91">1</cx:pt>
          <cx:pt idx="92">3</cx:pt>
          <cx:pt idx="93">2</cx:pt>
          <cx:pt idx="94">2</cx:pt>
          <cx:pt idx="95">1</cx:pt>
          <cx:pt idx="96">11</cx:pt>
          <cx:pt idx="97">2</cx:pt>
          <cx:pt idx="98">2</cx:pt>
          <cx:pt idx="99">1</cx:pt>
          <cx:pt idx="100">4</cx:pt>
          <cx:pt idx="101">1</cx:pt>
          <cx:pt idx="102">7</cx:pt>
          <cx:pt idx="103">1</cx:pt>
          <cx:pt idx="104">1</cx:pt>
          <cx:pt idx="105">3</cx:pt>
          <cx:pt idx="106">3</cx:pt>
          <cx:pt idx="107">3</cx:pt>
          <cx:pt idx="108">4</cx:pt>
          <cx:pt idx="109">1</cx:pt>
          <cx:pt idx="110">1</cx:pt>
          <cx:pt idx="111">1</cx:pt>
          <cx:pt idx="112">1</cx:pt>
          <cx:pt idx="113">1</cx:pt>
          <cx:pt idx="114">1</cx:pt>
          <cx:pt idx="115">3</cx:pt>
          <cx:pt idx="116">2</cx:pt>
          <cx:pt idx="117">3</cx:pt>
          <cx:pt idx="118">1</cx:pt>
          <cx:pt idx="119">2</cx:pt>
          <cx:pt idx="120">2</cx:pt>
          <cx:pt idx="121">1</cx:pt>
          <cx:pt idx="122">5</cx:pt>
          <cx:pt idx="123">3</cx:pt>
          <cx:pt idx="124">7</cx:pt>
          <cx:pt idx="125">1</cx:pt>
          <cx:pt idx="126">2</cx:pt>
          <cx:pt idx="127">1</cx:pt>
          <cx:pt idx="128">5</cx:pt>
          <cx:pt idx="129">1</cx:pt>
          <cx:pt idx="130">3</cx:pt>
          <cx:pt idx="131">1</cx:pt>
          <cx:pt idx="132">1</cx:pt>
          <cx:pt idx="133">1</cx:pt>
          <cx:pt idx="134">1</cx:pt>
          <cx:pt idx="135">1</cx:pt>
          <cx:pt idx="136">1</cx:pt>
          <cx:pt idx="137">1</cx:pt>
          <cx:pt idx="138">1</cx:pt>
          <cx:pt idx="139">1</cx:pt>
          <cx:pt idx="140">5</cx:pt>
          <cx:pt idx="141">1</cx:pt>
          <cx:pt idx="142">6</cx:pt>
          <cx:pt idx="143">1</cx:pt>
          <cx:pt idx="144">8</cx:pt>
          <cx:pt idx="145">4</cx:pt>
          <cx:pt idx="146">7</cx:pt>
          <cx:pt idx="147">1</cx:pt>
          <cx:pt idx="148">1</cx:pt>
          <cx:pt idx="149">1</cx:pt>
          <cx:pt idx="150">1</cx:pt>
          <cx:pt idx="151">1</cx:pt>
          <cx:pt idx="152">1</cx:pt>
          <cx:pt idx="153">1</cx:pt>
          <cx:pt idx="154">4</cx:pt>
          <cx:pt idx="155">1</cx:pt>
          <cx:pt idx="156">3</cx:pt>
          <cx:pt idx="157">1</cx:pt>
          <cx:pt idx="158">1</cx:pt>
          <cx:pt idx="159">1</cx:pt>
          <cx:pt idx="160">4</cx:pt>
          <cx:pt idx="161">1</cx:pt>
          <cx:pt idx="162">1</cx:pt>
          <cx:pt idx="163">4</cx:pt>
          <cx:pt idx="164">30</cx:pt>
          <cx:pt idx="165">2</cx:pt>
          <cx:pt idx="166">1</cx:pt>
          <cx:pt idx="167">3</cx:pt>
          <cx:pt idx="168">1</cx:pt>
          <cx:pt idx="169">7</cx:pt>
          <cx:pt idx="170">6</cx:pt>
          <cx:pt idx="171">12</cx:pt>
          <cx:pt idx="172">6</cx:pt>
          <cx:pt idx="173">1</cx:pt>
          <cx:pt idx="174">1</cx:pt>
          <cx:pt idx="175">4</cx:pt>
          <cx:pt idx="176">2</cx:pt>
          <cx:pt idx="177">2</cx:pt>
          <cx:pt idx="178">1</cx:pt>
          <cx:pt idx="179">14</cx:pt>
          <cx:pt idx="180">3</cx:pt>
          <cx:pt idx="181">1</cx:pt>
          <cx:pt idx="182">6</cx:pt>
          <cx:pt idx="183">1</cx:pt>
          <cx:pt idx="184">1</cx:pt>
          <cx:pt idx="185">1</cx:pt>
          <cx:pt idx="186">12</cx:pt>
          <cx:pt idx="187">1</cx:pt>
          <cx:pt idx="188">1</cx:pt>
          <cx:pt idx="189">4</cx:pt>
          <cx:pt idx="190">4</cx:pt>
          <cx:pt idx="191">4</cx:pt>
          <cx:pt idx="192">1</cx:pt>
          <cx:pt idx="193">1</cx:pt>
          <cx:pt idx="194">7</cx:pt>
          <cx:pt idx="195">1</cx:pt>
          <cx:pt idx="196">6</cx:pt>
          <cx:pt idx="197">1</cx:pt>
          <cx:pt idx="198">1</cx:pt>
          <cx:pt idx="199">1</cx:pt>
          <cx:pt idx="200">1</cx:pt>
          <cx:pt idx="201">3</cx:pt>
          <cx:pt idx="202">2</cx:pt>
          <cx:pt idx="203">1</cx:pt>
          <cx:pt idx="204">1</cx:pt>
          <cx:pt idx="205">2</cx:pt>
          <cx:pt idx="206">8</cx:pt>
          <cx:pt idx="207">1</cx:pt>
          <cx:pt idx="208">1</cx:pt>
          <cx:pt idx="209">1</cx:pt>
          <cx:pt idx="210">1</cx:pt>
          <cx:pt idx="211">3</cx:pt>
          <cx:pt idx="212">3</cx:pt>
          <cx:pt idx="213">1</cx:pt>
          <cx:pt idx="214">19</cx:pt>
          <cx:pt idx="215">1</cx:pt>
          <cx:pt idx="216">1</cx:pt>
          <cx:pt idx="217">1</cx:pt>
          <cx:pt idx="218">26</cx:pt>
          <cx:pt idx="219">1</cx:pt>
          <cx:pt idx="220">2</cx:pt>
          <cx:pt idx="221">1</cx:pt>
          <cx:pt idx="222">1</cx:pt>
          <cx:pt idx="223">1</cx:pt>
          <cx:pt idx="224">1</cx:pt>
          <cx:pt idx="225">7</cx:pt>
          <cx:pt idx="226">4</cx:pt>
          <cx:pt idx="227">1</cx:pt>
          <cx:pt idx="228">2</cx:pt>
          <cx:pt idx="229">5</cx:pt>
          <cx:pt idx="230">1</cx:pt>
          <cx:pt idx="231">2</cx:pt>
          <cx:pt idx="232">1</cx:pt>
          <cx:pt idx="233">4</cx:pt>
          <cx:pt idx="234">8</cx:pt>
          <cx:pt idx="235">4</cx:pt>
          <cx:pt idx="236">1</cx:pt>
          <cx:pt idx="237">1</cx:pt>
          <cx:pt idx="238">14</cx:pt>
          <cx:pt idx="239">1</cx:pt>
          <cx:pt idx="240">3</cx:pt>
          <cx:pt idx="241">1</cx:pt>
          <cx:pt idx="242">3</cx:pt>
          <cx:pt idx="243">1</cx:pt>
          <cx:pt idx="244">2</cx:pt>
          <cx:pt idx="245">1</cx:pt>
          <cx:pt idx="246">6</cx:pt>
          <cx:pt idx="247">1</cx:pt>
          <cx:pt idx="248">1</cx:pt>
          <cx:pt idx="249">2</cx:pt>
          <cx:pt idx="250">5</cx:pt>
          <cx:pt idx="251">4</cx:pt>
          <cx:pt idx="252">6</cx:pt>
          <cx:pt idx="253">3</cx:pt>
          <cx:pt idx="254">1</cx:pt>
          <cx:pt idx="255">2</cx:pt>
          <cx:pt idx="256">1</cx:pt>
          <cx:pt idx="257">5</cx:pt>
          <cx:pt idx="258">4</cx:pt>
          <cx:pt idx="259">1</cx:pt>
          <cx:pt idx="260">1</cx:pt>
          <cx:pt idx="261">1</cx:pt>
          <cx:pt idx="262">2</cx:pt>
          <cx:pt idx="263">1</cx:pt>
          <cx:pt idx="264">6</cx:pt>
        </cx:lvl>
      </cx:numDim>
    </cx:data>
  </cx:chartData>
  <cx:chart>
    <cx:plotArea>
      <cx:plotAreaRegion>
        <cx:plotSurface>
          <cx:spPr>
            <a:ln>
              <a:noFill/>
            </a:ln>
          </cx:spPr>
        </cx:plotSurface>
        <cx:series layoutId="clusteredColumn" uniqueId="{F2F8E3EB-9F77-034C-8D0D-DF3E4CC18A6D}">
          <cx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</cx:spPr>
          <cx:dataId val="0"/>
          <cx:layoutPr>
            <cx:binning intervalClosed="r" overflow="10">
              <cx:binSize val="1"/>
            </cx:binning>
          </cx:layoutPr>
        </cx:series>
      </cx:plotAreaRegion>
      <cx:axis id="0">
        <cx:catScaling gapWidth="0"/>
        <cx:title>
          <cx:tx>
            <cx:txData>
              <cx:v>No of times a biomarker is used</cx:v>
            </cx:txData>
          </cx:tx>
          <cx:spPr>
            <a:ln>
              <a:noFill/>
            </a:ln>
          </cx:spPr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000"/>
              </a:pPr>
              <a:r>
                <a:rPr lang="en-US" sz="10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rial" panose="020B0604020202020204" pitchFamily="34" charset="0"/>
                  <a:cs typeface="Arial" panose="020B0604020202020204" pitchFamily="34" charset="0"/>
                </a:rPr>
                <a:t>No of times a biomarker is used</a:t>
              </a:r>
            </a:p>
          </cx:txPr>
        </cx:title>
        <cx:tickLabels/>
        <cx:spPr>
          <a:ln>
            <a:solidFill>
              <a:schemeClr val="tx1"/>
            </a:solidFill>
          </a:ln>
        </cx:spPr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sz="1000" b="0" i="0"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0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  <cx:axis id="1">
        <cx:valScaling/>
        <cx:title>
          <cx:tx>
            <cx:txData>
              <cx:v>Number of data points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200">
                  <a:latin typeface="Arial" panose="020B0604020202020204" pitchFamily="34" charset="0"/>
                  <a:ea typeface="Arial" panose="020B0604020202020204" pitchFamily="34" charset="0"/>
                  <a:cs typeface="Arial" panose="020B0604020202020204" pitchFamily="34" charset="0"/>
                </a:defRPr>
              </a:pPr>
              <a:r>
                <a:rPr lang="en-US" sz="1000" b="0" i="0" u="none" strike="noStrike" baseline="0" dirty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rial" panose="020B0604020202020204" pitchFamily="34" charset="0"/>
                  <a:cs typeface="Arial" panose="020B0604020202020204" pitchFamily="34" charset="0"/>
                </a:rPr>
                <a:t>Number of data points</a:t>
              </a:r>
            </a:p>
          </cx:txPr>
        </cx:title>
        <cx:tickLabels/>
        <cx:spPr>
          <a:ln>
            <a:solidFill>
              <a:schemeClr val="tx1"/>
            </a:solidFill>
          </a:ln>
        </cx:spPr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sz="1000" b="0" i="0">
                <a:latin typeface="Arial Narrow" panose="020B0604020202020204" pitchFamily="34" charset="0"/>
                <a:ea typeface="Arial Narrow" panose="020B0604020202020204" pitchFamily="34" charset="0"/>
                <a:cs typeface="Arial Narrow" panose="020B0604020202020204" pitchFamily="34" charset="0"/>
              </a:defRPr>
            </a:pPr>
            <a:endParaRPr lang="en-US" sz="10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 Narrow" panose="020B0604020202020204" pitchFamily="34" charset="0"/>
              <a:cs typeface="Arial Narrow" panose="020B0604020202020204" pitchFamily="34" charset="0"/>
            </a:endParaRPr>
          </a:p>
        </cx:txPr>
      </cx:axis>
    </cx:plotArea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Dufva</dc:creator>
  <cp:keywords/>
  <dc:description/>
  <cp:lastModifiedBy>Martin Dufva</cp:lastModifiedBy>
  <cp:revision>26</cp:revision>
  <dcterms:created xsi:type="dcterms:W3CDTF">2022-08-28T11:46:00Z</dcterms:created>
  <dcterms:modified xsi:type="dcterms:W3CDTF">2022-11-09T07:28:00Z</dcterms:modified>
</cp:coreProperties>
</file>