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27360" w14:textId="6A485D46" w:rsidR="005E4B55" w:rsidRDefault="005E4B55" w:rsidP="005E4B55">
      <w:pPr>
        <w:adjustRightInd w:val="0"/>
        <w:snapToGrid w:val="0"/>
        <w:spacing w:afterLines="50" w:after="180"/>
        <w:rPr>
          <w:b/>
          <w:bCs/>
        </w:rPr>
      </w:pPr>
      <w:r>
        <w:rPr>
          <w:b/>
          <w:bCs/>
        </w:rPr>
        <w:t xml:space="preserve">Supplementary </w:t>
      </w:r>
      <w:r>
        <w:rPr>
          <w:b/>
          <w:bCs/>
        </w:rPr>
        <w:t>Material</w:t>
      </w:r>
      <w:r>
        <w:rPr>
          <w:b/>
          <w:bCs/>
        </w:rPr>
        <w:t xml:space="preserve"> S2</w:t>
      </w:r>
    </w:p>
    <w:p w14:paraId="1351091D" w14:textId="77777777" w:rsidR="005E4B55" w:rsidRDefault="005E4B55" w:rsidP="005E4B55">
      <w:pPr>
        <w:spacing w:beforeLines="100" w:before="360"/>
        <w:rPr>
          <w:rFonts w:cs="Times New Roman"/>
          <w:b/>
          <w:bCs/>
        </w:rPr>
      </w:pPr>
      <w:bookmarkStart w:id="0" w:name="_Toc46295136"/>
      <w:bookmarkStart w:id="1" w:name="_Toc46349053"/>
      <w:bookmarkStart w:id="2" w:name="_Toc46380695"/>
      <w:bookmarkStart w:id="3" w:name="_Toc46403024"/>
      <w:r>
        <w:rPr>
          <w:rFonts w:cs="Times New Roman" w:hint="eastAsia"/>
          <w:b/>
          <w:bCs/>
        </w:rPr>
        <w:t>C</w:t>
      </w:r>
      <w:r>
        <w:rPr>
          <w:rFonts w:cs="Times New Roman"/>
          <w:b/>
          <w:bCs/>
        </w:rPr>
        <w:t>ardiopulmonary exercise test</w:t>
      </w:r>
    </w:p>
    <w:p w14:paraId="26D74BD8" w14:textId="77777777" w:rsidR="005E4B55" w:rsidRDefault="005E4B55" w:rsidP="005E4B55">
      <w:r>
        <w:t>Subjects performed a graded exercise test on a bicycle ergometer (</w:t>
      </w:r>
      <w:proofErr w:type="spellStart"/>
      <w:r>
        <w:t>Ergoselect</w:t>
      </w:r>
      <w:proofErr w:type="spellEnd"/>
      <w:r>
        <w:t xml:space="preserve"> 150P,</w:t>
      </w:r>
      <w:r>
        <w:rPr>
          <w:rFonts w:hint="eastAsia"/>
        </w:rPr>
        <w:t xml:space="preserve"> </w:t>
      </w:r>
      <w:r>
        <w:t>Germany) to assess their aerobic fitness and hemodynamic functions within one week before and after the 36 sessions of high-intensity interval training. Each subject was instructed to fast for at least 8 h and to refrain from exercise for at least 24 h before the test. All subjects arrived at the testing center at 9:00 AM to eliminate diurnal effects. The exercise test comprised 2 min of unloaded pedaling followed by a continuous increase in work-rate of 10W per minute until exhaustion. Minute ventilation (</w:t>
      </w:r>
      <m:oMath>
        <m:acc>
          <m:accPr>
            <m:chr m:val="̇"/>
            <m:ctrlPr>
              <w:rPr>
                <w:rFonts w:ascii="Cambria Math" w:hAnsi="Cambria Math" w:cs="Times New Roman"/>
                <w:i/>
              </w:rPr>
            </m:ctrlPr>
          </m:accPr>
          <m:e>
            <m:r>
              <m:rPr>
                <m:sty m:val="p"/>
              </m:rPr>
              <w:rPr>
                <w:rFonts w:ascii="Cambria Math" w:hAnsi="Cambria Math" w:cs="Times New Roman"/>
              </w:rPr>
              <m:t>V</m:t>
            </m:r>
          </m:e>
        </m:acc>
      </m:oMath>
      <w:r w:rsidRPr="00B72B3F">
        <w:rPr>
          <w:rFonts w:cs="Times New Roman"/>
          <w:vertAlign w:val="subscript"/>
        </w:rPr>
        <w:t>E</w:t>
      </w:r>
      <w:r>
        <w:t>), oxygen consumption (</w:t>
      </w:r>
      <m:oMath>
        <m:acc>
          <m:accPr>
            <m:chr m:val="̇"/>
            <m:ctrlPr>
              <w:rPr>
                <w:rFonts w:ascii="Cambria Math" w:hAnsi="Cambria Math" w:cs="Times New Roman"/>
                <w:i/>
              </w:rPr>
            </m:ctrlPr>
          </m:accPr>
          <m:e>
            <m:r>
              <m:rPr>
                <m:sty m:val="p"/>
              </m:rPr>
              <w:rPr>
                <w:rFonts w:ascii="Cambria Math" w:hAnsi="Cambria Math" w:cs="Times New Roman"/>
              </w:rPr>
              <m:t>V</m:t>
            </m:r>
          </m:e>
        </m:acc>
      </m:oMath>
      <w:r w:rsidRPr="00B72B3F">
        <w:rPr>
          <w:rFonts w:cs="Times New Roman"/>
        </w:rPr>
        <w:t>O</w:t>
      </w:r>
      <w:r w:rsidRPr="00B72B3F">
        <w:rPr>
          <w:rFonts w:cs="Times New Roman"/>
          <w:vertAlign w:val="subscript"/>
        </w:rPr>
        <w:t>2</w:t>
      </w:r>
      <w:r>
        <w:t>), and carbonic dioxide production (</w:t>
      </w:r>
      <m:oMath>
        <m:acc>
          <m:accPr>
            <m:chr m:val="̇"/>
            <m:ctrlPr>
              <w:rPr>
                <w:rFonts w:ascii="Cambria Math" w:hAnsi="Cambria Math" w:cs="Times New Roman"/>
                <w:i/>
              </w:rPr>
            </m:ctrlPr>
          </m:accPr>
          <m:e>
            <m:r>
              <m:rPr>
                <m:sty m:val="p"/>
              </m:rPr>
              <w:rPr>
                <w:rFonts w:ascii="Cambria Math" w:hAnsi="Cambria Math" w:cs="Times New Roman"/>
              </w:rPr>
              <m:t>V</m:t>
            </m:r>
          </m:e>
        </m:acc>
      </m:oMath>
      <w:r w:rsidRPr="00B72B3F">
        <w:rPr>
          <w:rFonts w:cs="Times New Roman"/>
        </w:rPr>
        <w:t>CO</w:t>
      </w:r>
      <w:r w:rsidRPr="00B72B3F">
        <w:rPr>
          <w:rFonts w:cs="Times New Roman"/>
          <w:vertAlign w:val="subscript"/>
        </w:rPr>
        <w:t>2</w:t>
      </w:r>
      <w:r>
        <w:t>) were measured breath by breath using a computer-based system (</w:t>
      </w:r>
      <w:proofErr w:type="spellStart"/>
      <w:r>
        <w:t>MasterScreen</w:t>
      </w:r>
      <w:proofErr w:type="spellEnd"/>
      <w:r>
        <w:t xml:space="preserve"> CPX, Cardinal-health Germany). Heart rate (HR)was determined from the R-R interval on a 12-lead electrocardiogram, mean arterial pressure (MAP) was measured using an automatic blood pressure system (Tango, </w:t>
      </w:r>
      <w:proofErr w:type="spellStart"/>
      <w:r>
        <w:t>SunTech</w:t>
      </w:r>
      <w:proofErr w:type="spellEnd"/>
      <w:r>
        <w:t xml:space="preserve"> Medical, UK), and arterial O2 saturation was monitored by finger pulse-oximetry (model 9500, </w:t>
      </w:r>
      <w:proofErr w:type="spellStart"/>
      <w:r>
        <w:t>Nonin</w:t>
      </w:r>
      <w:proofErr w:type="spellEnd"/>
      <w:r>
        <w:t xml:space="preserve"> Onyx, Plymouth, Minnesota). The </w:t>
      </w:r>
      <m:oMath>
        <m:acc>
          <m:accPr>
            <m:chr m:val="̇"/>
            <m:ctrlPr>
              <w:rPr>
                <w:rFonts w:ascii="Cambria Math" w:hAnsi="Cambria Math" w:cs="Times New Roman"/>
                <w:i/>
              </w:rPr>
            </m:ctrlPr>
          </m:accPr>
          <m:e>
            <m:r>
              <m:rPr>
                <m:sty m:val="p"/>
              </m:rPr>
              <w:rPr>
                <w:rFonts w:ascii="Cambria Math" w:hAnsi="Cambria Math" w:cs="Times New Roman"/>
              </w:rPr>
              <m:t>V</m:t>
            </m:r>
          </m:e>
        </m:acc>
      </m:oMath>
      <w:r w:rsidRPr="00B72B3F">
        <w:rPr>
          <w:rFonts w:cs="Times New Roman"/>
        </w:rPr>
        <w:t>O</w:t>
      </w:r>
      <w:r w:rsidRPr="00B72B3F">
        <w:rPr>
          <w:rFonts w:cs="Times New Roman"/>
          <w:vertAlign w:val="subscript"/>
        </w:rPr>
        <w:t>2peak</w:t>
      </w:r>
      <w:r w:rsidRPr="00B72B3F">
        <w:t xml:space="preserve"> </w:t>
      </w:r>
      <w:r>
        <w:t xml:space="preserve">was defined by the following criteria: (I) </w:t>
      </w:r>
      <m:oMath>
        <m:acc>
          <m:accPr>
            <m:chr m:val="̇"/>
            <m:ctrlPr>
              <w:rPr>
                <w:rFonts w:ascii="Cambria Math" w:hAnsi="Cambria Math" w:cs="Times New Roman"/>
                <w:i/>
              </w:rPr>
            </m:ctrlPr>
          </m:accPr>
          <m:e>
            <m:r>
              <m:rPr>
                <m:sty m:val="p"/>
              </m:rPr>
              <w:rPr>
                <w:rFonts w:ascii="Cambria Math" w:hAnsi="Cambria Math" w:cs="Times New Roman"/>
              </w:rPr>
              <m:t>V</m:t>
            </m:r>
          </m:e>
        </m:acc>
      </m:oMath>
      <w:r w:rsidRPr="00B72B3F">
        <w:rPr>
          <w:rFonts w:cs="Times New Roman"/>
        </w:rPr>
        <w:t>O</w:t>
      </w:r>
      <w:r w:rsidRPr="00B72B3F">
        <w:rPr>
          <w:rFonts w:cs="Times New Roman"/>
          <w:vertAlign w:val="subscript"/>
        </w:rPr>
        <w:t>2</w:t>
      </w:r>
      <w:r>
        <w:t xml:space="preserve"> increased by less than 2 mL/kg/min over at least 2 min, (II) HR exceeded 85% of its predicted maximum, (III) the respiratory exchange ratio exceeded 1.15, or (IV) some other symptom/sign limitations, as described in the guidelines of the American College of Sports Medicine for exercise testing</w:t>
      </w:r>
      <w:r w:rsidRPr="00B72B3F">
        <w:t xml:space="preserve"> </w:t>
      </w:r>
      <w:r w:rsidRPr="00B72B3F">
        <w:rPr>
          <w:rFonts w:eastAsia="Times New Roman"/>
          <w:shd w:val="clear" w:color="auto" w:fill="FFFFFF"/>
        </w:rPr>
        <w:fldChar w:fldCharType="begin"/>
      </w:r>
      <w:r>
        <w:rPr>
          <w:rFonts w:eastAsia="Times New Roman"/>
          <w:shd w:val="clear" w:color="auto" w:fill="FFFFFF"/>
        </w:rPr>
        <w:instrText xml:space="preserve"> ADDIN EN.CITE &lt;EndNote&gt;&lt;Cite&gt;&lt;Author&gt;Pescatello&lt;/Author&gt;&lt;Year&gt;2014&lt;/Year&gt;&lt;RecNum&gt;1210&lt;/RecNum&gt;&lt;IDText&gt;ACSM’s guidelines for exercise testing and prescription&lt;/IDText&gt;&lt;DisplayText&gt;[2]&lt;/DisplayText&gt;&lt;record&gt;&lt;rec-number&gt;1210&lt;/rec-number&gt;&lt;foreign-keys&gt;&lt;key app="EN" db-id="zd9d5pfvbtrefjeterm5sd2dvf525dwdtv55" timestamp="1634983732" guid="de7cf167-dccc-4389-9f05-d37d2afeb527"&gt;1210&lt;/key&gt;&lt;/foreign-keys&gt;&lt;ref-type name="Book"&gt;6&lt;/ref-type&gt;&lt;contributors&gt;&lt;authors&gt;&lt;author&gt;Pescatello, L.S.&lt;/author&gt;&lt;author&gt;Arena, R.&lt;/author&gt;&lt;author&gt;Riebe, D.&lt;/author&gt;&lt;author&gt;Thompson, P.D.&lt;/author&gt;&lt;/authors&gt;&lt;/contributors&gt;&lt;titles&gt;&lt;title&gt;ACSM’s guidelines for exercise testing and prescription&lt;/title&gt;&lt;/titles&gt;&lt;edition&gt;9th&lt;/edition&gt;&lt;dates&gt;&lt;year&gt;2014&lt;/year&gt;&lt;/dates&gt;&lt;pub-location&gt;Philadelphia, PA.&lt;/pub-location&gt;&lt;publisher&gt;Wolters Kluwer/Lippincott Williams &amp;amp; Wilkins&lt;/publisher&gt;&lt;urls&gt;&lt;/urls&gt;&lt;/record&gt;&lt;/Cite&gt;&lt;/EndNote&gt;</w:instrText>
      </w:r>
      <w:r w:rsidRPr="00B72B3F">
        <w:rPr>
          <w:rFonts w:eastAsia="Times New Roman"/>
          <w:shd w:val="clear" w:color="auto" w:fill="FFFFFF"/>
        </w:rPr>
        <w:fldChar w:fldCharType="separate"/>
      </w:r>
      <w:r>
        <w:rPr>
          <w:rFonts w:eastAsia="Times New Roman"/>
          <w:noProof/>
          <w:shd w:val="clear" w:color="auto" w:fill="FFFFFF"/>
        </w:rPr>
        <w:t>[2]</w:t>
      </w:r>
      <w:r w:rsidRPr="00B72B3F">
        <w:rPr>
          <w:rFonts w:eastAsia="Times New Roman"/>
          <w:shd w:val="clear" w:color="auto" w:fill="FFFFFF"/>
        </w:rPr>
        <w:fldChar w:fldCharType="end"/>
      </w:r>
      <w:r>
        <w:t xml:space="preserve">. The OUES was derived from the slope of a common logarithm plot of </w:t>
      </w:r>
      <m:oMath>
        <m:acc>
          <m:accPr>
            <m:chr m:val="̇"/>
            <m:ctrlPr>
              <w:rPr>
                <w:rFonts w:ascii="Cambria Math" w:hAnsi="Cambria Math" w:cs="Times New Roman"/>
                <w:i/>
              </w:rPr>
            </m:ctrlPr>
          </m:accPr>
          <m:e>
            <m:r>
              <m:rPr>
                <m:sty m:val="p"/>
              </m:rPr>
              <w:rPr>
                <w:rFonts w:ascii="Cambria Math" w:hAnsi="Cambria Math" w:cs="Times New Roman"/>
              </w:rPr>
              <m:t>V</m:t>
            </m:r>
          </m:e>
        </m:acc>
      </m:oMath>
      <w:r>
        <w:rPr>
          <w:rFonts w:cs="Times New Roman"/>
          <w:vertAlign w:val="subscript"/>
        </w:rPr>
        <w:t>E</w:t>
      </w:r>
      <w:r>
        <w:t xml:space="preserve"> versus </w:t>
      </w:r>
      <m:oMath>
        <m:acc>
          <m:accPr>
            <m:chr m:val="̇"/>
            <m:ctrlPr>
              <w:rPr>
                <w:rFonts w:ascii="Cambria Math" w:hAnsi="Cambria Math" w:cs="Times New Roman"/>
                <w:i/>
              </w:rPr>
            </m:ctrlPr>
          </m:accPr>
          <m:e>
            <m:r>
              <m:rPr>
                <m:sty m:val="p"/>
              </m:rPr>
              <w:rPr>
                <w:rFonts w:ascii="Cambria Math" w:hAnsi="Cambria Math" w:cs="Times New Roman"/>
              </w:rPr>
              <m:t>V</m:t>
            </m:r>
          </m:e>
        </m:acc>
      </m:oMath>
      <w:r w:rsidRPr="00B72B3F">
        <w:rPr>
          <w:rFonts w:cs="Times New Roman"/>
        </w:rPr>
        <w:t>O</w:t>
      </w:r>
      <w:r w:rsidRPr="00B72B3F">
        <w:rPr>
          <w:rFonts w:cs="Times New Roman"/>
          <w:vertAlign w:val="subscript"/>
        </w:rPr>
        <w:t>2</w:t>
      </w:r>
      <w:r>
        <w:t xml:space="preserve"> (</w:t>
      </w:r>
      <m:oMath>
        <m:acc>
          <m:accPr>
            <m:chr m:val="̇"/>
            <m:ctrlPr>
              <w:rPr>
                <w:rFonts w:ascii="Cambria Math" w:hAnsi="Cambria Math" w:cs="Times New Roman"/>
                <w:i/>
              </w:rPr>
            </m:ctrlPr>
          </m:accPr>
          <m:e>
            <m:r>
              <m:rPr>
                <m:sty m:val="p"/>
              </m:rPr>
              <w:rPr>
                <w:rFonts w:ascii="Cambria Math" w:hAnsi="Cambria Math" w:cs="Times New Roman"/>
              </w:rPr>
              <m:t>V</m:t>
            </m:r>
          </m:e>
        </m:acc>
      </m:oMath>
      <w:r w:rsidRPr="00B72B3F">
        <w:rPr>
          <w:rFonts w:cs="Times New Roman"/>
        </w:rPr>
        <w:t>O</w:t>
      </w:r>
      <w:r w:rsidRPr="00B72B3F">
        <w:rPr>
          <w:rFonts w:cs="Times New Roman"/>
          <w:vertAlign w:val="subscript"/>
        </w:rPr>
        <w:t>2</w:t>
      </w:r>
      <w:r>
        <w:t>=alog</w:t>
      </w:r>
      <w:r w:rsidRPr="00B72B3F">
        <w:rPr>
          <w:vertAlign w:val="subscript"/>
        </w:rPr>
        <w:t>10</w:t>
      </w:r>
      <m:oMath>
        <m:acc>
          <m:accPr>
            <m:chr m:val="̇"/>
            <m:ctrlPr>
              <w:rPr>
                <w:rFonts w:ascii="Cambria Math" w:hAnsi="Cambria Math" w:cs="Times New Roman"/>
                <w:i/>
              </w:rPr>
            </m:ctrlPr>
          </m:accPr>
          <m:e>
            <m:r>
              <m:rPr>
                <m:sty m:val="p"/>
              </m:rPr>
              <w:rPr>
                <w:rFonts w:ascii="Cambria Math" w:hAnsi="Cambria Math" w:cs="Times New Roman"/>
              </w:rPr>
              <m:t>V</m:t>
            </m:r>
          </m:e>
        </m:acc>
      </m:oMath>
      <w:r>
        <w:rPr>
          <w:rFonts w:cs="Times New Roman"/>
          <w:vertAlign w:val="subscript"/>
        </w:rPr>
        <w:t>E</w:t>
      </w:r>
      <w:r>
        <w:t xml:space="preserve">±b, a=OUES). Consequently, the OUES is an estimation of the ventilation efficiency with respect to </w:t>
      </w:r>
      <m:oMath>
        <m:acc>
          <m:accPr>
            <m:chr m:val="̇"/>
            <m:ctrlPr>
              <w:rPr>
                <w:rFonts w:ascii="Cambria Math" w:hAnsi="Cambria Math" w:cs="Times New Roman"/>
                <w:i/>
              </w:rPr>
            </m:ctrlPr>
          </m:accPr>
          <m:e>
            <m:r>
              <m:rPr>
                <m:sty m:val="p"/>
              </m:rPr>
              <w:rPr>
                <w:rFonts w:ascii="Cambria Math" w:hAnsi="Cambria Math" w:cs="Times New Roman"/>
              </w:rPr>
              <m:t>V</m:t>
            </m:r>
          </m:e>
        </m:acc>
      </m:oMath>
      <w:r w:rsidRPr="00B72B3F">
        <w:rPr>
          <w:rFonts w:cs="Times New Roman"/>
        </w:rPr>
        <w:t>O</w:t>
      </w:r>
      <w:r w:rsidRPr="00B72B3F">
        <w:rPr>
          <w:rFonts w:cs="Times New Roman"/>
          <w:vertAlign w:val="subscript"/>
        </w:rPr>
        <w:t>2</w:t>
      </w:r>
      <w:r>
        <w:t>, with steeper slopes indicating a higher ventilatory efficiency.</w:t>
      </w:r>
    </w:p>
    <w:p w14:paraId="2C855AB0" w14:textId="77777777" w:rsidR="005E4B55" w:rsidRPr="008955EA" w:rsidRDefault="005E4B55" w:rsidP="005E4B55">
      <w:pPr>
        <w:spacing w:beforeLines="100" w:before="360"/>
        <w:rPr>
          <w:rFonts w:cs="Times New Roman"/>
          <w:b/>
          <w:bCs/>
        </w:rPr>
      </w:pPr>
      <w:r w:rsidRPr="008955EA">
        <w:rPr>
          <w:rFonts w:cs="Times New Roman"/>
          <w:b/>
          <w:bCs/>
        </w:rPr>
        <w:t>Cell migration assay</w:t>
      </w:r>
      <w:bookmarkEnd w:id="0"/>
      <w:bookmarkEnd w:id="1"/>
      <w:bookmarkEnd w:id="2"/>
      <w:bookmarkEnd w:id="3"/>
    </w:p>
    <w:p w14:paraId="12F4D4C7" w14:textId="77777777" w:rsidR="005E4B55" w:rsidRPr="008955EA" w:rsidRDefault="005E4B55" w:rsidP="005E4B55">
      <w:pPr>
        <w:rPr>
          <w:rFonts w:cs="Times New Roman"/>
        </w:rPr>
      </w:pPr>
      <w:r>
        <w:rPr>
          <w:rFonts w:cs="Times New Roman"/>
        </w:rPr>
        <w:t>Primary human cardiac fibroblasts (HCFs) of 3</w:t>
      </w:r>
      <w:r>
        <w:rPr>
          <w:rFonts w:cs="Times New Roman"/>
        </w:rPr>
        <w:sym w:font="Symbol" w:char="F0B4"/>
      </w:r>
      <w:r>
        <w:rPr>
          <w:rFonts w:cs="Times New Roman"/>
        </w:rPr>
        <w:t>10</w:t>
      </w:r>
      <w:r w:rsidRPr="00C5767E">
        <w:rPr>
          <w:rFonts w:cs="Times New Roman"/>
          <w:vertAlign w:val="superscript"/>
        </w:rPr>
        <w:t>3</w:t>
      </w:r>
      <w:r>
        <w:rPr>
          <w:rFonts w:cs="Times New Roman"/>
        </w:rPr>
        <w:t xml:space="preserve"> isolated from adult ventricles </w:t>
      </w:r>
      <w:r w:rsidRPr="008955EA">
        <w:rPr>
          <w:rFonts w:cs="Times New Roman"/>
        </w:rPr>
        <w:t xml:space="preserve">(HCF-av cell, </w:t>
      </w:r>
      <w:proofErr w:type="spellStart"/>
      <w:r w:rsidRPr="008955EA">
        <w:rPr>
          <w:rFonts w:cs="Times New Roman"/>
        </w:rPr>
        <w:t>ScienCell</w:t>
      </w:r>
      <w:proofErr w:type="spellEnd"/>
      <w:r w:rsidRPr="008955EA">
        <w:rPr>
          <w:rFonts w:cs="Times New Roman"/>
        </w:rPr>
        <w:t xml:space="preserve"> Research Laboratories, Carlsbad, CA)</w:t>
      </w:r>
      <w:r>
        <w:rPr>
          <w:rFonts w:cs="Times New Roman"/>
        </w:rPr>
        <w:t xml:space="preserve"> </w:t>
      </w:r>
      <w:r w:rsidRPr="008955EA">
        <w:rPr>
          <w:rFonts w:cs="Times New Roman"/>
        </w:rPr>
        <w:t xml:space="preserve">were plated on each 3.5-cm Petri dishes with polyacrylamide substrates and harvested in medium containing 10% </w:t>
      </w:r>
      <w:r>
        <w:rPr>
          <w:rFonts w:cs="Times New Roman"/>
        </w:rPr>
        <w:t>fetal bovine serum (</w:t>
      </w:r>
      <w:r w:rsidRPr="008955EA">
        <w:rPr>
          <w:rFonts w:cs="Times New Roman"/>
        </w:rPr>
        <w:t>FBS</w:t>
      </w:r>
      <w:r>
        <w:rPr>
          <w:rFonts w:cs="Times New Roman"/>
        </w:rPr>
        <w:t>)</w:t>
      </w:r>
      <w:r w:rsidRPr="008955EA">
        <w:rPr>
          <w:rFonts w:cs="Times New Roman"/>
        </w:rPr>
        <w:t xml:space="preserve">, 1% fibroblast growth supplement, and 1% penicillin/streptomycin overnight. </w:t>
      </w:r>
      <w:r w:rsidRPr="008955EA">
        <w:rPr>
          <w:rFonts w:eastAsia="Times New Roman" w:cs="Times New Roman"/>
          <w:shd w:val="clear" w:color="auto" w:fill="FFFFFF"/>
        </w:rPr>
        <w:t xml:space="preserve">They were then </w:t>
      </w:r>
      <w:r>
        <w:rPr>
          <w:rFonts w:eastAsia="Times New Roman" w:cs="Times New Roman"/>
          <w:shd w:val="clear" w:color="auto" w:fill="FFFFFF"/>
        </w:rPr>
        <w:t>starved with</w:t>
      </w:r>
      <w:r w:rsidRPr="008955EA">
        <w:rPr>
          <w:rFonts w:eastAsia="Times New Roman" w:cs="Times New Roman"/>
          <w:shd w:val="clear" w:color="auto" w:fill="FFFFFF"/>
        </w:rPr>
        <w:t xml:space="preserve"> 1.5% FBS overnight. </w:t>
      </w:r>
      <w:r>
        <w:rPr>
          <w:rFonts w:eastAsia="Times New Roman" w:cs="Times New Roman"/>
          <w:shd w:val="clear" w:color="auto" w:fill="FFFFFF"/>
        </w:rPr>
        <w:t>H</w:t>
      </w:r>
      <w:r w:rsidRPr="008955EA">
        <w:rPr>
          <w:rFonts w:eastAsia="Times New Roman" w:cs="Times New Roman"/>
          <w:shd w:val="clear" w:color="auto" w:fill="FFFFFF"/>
        </w:rPr>
        <w:t xml:space="preserve">CFs were then separately cultured with 10% FBS and </w:t>
      </w:r>
      <w:r w:rsidRPr="008955EA">
        <w:rPr>
          <w:rFonts w:cs="Times New Roman"/>
        </w:rPr>
        <w:t xml:space="preserve">10% of participant serum (before and after HIIT) as a substitute for FBS. Phase-contrast images for 50 </w:t>
      </w:r>
      <w:r>
        <w:rPr>
          <w:rFonts w:cs="Times New Roman"/>
        </w:rPr>
        <w:t>H</w:t>
      </w:r>
      <w:r w:rsidRPr="008955EA">
        <w:rPr>
          <w:rFonts w:cs="Times New Roman"/>
        </w:rPr>
        <w:t xml:space="preserve">CFs cultured in different media were recorded by a cooled charge-coupled device camera (Photometrics, Tucson, AZ), attached to an Eclipse </w:t>
      </w:r>
      <w:proofErr w:type="spellStart"/>
      <w:r w:rsidRPr="008955EA">
        <w:rPr>
          <w:rFonts w:cs="Times New Roman"/>
        </w:rPr>
        <w:t>Ti</w:t>
      </w:r>
      <w:proofErr w:type="spellEnd"/>
      <w:r w:rsidRPr="008955EA">
        <w:rPr>
          <w:rFonts w:cs="Times New Roman"/>
        </w:rPr>
        <w:t xml:space="preserve">-E inverted microscope system (Nikon Instruments Inc., Melville, NY) equipped with a 20X, numerical aperture 0.75 Achromat phase objective lens and an INU series stage top incubator (Tokai HIT Co., Ltd., </w:t>
      </w:r>
      <w:r w:rsidRPr="008955EA">
        <w:rPr>
          <w:rFonts w:eastAsia="Times New Roman" w:cs="Times New Roman"/>
        </w:rPr>
        <w:t>Shizuoka-ken, Japan)</w:t>
      </w:r>
      <w:r w:rsidRPr="008955EA">
        <w:rPr>
          <w:rFonts w:cs="Times New Roman"/>
        </w:rPr>
        <w:t>. The position of the cell was determined every 10 min for a period of 120</w:t>
      </w:r>
      <w:r>
        <w:rPr>
          <w:rFonts w:cs="Times New Roman"/>
        </w:rPr>
        <w:t xml:space="preserve"> mins</w:t>
      </w:r>
      <w:r w:rsidRPr="008955EA">
        <w:rPr>
          <w:rFonts w:cs="Times New Roman"/>
        </w:rPr>
        <w:t xml:space="preserve"> to 180 min</w:t>
      </w:r>
      <w:r>
        <w:rPr>
          <w:rFonts w:cs="Times New Roman"/>
        </w:rPr>
        <w:t>s</w:t>
      </w:r>
      <w:r w:rsidRPr="008955EA">
        <w:rPr>
          <w:rFonts w:cs="Times New Roman"/>
        </w:rPr>
        <w:t xml:space="preserve"> according to the center of the nucleus. The migration speed was calculated by the persistent random walk equation</w:t>
      </w:r>
      <w:r>
        <w:rPr>
          <w:rFonts w:cs="Times New Roman"/>
        </w:rPr>
        <w:t xml:space="preserve"> </w:t>
      </w:r>
      <w:r w:rsidRPr="008F3623">
        <w:rPr>
          <w:rFonts w:cs="Times New Roman"/>
        </w:rPr>
        <w:fldChar w:fldCharType="begin"/>
      </w:r>
      <w:r>
        <w:rPr>
          <w:rFonts w:cs="Times New Roman"/>
        </w:rPr>
        <w:instrText xml:space="preserve"> ADDIN EN.CITE &lt;EndNote&gt;&lt;Cite&gt;&lt;Author&gt;Lo&lt;/Author&gt;&lt;Year&gt;2004&lt;/Year&gt;&lt;RecNum&gt;1165&lt;/RecNum&gt;&lt;IDText&gt;Nonmuscle myosin IIb is involved in the guidance of fibroblast migration&lt;/IDText&gt;&lt;DisplayText&gt;[1]&lt;/DisplayText&gt;&lt;record&gt;&lt;rec-number&gt;1165&lt;/rec-number&gt;&lt;foreign-keys&gt;&lt;key app="EN" db-id="zd9d5pfvbtrefjeterm5sd2dvf525dwdtv55" timestamp="1634983531" guid="18256aed-0ff7-482e-84ea-88555905b81d"&gt;1165&lt;/key&gt;&lt;/foreign-keys&gt;&lt;ref-type name="Journal Article"&gt;17&lt;/ref-type&gt;&lt;contributors&gt;&lt;authors&gt;&lt;author&gt;Lo, C. M.&lt;/author&gt;&lt;author&gt;Buxton, D. B.&lt;/author&gt;&lt;author&gt;Chua, G. C.&lt;/author&gt;&lt;author&gt;Dembo, M.&lt;/author&gt;&lt;author&gt;Adelstein, R. S.&lt;/author&gt;&lt;author&gt;Wang, Y. L.&lt;/author&gt;&lt;/authors&gt;&lt;/contributors&gt;&lt;auth-address&gt;Department of Physiology, University of Massachusetts Medical School, Worcester, Massachusetts 01605, USA.&lt;/auth-address&gt;&lt;titles&gt;&lt;title&gt;Nonmuscle myosin IIb is involved in the guidance of fibroblast migration&lt;/title&gt;&lt;secondary-title&gt;Mol Biol Cell.&lt;/secondary-title&gt;&lt;/titles&gt;&lt;periodical&gt;&lt;full-title&gt;Mol Biol Cell.&lt;/full-title&gt;&lt;/periodical&gt;&lt;pages&gt;982-9&lt;/pages&gt;&lt;volume&gt;15&lt;/volume&gt;&lt;number&gt;3&lt;/number&gt;&lt;edition&gt;2003/12/31&lt;/edition&gt;&lt;keywords&gt;&lt;keyword&gt;Acrylic Resins/chemistry&lt;/keyword&gt;&lt;keyword&gt;Animals&lt;/keyword&gt;&lt;keyword&gt;Cell Movement/*physiology&lt;/keyword&gt;&lt;keyword&gt;Cells, Cultured&lt;/keyword&gt;&lt;keyword&gt;Embryo, Mammalian/cytology&lt;/keyword&gt;&lt;keyword&gt;Fibroblasts/*cytology/physiology&lt;/keyword&gt;&lt;keyword&gt;Mice&lt;/keyword&gt;&lt;keyword&gt;Mutation/genetics&lt;/keyword&gt;&lt;keyword&gt;Nonmuscle Myosin Type IIB/*physiology&lt;/keyword&gt;&lt;keyword&gt;NASA Discipline Cell Biology&lt;/keyword&gt;&lt;keyword&gt;Non-NASA Center&lt;/keyword&gt;&lt;/keywords&gt;&lt;dates&gt;&lt;year&gt;2004&lt;/year&gt;&lt;pub-dates&gt;&lt;date&gt;Mar&lt;/date&gt;&lt;/pub-dates&gt;&lt;/dates&gt;&lt;isbn&gt;1059-1524 (Print)&amp;#xD;1059-1524&lt;/isbn&gt;&lt;accession-num&gt;14699073&lt;/accession-num&gt;&lt;urls&gt;&lt;/urls&gt;&lt;custom2&gt;PMC363055&lt;/custom2&gt;&lt;electronic-resource-num&gt;10.1091/mbc.E03-06-0359&lt;/electronic-resource-num&gt;&lt;remote-database-provider&gt;NLM&lt;/remote-database-provider&gt;&lt;language&gt;eng&lt;/language&gt;&lt;/record&gt;&lt;/Cite&gt;&lt;/EndNote&gt;</w:instrText>
      </w:r>
      <w:r w:rsidRPr="008F3623">
        <w:rPr>
          <w:rFonts w:cs="Times New Roman"/>
        </w:rPr>
        <w:fldChar w:fldCharType="separate"/>
      </w:r>
      <w:r>
        <w:rPr>
          <w:rFonts w:cs="Times New Roman"/>
          <w:noProof/>
        </w:rPr>
        <w:t>[1]</w:t>
      </w:r>
      <w:r w:rsidRPr="008F3623">
        <w:rPr>
          <w:rFonts w:cs="Times New Roman"/>
        </w:rPr>
        <w:fldChar w:fldCharType="end"/>
      </w:r>
      <w:r w:rsidRPr="008955EA">
        <w:rPr>
          <w:rFonts w:cs="Times New Roman"/>
        </w:rPr>
        <w:t>.</w:t>
      </w:r>
    </w:p>
    <w:p w14:paraId="55938AAB" w14:textId="77777777" w:rsidR="005E4B55" w:rsidRPr="008955EA" w:rsidRDefault="005E4B55" w:rsidP="005E4B55">
      <w:pPr>
        <w:spacing w:beforeLines="100" w:before="360"/>
        <w:rPr>
          <w:rFonts w:cs="Times New Roman"/>
          <w:b/>
          <w:bCs/>
        </w:rPr>
      </w:pPr>
      <w:bookmarkStart w:id="4" w:name="_Toc46295137"/>
      <w:bookmarkStart w:id="5" w:name="_Toc46349054"/>
      <w:bookmarkStart w:id="6" w:name="_Toc46380696"/>
      <w:bookmarkStart w:id="7" w:name="_Toc46403025"/>
      <w:r w:rsidRPr="008955EA">
        <w:rPr>
          <w:rFonts w:cs="Times New Roman"/>
          <w:b/>
          <w:bCs/>
        </w:rPr>
        <w:t>Cell proliferation assay</w:t>
      </w:r>
      <w:bookmarkEnd w:id="4"/>
      <w:bookmarkEnd w:id="5"/>
      <w:bookmarkEnd w:id="6"/>
      <w:bookmarkEnd w:id="7"/>
    </w:p>
    <w:p w14:paraId="183B9AB0" w14:textId="77777777" w:rsidR="005E4B55" w:rsidRDefault="005E4B55" w:rsidP="005E4B55">
      <w:pPr>
        <w:rPr>
          <w:rFonts w:eastAsia="Times New Roman" w:cs="Times New Roman"/>
          <w:b/>
          <w:bCs/>
          <w:shd w:val="clear" w:color="auto" w:fill="FFFFFF"/>
        </w:rPr>
      </w:pPr>
      <w:r>
        <w:rPr>
          <w:rFonts w:cs="Times New Roman"/>
          <w:shd w:val="clear" w:color="auto" w:fill="FFFFFF"/>
        </w:rPr>
        <w:lastRenderedPageBreak/>
        <w:t>H</w:t>
      </w:r>
      <w:r w:rsidRPr="008955EA">
        <w:rPr>
          <w:rFonts w:cs="Times New Roman"/>
          <w:shd w:val="clear" w:color="auto" w:fill="FFFFFF"/>
        </w:rPr>
        <w:t>CFs</w:t>
      </w:r>
      <w:r w:rsidRPr="008955EA">
        <w:rPr>
          <w:rFonts w:eastAsia="Times New Roman" w:cs="Times New Roman"/>
          <w:shd w:val="clear" w:color="auto" w:fill="FFFFFF"/>
        </w:rPr>
        <w:t xml:space="preserve"> of 7.5</w:t>
      </w:r>
      <w:r w:rsidRPr="008955EA">
        <w:rPr>
          <w:rFonts w:eastAsia="Times New Roman" w:cs="Times New Roman"/>
          <w:shd w:val="clear" w:color="auto" w:fill="FFFFFF"/>
        </w:rPr>
        <w:sym w:font="Symbol" w:char="F0B4"/>
      </w:r>
      <w:r w:rsidRPr="008955EA">
        <w:rPr>
          <w:rFonts w:eastAsia="Times New Roman" w:cs="Times New Roman"/>
          <w:shd w:val="clear" w:color="auto" w:fill="FFFFFF"/>
        </w:rPr>
        <w:t>10</w:t>
      </w:r>
      <w:r w:rsidRPr="008955EA">
        <w:rPr>
          <w:rFonts w:eastAsia="Times New Roman" w:cs="Times New Roman"/>
          <w:shd w:val="clear" w:color="auto" w:fill="FFFFFF"/>
          <w:vertAlign w:val="superscript"/>
        </w:rPr>
        <w:t>3</w:t>
      </w:r>
      <w:r w:rsidRPr="008955EA">
        <w:rPr>
          <w:rFonts w:eastAsia="Times New Roman" w:cs="Times New Roman"/>
          <w:shd w:val="clear" w:color="auto" w:fill="FFFFFF"/>
        </w:rPr>
        <w:t xml:space="preserve"> were plated in each well (0.95 cm</w:t>
      </w:r>
      <w:r w:rsidRPr="008955EA">
        <w:rPr>
          <w:rFonts w:eastAsia="Times New Roman" w:cs="Times New Roman"/>
          <w:shd w:val="clear" w:color="auto" w:fill="FFFFFF"/>
          <w:vertAlign w:val="superscript"/>
        </w:rPr>
        <w:t>2</w:t>
      </w:r>
      <w:r w:rsidRPr="008955EA">
        <w:rPr>
          <w:rFonts w:eastAsia="Times New Roman" w:cs="Times New Roman"/>
          <w:shd w:val="clear" w:color="auto" w:fill="FFFFFF"/>
        </w:rPr>
        <w:t xml:space="preserve"> growth area) of a 48-well cell culture plate (Sigma</w:t>
      </w:r>
      <w:r w:rsidRPr="008955EA">
        <w:rPr>
          <w:rFonts w:cs="Times New Roman"/>
          <w:shd w:val="clear" w:color="auto" w:fill="FFFFFF"/>
        </w:rPr>
        <w:t>-Aldrich</w:t>
      </w:r>
      <w:r w:rsidRPr="008955EA">
        <w:rPr>
          <w:rFonts w:eastAsia="Times New Roman" w:cs="Times New Roman"/>
          <w:shd w:val="clear" w:color="auto" w:fill="FFFFFF"/>
        </w:rPr>
        <w:t>, St. Louis, MO, USA) with ordinary medium for 8 h. They were treated as the above described. Prepared cells were stained with Hoechst 33342 (</w:t>
      </w:r>
      <w:proofErr w:type="spellStart"/>
      <w:r w:rsidRPr="008955EA">
        <w:rPr>
          <w:rFonts w:eastAsia="Times New Roman" w:cs="Times New Roman"/>
          <w:shd w:val="clear" w:color="auto" w:fill="FFFFFF"/>
        </w:rPr>
        <w:t>Thermo</w:t>
      </w:r>
      <w:proofErr w:type="spellEnd"/>
      <w:r w:rsidRPr="008955EA">
        <w:rPr>
          <w:rFonts w:eastAsia="Times New Roman" w:cs="Times New Roman"/>
          <w:shd w:val="clear" w:color="auto" w:fill="FFFFFF"/>
        </w:rPr>
        <w:t xml:space="preserve"> Fisher Scientific Inc., Waltham, MA) for 15 mins and were then separately treated with 10 % FBS (10 wells), and10 % of participant serum before (24 wells) and after HIIT (24 wells). We used the </w:t>
      </w:r>
      <w:proofErr w:type="gramStart"/>
      <w:r w:rsidRPr="008955EA">
        <w:rPr>
          <w:rFonts w:eastAsia="Times New Roman" w:cs="Times New Roman"/>
          <w:shd w:val="clear" w:color="auto" w:fill="FFFFFF"/>
        </w:rPr>
        <w:t>IN Cell</w:t>
      </w:r>
      <w:proofErr w:type="gramEnd"/>
      <w:r w:rsidRPr="008955EA">
        <w:rPr>
          <w:rFonts w:eastAsia="Times New Roman" w:cs="Times New Roman"/>
          <w:shd w:val="clear" w:color="auto" w:fill="FFFFFF"/>
        </w:rPr>
        <w:t xml:space="preserve"> Analyzer 1000 cellular imaging and analysis system (GE Healthcare Bio-Science Corp., Piscataway, NJ) to count cell numbers at 0, 24, and 48 h after harvesting with the three different culture media. The relative cell count (RCC) was calculated as the cell number measured at each time point divided by that at 0 h.</w:t>
      </w:r>
    </w:p>
    <w:p w14:paraId="41AA203D" w14:textId="77777777" w:rsidR="005E4B55" w:rsidRPr="008955EA" w:rsidRDefault="005E4B55" w:rsidP="005E4B55">
      <w:pPr>
        <w:spacing w:beforeLines="50" w:before="180"/>
        <w:rPr>
          <w:rFonts w:eastAsia="Times New Roman" w:cs="Times New Roman"/>
          <w:b/>
          <w:bCs/>
          <w:shd w:val="clear" w:color="auto" w:fill="FFFFFF"/>
        </w:rPr>
      </w:pPr>
      <w:r w:rsidRPr="008955EA">
        <w:rPr>
          <w:rFonts w:eastAsia="Times New Roman" w:cs="Times New Roman"/>
          <w:b/>
          <w:bCs/>
          <w:shd w:val="clear" w:color="auto" w:fill="FFFFFF"/>
        </w:rPr>
        <w:t>Immunofluorescence staining</w:t>
      </w:r>
    </w:p>
    <w:p w14:paraId="36A396E2" w14:textId="77777777" w:rsidR="005E4B55" w:rsidRPr="008955EA" w:rsidRDefault="005E4B55" w:rsidP="005E4B55">
      <w:pPr>
        <w:rPr>
          <w:rFonts w:cs="Times New Roman"/>
        </w:rPr>
      </w:pPr>
      <w:r>
        <w:rPr>
          <w:rFonts w:cs="Times New Roman"/>
        </w:rPr>
        <w:t xml:space="preserve">Cells of </w:t>
      </w:r>
      <w:r w:rsidRPr="008955EA">
        <w:rPr>
          <w:rFonts w:cs="Times New Roman"/>
        </w:rPr>
        <w:t>6</w:t>
      </w:r>
      <m:oMath>
        <m:r>
          <w:rPr>
            <w:rFonts w:ascii="Cambria Math" w:hAnsi="Cambria Math" w:cs="Times New Roman"/>
          </w:rPr>
          <m:t>×</m:t>
        </m:r>
      </m:oMath>
      <w:r w:rsidRPr="008955EA">
        <w:rPr>
          <w:rFonts w:cs="Times New Roman"/>
        </w:rPr>
        <w:t>10</w:t>
      </w:r>
      <w:r w:rsidRPr="008955EA">
        <w:rPr>
          <w:rFonts w:cs="Times New Roman"/>
          <w:vertAlign w:val="superscript"/>
        </w:rPr>
        <w:t>4</w:t>
      </w:r>
      <w:r w:rsidRPr="008955EA">
        <w:rPr>
          <w:rFonts w:cs="Times New Roman"/>
        </w:rPr>
        <w:t xml:space="preserve"> </w:t>
      </w:r>
      <w:r>
        <w:rPr>
          <w:rFonts w:cs="Times New Roman"/>
        </w:rPr>
        <w:t>in</w:t>
      </w:r>
      <w:r w:rsidRPr="008955EA">
        <w:rPr>
          <w:rFonts w:cs="Times New Roman"/>
        </w:rPr>
        <w:t xml:space="preserve"> </w:t>
      </w:r>
      <w:r>
        <w:rPr>
          <w:rFonts w:cs="Times New Roman"/>
        </w:rPr>
        <w:t>400 mL o</w:t>
      </w:r>
      <w:r w:rsidRPr="008955EA">
        <w:rPr>
          <w:rFonts w:cs="Times New Roman"/>
        </w:rPr>
        <w:t>rdinary culture medium w</w:t>
      </w:r>
      <w:r>
        <w:rPr>
          <w:rFonts w:cs="Times New Roman"/>
        </w:rPr>
        <w:t>ere</w:t>
      </w:r>
      <w:r w:rsidRPr="008955EA">
        <w:rPr>
          <w:rFonts w:cs="Times New Roman"/>
        </w:rPr>
        <w:t xml:space="preserve"> inoculated in each well of 4-chamber </w:t>
      </w:r>
      <w:proofErr w:type="spellStart"/>
      <w:r w:rsidRPr="008955EA">
        <w:rPr>
          <w:rFonts w:cs="Times New Roman"/>
        </w:rPr>
        <w:t>coverglass</w:t>
      </w:r>
      <w:proofErr w:type="spellEnd"/>
      <w:r w:rsidRPr="008955EA">
        <w:rPr>
          <w:rFonts w:cs="Times New Roman"/>
        </w:rPr>
        <w:t xml:space="preserve"> (Lab-Tek, </w:t>
      </w:r>
      <w:proofErr w:type="spellStart"/>
      <w:r w:rsidRPr="008955EA">
        <w:rPr>
          <w:rFonts w:cs="Times New Roman"/>
        </w:rPr>
        <w:t>Nalge</w:t>
      </w:r>
      <w:proofErr w:type="spellEnd"/>
      <w:r w:rsidRPr="008955EA">
        <w:rPr>
          <w:rFonts w:cs="Times New Roman"/>
        </w:rPr>
        <w:t xml:space="preserve"> Nunc International, Naperville, IL, USA). Six </w:t>
      </w:r>
      <w:r>
        <w:rPr>
          <w:rFonts w:cs="Times New Roman"/>
        </w:rPr>
        <w:t xml:space="preserve">pieces of </w:t>
      </w:r>
      <w:proofErr w:type="spellStart"/>
      <w:r w:rsidRPr="008955EA">
        <w:rPr>
          <w:rFonts w:cs="Times New Roman" w:hint="eastAsia"/>
        </w:rPr>
        <w:t>c</w:t>
      </w:r>
      <w:r w:rsidRPr="008955EA">
        <w:rPr>
          <w:rFonts w:cs="Times New Roman"/>
        </w:rPr>
        <w:t>overglass</w:t>
      </w:r>
      <w:proofErr w:type="spellEnd"/>
      <w:r w:rsidRPr="008955EA">
        <w:rPr>
          <w:rFonts w:cs="Times New Roman"/>
        </w:rPr>
        <w:t xml:space="preserve"> were further incubated overnight at 37 ºC. </w:t>
      </w:r>
      <w:r w:rsidRPr="008955EA">
        <w:rPr>
          <w:rFonts w:eastAsia="Times New Roman" w:cs="Times New Roman"/>
          <w:shd w:val="clear" w:color="auto" w:fill="FFFFFF"/>
        </w:rPr>
        <w:t>They were separately incubated in 10% participant serum before (n=</w:t>
      </w:r>
      <w:r>
        <w:rPr>
          <w:rFonts w:eastAsia="Times New Roman" w:cs="Times New Roman"/>
          <w:shd w:val="clear" w:color="auto" w:fill="FFFFFF"/>
        </w:rPr>
        <w:t>6</w:t>
      </w:r>
      <w:r w:rsidRPr="008955EA">
        <w:rPr>
          <w:rFonts w:eastAsia="Times New Roman" w:cs="Times New Roman"/>
          <w:shd w:val="clear" w:color="auto" w:fill="FFFFFF"/>
        </w:rPr>
        <w:t>) and after (n=</w:t>
      </w:r>
      <w:r>
        <w:rPr>
          <w:rFonts w:eastAsia="Times New Roman" w:cs="Times New Roman"/>
          <w:shd w:val="clear" w:color="auto" w:fill="FFFFFF"/>
        </w:rPr>
        <w:t>6</w:t>
      </w:r>
      <w:r w:rsidRPr="008955EA">
        <w:rPr>
          <w:rFonts w:eastAsia="Times New Roman" w:cs="Times New Roman"/>
          <w:shd w:val="clear" w:color="auto" w:fill="FFFFFF"/>
        </w:rPr>
        <w:t xml:space="preserve">) HIIT for 24 h. </w:t>
      </w:r>
      <w:r w:rsidRPr="008955EA">
        <w:rPr>
          <w:rFonts w:cs="Times New Roman"/>
        </w:rPr>
        <w:t xml:space="preserve">Prepared cells were loaded with 100 </w:t>
      </w:r>
      <w:proofErr w:type="spellStart"/>
      <w:r w:rsidRPr="008955EA">
        <w:rPr>
          <w:rFonts w:cs="Times New Roman"/>
        </w:rPr>
        <w:t>nM</w:t>
      </w:r>
      <w:proofErr w:type="spellEnd"/>
      <w:r w:rsidRPr="008955EA">
        <w:rPr>
          <w:rFonts w:cs="Times New Roman"/>
        </w:rPr>
        <w:t xml:space="preserve"> Vivid </w:t>
      </w:r>
      <w:proofErr w:type="spellStart"/>
      <w:r w:rsidRPr="008955EA">
        <w:rPr>
          <w:rFonts w:cs="Times New Roman"/>
        </w:rPr>
        <w:t>MitoTracker</w:t>
      </w:r>
      <w:proofErr w:type="spellEnd"/>
      <w:r w:rsidRPr="008955EA">
        <w:rPr>
          <w:rFonts w:cs="Times New Roman"/>
        </w:rPr>
        <w:t>® probes (Invitrogen Corp., Carlsbad, CA, USA) for 30 min</w:t>
      </w:r>
      <w:r>
        <w:rPr>
          <w:rFonts w:cs="Times New Roman"/>
        </w:rPr>
        <w:t>s</w:t>
      </w:r>
      <w:r w:rsidRPr="008955EA">
        <w:rPr>
          <w:rFonts w:cs="Times New Roman"/>
        </w:rPr>
        <w:t xml:space="preserve"> and 1 </w:t>
      </w:r>
      <w:proofErr w:type="spellStart"/>
      <w:r w:rsidRPr="008955EA">
        <w:rPr>
          <w:rFonts w:cs="Times New Roman"/>
        </w:rPr>
        <w:t>μg</w:t>
      </w:r>
      <w:proofErr w:type="spellEnd"/>
      <w:r w:rsidRPr="008955EA">
        <w:rPr>
          <w:rFonts w:cs="Times New Roman"/>
        </w:rPr>
        <w:t>/ml Hoechst 33342</w:t>
      </w:r>
      <w:r w:rsidRPr="008955EA">
        <w:rPr>
          <w:rFonts w:eastAsia="Times New Roman" w:cs="Times New Roman"/>
          <w:shd w:val="clear" w:color="auto" w:fill="FFFFFF"/>
        </w:rPr>
        <w:t xml:space="preserve"> (</w:t>
      </w:r>
      <w:proofErr w:type="spellStart"/>
      <w:r w:rsidRPr="008955EA">
        <w:rPr>
          <w:rFonts w:eastAsia="Times New Roman" w:cs="Times New Roman"/>
          <w:shd w:val="clear" w:color="auto" w:fill="FFFFFF"/>
        </w:rPr>
        <w:t>Thermo</w:t>
      </w:r>
      <w:proofErr w:type="spellEnd"/>
      <w:r w:rsidRPr="008955EA">
        <w:rPr>
          <w:rFonts w:eastAsia="Times New Roman" w:cs="Times New Roman"/>
          <w:shd w:val="clear" w:color="auto" w:fill="FFFFFF"/>
        </w:rPr>
        <w:t xml:space="preserve"> Fisher Scientific Inc., MA, USA) for 15 mins </w:t>
      </w:r>
      <w:r w:rsidRPr="008955EA">
        <w:rPr>
          <w:rFonts w:cs="Times New Roman"/>
        </w:rPr>
        <w:t>at 37 °C.</w:t>
      </w:r>
      <w:r w:rsidRPr="008955EA">
        <w:rPr>
          <w:rFonts w:eastAsia="Times New Roman" w:cs="Times New Roman"/>
          <w:shd w:val="clear" w:color="auto" w:fill="FFFFFF"/>
        </w:rPr>
        <w:t xml:space="preserve"> </w:t>
      </w:r>
      <w:r w:rsidRPr="008955EA">
        <w:rPr>
          <w:rFonts w:cs="Times New Roman"/>
        </w:rPr>
        <w:t xml:space="preserve">Then, live cells were imaged using Leica TCS SP8 Confocal microscope (Leica Microsystems Inc., Buffalo Grove, IL, USA) with the magnification of 40X and 630X. Mitochondria intensity was calculated from 6 low-power fields (40X) in each chamber and mean fluorescent intensity was estimated from respective 72 fields of </w:t>
      </w:r>
      <w:r>
        <w:rPr>
          <w:rFonts w:cs="Times New Roman"/>
        </w:rPr>
        <w:t>H</w:t>
      </w:r>
      <w:r w:rsidRPr="008955EA">
        <w:rPr>
          <w:rFonts w:cs="Times New Roman"/>
        </w:rPr>
        <w:t>CFs incubated in pre- and post-HIIT serum.</w:t>
      </w:r>
    </w:p>
    <w:p w14:paraId="3CE023F5" w14:textId="77777777" w:rsidR="005E4B55" w:rsidRDefault="005E4B55" w:rsidP="005E4B55">
      <w:pPr>
        <w:spacing w:beforeLines="50" w:before="180"/>
        <w:ind w:firstLineChars="200" w:firstLine="480"/>
        <w:contextualSpacing/>
        <w:mirrorIndents/>
        <w:rPr>
          <w:rFonts w:cs="Times New Roman"/>
          <w:b/>
          <w:bCs/>
        </w:rPr>
      </w:pPr>
      <w:r w:rsidRPr="008955EA">
        <w:rPr>
          <w:rFonts w:cs="Times New Roman"/>
        </w:rPr>
        <w:t xml:space="preserve">Similar cell numbers were loaded in each chamber of 4-chamber </w:t>
      </w:r>
      <w:proofErr w:type="spellStart"/>
      <w:r w:rsidRPr="008955EA">
        <w:rPr>
          <w:rFonts w:cs="Times New Roman"/>
        </w:rPr>
        <w:t>coverglass</w:t>
      </w:r>
      <w:proofErr w:type="spellEnd"/>
      <w:r w:rsidRPr="008955EA">
        <w:rPr>
          <w:rFonts w:cs="Times New Roman"/>
        </w:rPr>
        <w:t>. Then, they were fixed with 4% paraformaldehyde for 5 min</w:t>
      </w:r>
      <w:r>
        <w:rPr>
          <w:rFonts w:cs="Times New Roman"/>
        </w:rPr>
        <w:t>s</w:t>
      </w:r>
      <w:r w:rsidRPr="008955EA">
        <w:rPr>
          <w:rFonts w:cs="Times New Roman"/>
        </w:rPr>
        <w:t xml:space="preserve"> and </w:t>
      </w:r>
      <w:r>
        <w:rPr>
          <w:rFonts w:cs="Times New Roman"/>
        </w:rPr>
        <w:t xml:space="preserve">were </w:t>
      </w:r>
      <w:r w:rsidRPr="008955EA">
        <w:rPr>
          <w:rFonts w:cs="Times New Roman"/>
        </w:rPr>
        <w:t>permeabilized using 0.3% (</w:t>
      </w:r>
      <w:proofErr w:type="spellStart"/>
      <w:r w:rsidRPr="008955EA">
        <w:rPr>
          <w:rFonts w:cs="Times New Roman"/>
        </w:rPr>
        <w:t>wt</w:t>
      </w:r>
      <w:proofErr w:type="spellEnd"/>
      <w:r w:rsidRPr="008955EA">
        <w:rPr>
          <w:rFonts w:cs="Times New Roman"/>
        </w:rPr>
        <w:t xml:space="preserve">/vol) Triton X-100 solution immediately after the cell attachment. </w:t>
      </w:r>
      <w:r>
        <w:rPr>
          <w:rFonts w:cs="Times New Roman"/>
        </w:rPr>
        <w:t xml:space="preserve">Cells in </w:t>
      </w:r>
      <w:proofErr w:type="spellStart"/>
      <w:r w:rsidRPr="008955EA">
        <w:rPr>
          <w:rFonts w:cs="Times New Roman"/>
        </w:rPr>
        <w:t>coverglass</w:t>
      </w:r>
      <w:proofErr w:type="spellEnd"/>
      <w:r w:rsidRPr="008955EA">
        <w:rPr>
          <w:rFonts w:cs="Times New Roman"/>
        </w:rPr>
        <w:t xml:space="preserve"> were further incubated </w:t>
      </w:r>
      <w:r>
        <w:rPr>
          <w:rFonts w:cs="Times New Roman"/>
        </w:rPr>
        <w:t xml:space="preserve">with serum </w:t>
      </w:r>
      <w:r w:rsidRPr="008955EA">
        <w:rPr>
          <w:rFonts w:eastAsia="Times New Roman" w:cs="Times New Roman"/>
          <w:shd w:val="clear" w:color="auto" w:fill="FFFFFF"/>
        </w:rPr>
        <w:t>before (n=</w:t>
      </w:r>
      <w:r>
        <w:rPr>
          <w:rFonts w:eastAsia="Times New Roman" w:cs="Times New Roman"/>
          <w:shd w:val="clear" w:color="auto" w:fill="FFFFFF"/>
        </w:rPr>
        <w:t>6</w:t>
      </w:r>
      <w:r w:rsidRPr="008955EA">
        <w:rPr>
          <w:rFonts w:eastAsia="Times New Roman" w:cs="Times New Roman"/>
          <w:shd w:val="clear" w:color="auto" w:fill="FFFFFF"/>
        </w:rPr>
        <w:t>) and after (n=</w:t>
      </w:r>
      <w:r>
        <w:rPr>
          <w:rFonts w:eastAsia="Times New Roman" w:cs="Times New Roman"/>
          <w:shd w:val="clear" w:color="auto" w:fill="FFFFFF"/>
        </w:rPr>
        <w:t>6</w:t>
      </w:r>
      <w:r w:rsidRPr="008955EA">
        <w:rPr>
          <w:rFonts w:eastAsia="Times New Roman" w:cs="Times New Roman"/>
          <w:shd w:val="clear" w:color="auto" w:fill="FFFFFF"/>
        </w:rPr>
        <w:t>) HIIT</w:t>
      </w:r>
      <w:r w:rsidRPr="008955EA">
        <w:rPr>
          <w:rFonts w:cs="Times New Roman"/>
        </w:rPr>
        <w:t xml:space="preserve"> </w:t>
      </w:r>
      <w:r>
        <w:rPr>
          <w:rFonts w:cs="Times New Roman"/>
        </w:rPr>
        <w:t xml:space="preserve">for 24 h </w:t>
      </w:r>
      <w:r w:rsidRPr="008955EA">
        <w:rPr>
          <w:rFonts w:cs="Times New Roman"/>
        </w:rPr>
        <w:t>at 37 ºC. These prepared cells were treated as described above and were stained with primary mouse monoclonal anti-actin and rabbit polyclonal anti-actin related protein 2 (Arp2) antibodies at 4 ºC overnight. They were then incubated with the secondary Alexa Fluor</w:t>
      </w:r>
      <w:r w:rsidRPr="008955EA">
        <w:rPr>
          <w:rFonts w:cs="Times New Roman"/>
          <w:vertAlign w:val="superscript"/>
        </w:rPr>
        <w:t>®</w:t>
      </w:r>
      <w:r w:rsidRPr="008955EA">
        <w:rPr>
          <w:rFonts w:cs="Times New Roman"/>
        </w:rPr>
        <w:t>-488 conjugated goat anti-mouse IgG and Alexa Fluor</w:t>
      </w:r>
      <w:r w:rsidRPr="008955EA">
        <w:rPr>
          <w:rFonts w:cs="Times New Roman"/>
          <w:vertAlign w:val="superscript"/>
        </w:rPr>
        <w:t>®</w:t>
      </w:r>
      <w:r w:rsidRPr="008955EA">
        <w:rPr>
          <w:rFonts w:cs="Times New Roman"/>
        </w:rPr>
        <w:t>-594 conjugated goat anti-rabbit IgG for 40 mins at room temperature to visualize actin filaments and Arp2 proteins, respectively. Both above primary and secondary antibodies were purchased from Abcam (Cambridge, UK).</w:t>
      </w:r>
    </w:p>
    <w:p w14:paraId="7DD04F42" w14:textId="77777777" w:rsidR="005E4B55" w:rsidRPr="00F54366" w:rsidRDefault="005E4B55" w:rsidP="005E4B55">
      <w:pPr>
        <w:spacing w:beforeLines="100" w:before="360"/>
        <w:rPr>
          <w:rFonts w:eastAsia="新細明體" w:cs="Times New Roman"/>
          <w:b/>
          <w:bCs/>
        </w:rPr>
      </w:pPr>
      <w:r w:rsidRPr="008955EA">
        <w:rPr>
          <w:rFonts w:cs="Times New Roman"/>
          <w:b/>
          <w:bCs/>
        </w:rPr>
        <w:t>Proteomic analysis</w:t>
      </w:r>
    </w:p>
    <w:p w14:paraId="3B7D8E57" w14:textId="77777777" w:rsidR="005E4B55" w:rsidRPr="008955EA" w:rsidRDefault="005E4B55" w:rsidP="005E4B55">
      <w:pPr>
        <w:contextualSpacing/>
        <w:mirrorIndents/>
        <w:rPr>
          <w:rFonts w:cs="Times New Roman"/>
          <w:b/>
          <w:bCs/>
        </w:rPr>
      </w:pPr>
      <w:r>
        <w:rPr>
          <w:rFonts w:eastAsia="Times New Roman" w:cs="Times New Roman"/>
          <w:shd w:val="clear" w:color="auto" w:fill="FFFFFF"/>
        </w:rPr>
        <w:t>H</w:t>
      </w:r>
      <w:r w:rsidRPr="008955EA">
        <w:rPr>
          <w:rFonts w:eastAsia="Times New Roman" w:cs="Times New Roman"/>
          <w:shd w:val="clear" w:color="auto" w:fill="FFFFFF"/>
        </w:rPr>
        <w:t>CFs of 2.1</w:t>
      </w:r>
      <w:r w:rsidRPr="008955EA">
        <w:rPr>
          <w:rFonts w:eastAsia="Times New Roman" w:cs="Times New Roman"/>
          <w:shd w:val="clear" w:color="auto" w:fill="FFFFFF"/>
        </w:rPr>
        <w:sym w:font="Symbol" w:char="F0B4"/>
      </w:r>
      <w:r w:rsidRPr="008955EA">
        <w:rPr>
          <w:rFonts w:eastAsia="Times New Roman" w:cs="Times New Roman"/>
          <w:shd w:val="clear" w:color="auto" w:fill="FFFFFF"/>
        </w:rPr>
        <w:t>10</w:t>
      </w:r>
      <w:r w:rsidRPr="008955EA">
        <w:rPr>
          <w:rFonts w:eastAsia="Times New Roman" w:cs="Times New Roman"/>
          <w:shd w:val="clear" w:color="auto" w:fill="FFFFFF"/>
          <w:vertAlign w:val="superscript"/>
        </w:rPr>
        <w:t xml:space="preserve">5 </w:t>
      </w:r>
      <w:r w:rsidRPr="008955EA">
        <w:rPr>
          <w:rFonts w:eastAsia="Times New Roman" w:cs="Times New Roman"/>
          <w:shd w:val="clear" w:color="auto" w:fill="FFFFFF"/>
        </w:rPr>
        <w:t>were</w:t>
      </w:r>
      <w:r w:rsidRPr="008955EA">
        <w:rPr>
          <w:rFonts w:cs="Times New Roman"/>
        </w:rPr>
        <w:t xml:space="preserve"> inoculated in a Petri dish with a 60-mm diameter</w:t>
      </w:r>
      <w:r w:rsidRPr="008955EA">
        <w:rPr>
          <w:rFonts w:eastAsia="Times New Roman" w:cs="Times New Roman"/>
          <w:shd w:val="clear" w:color="auto" w:fill="FFFFFF"/>
        </w:rPr>
        <w:t xml:space="preserve"> (Sigma</w:t>
      </w:r>
      <w:r w:rsidRPr="008955EA">
        <w:rPr>
          <w:rFonts w:cs="Times New Roman"/>
          <w:shd w:val="clear" w:color="auto" w:fill="FFFFFF"/>
        </w:rPr>
        <w:t>-Aldrich</w:t>
      </w:r>
      <w:r w:rsidRPr="008955EA">
        <w:rPr>
          <w:rFonts w:eastAsia="Times New Roman" w:cs="Times New Roman"/>
          <w:shd w:val="clear" w:color="auto" w:fill="FFFFFF"/>
        </w:rPr>
        <w:t>)</w:t>
      </w:r>
      <w:r w:rsidRPr="008955EA">
        <w:rPr>
          <w:rFonts w:cs="Times New Roman"/>
        </w:rPr>
        <w:t>,</w:t>
      </w:r>
      <w:r w:rsidRPr="008955EA">
        <w:rPr>
          <w:rFonts w:eastAsia="Times New Roman" w:cs="Times New Roman"/>
          <w:shd w:val="clear" w:color="auto" w:fill="FFFFFF"/>
        </w:rPr>
        <w:t xml:space="preserve"> then treated as </w:t>
      </w:r>
      <w:r>
        <w:rPr>
          <w:rFonts w:eastAsia="Times New Roman" w:cs="Times New Roman"/>
          <w:shd w:val="clear" w:color="auto" w:fill="FFFFFF"/>
        </w:rPr>
        <w:t xml:space="preserve">the above </w:t>
      </w:r>
      <w:r w:rsidRPr="008955EA">
        <w:rPr>
          <w:rFonts w:eastAsia="Times New Roman" w:cs="Times New Roman"/>
          <w:shd w:val="clear" w:color="auto" w:fill="FFFFFF"/>
        </w:rPr>
        <w:t xml:space="preserve">cell behavior assays. </w:t>
      </w:r>
      <w:r w:rsidRPr="008955EA">
        <w:rPr>
          <w:rFonts w:cs="Times New Roman"/>
          <w:shd w:val="clear" w:color="auto" w:fill="FFFFFF"/>
        </w:rPr>
        <w:t>After 24 h incubation</w:t>
      </w:r>
      <w:r>
        <w:rPr>
          <w:rFonts w:cs="Times New Roman"/>
          <w:shd w:val="clear" w:color="auto" w:fill="FFFFFF"/>
        </w:rPr>
        <w:t xml:space="preserve"> </w:t>
      </w:r>
      <w:r w:rsidRPr="008955EA">
        <w:rPr>
          <w:rFonts w:eastAsia="Times New Roman" w:cs="Times New Roman"/>
          <w:shd w:val="clear" w:color="auto" w:fill="FFFFFF"/>
        </w:rPr>
        <w:t>in pre- and post-HIIT serum</w:t>
      </w:r>
      <w:r>
        <w:rPr>
          <w:rFonts w:eastAsia="Times New Roman" w:cs="Times New Roman"/>
          <w:shd w:val="clear" w:color="auto" w:fill="FFFFFF"/>
        </w:rPr>
        <w:t xml:space="preserve"> (n=6)</w:t>
      </w:r>
      <w:r w:rsidRPr="008955EA">
        <w:rPr>
          <w:rFonts w:cs="Times New Roman"/>
          <w:shd w:val="clear" w:color="auto" w:fill="FFFFFF"/>
        </w:rPr>
        <w:t xml:space="preserve">, </w:t>
      </w:r>
      <w:r>
        <w:rPr>
          <w:rFonts w:cs="Times New Roman"/>
          <w:shd w:val="clear" w:color="auto" w:fill="FFFFFF"/>
        </w:rPr>
        <w:t>H</w:t>
      </w:r>
      <w:r w:rsidRPr="008955EA">
        <w:rPr>
          <w:rFonts w:cs="Times New Roman"/>
          <w:shd w:val="clear" w:color="auto" w:fill="FFFFFF"/>
        </w:rPr>
        <w:t xml:space="preserve">CFs were collected </w:t>
      </w:r>
      <w:r>
        <w:rPr>
          <w:rFonts w:cs="Times New Roman"/>
          <w:shd w:val="clear" w:color="auto" w:fill="FFFFFF"/>
        </w:rPr>
        <w:t xml:space="preserve">and </w:t>
      </w:r>
      <w:r w:rsidRPr="008955EA">
        <w:rPr>
          <w:rFonts w:cs="Times New Roman"/>
          <w:shd w:val="clear" w:color="auto" w:fill="FFFFFF"/>
        </w:rPr>
        <w:t>homogeniz</w:t>
      </w:r>
      <w:r>
        <w:rPr>
          <w:rFonts w:cs="Times New Roman"/>
          <w:shd w:val="clear" w:color="auto" w:fill="FFFFFF"/>
        </w:rPr>
        <w:t>ed</w:t>
      </w:r>
      <w:r w:rsidRPr="008955EA">
        <w:rPr>
          <w:rFonts w:cs="Times New Roman"/>
          <w:shd w:val="clear" w:color="auto" w:fill="FFFFFF"/>
        </w:rPr>
        <w:t xml:space="preserve"> in lysis buffer (8M urea in 50mM triethyl ammonium bicarbonate buffer, pH 8). The protein lysates were centrifuged at 16,000 </w:t>
      </w:r>
      <w:proofErr w:type="spellStart"/>
      <w:r w:rsidRPr="008955EA">
        <w:rPr>
          <w:rFonts w:cs="Times New Roman"/>
          <w:shd w:val="clear" w:color="auto" w:fill="FFFFFF"/>
        </w:rPr>
        <w:lastRenderedPageBreak/>
        <w:t>xg</w:t>
      </w:r>
      <w:proofErr w:type="spellEnd"/>
      <w:r w:rsidRPr="008955EA">
        <w:rPr>
          <w:rFonts w:cs="Times New Roman"/>
          <w:shd w:val="clear" w:color="auto" w:fill="FFFFFF"/>
        </w:rPr>
        <w:t xml:space="preserve"> for 10 min</w:t>
      </w:r>
      <w:r>
        <w:rPr>
          <w:rFonts w:cs="Times New Roman"/>
          <w:shd w:val="clear" w:color="auto" w:fill="FFFFFF"/>
        </w:rPr>
        <w:t>s</w:t>
      </w:r>
      <w:r w:rsidRPr="008955EA">
        <w:rPr>
          <w:rFonts w:cs="Times New Roman"/>
          <w:shd w:val="clear" w:color="auto" w:fill="FFFFFF"/>
        </w:rPr>
        <w:t xml:space="preserve"> at 4</w:t>
      </w:r>
      <w:r w:rsidRPr="008955EA">
        <w:rPr>
          <w:rFonts w:cs="Times New Roman"/>
          <w:shd w:val="clear" w:color="auto" w:fill="FFFFFF"/>
          <w:vertAlign w:val="superscript"/>
        </w:rPr>
        <w:t>o</w:t>
      </w:r>
      <w:r w:rsidRPr="008955EA">
        <w:rPr>
          <w:rFonts w:cs="Times New Roman"/>
          <w:shd w:val="clear" w:color="auto" w:fill="FFFFFF"/>
        </w:rPr>
        <w:t>C</w:t>
      </w:r>
      <w:r w:rsidRPr="008955EA">
        <w:rPr>
          <w:rFonts w:cs="Times New Roman"/>
        </w:rPr>
        <w:t xml:space="preserve">. An amount of 50 </w:t>
      </w:r>
      <w:proofErr w:type="spellStart"/>
      <w:r w:rsidRPr="008955EA">
        <w:rPr>
          <w:rFonts w:cs="Times New Roman"/>
          <w:color w:val="000000"/>
          <w:spacing w:val="3"/>
        </w:rPr>
        <w:t>μ</w:t>
      </w:r>
      <w:r w:rsidRPr="008955EA">
        <w:rPr>
          <w:rFonts w:cs="Times New Roman"/>
        </w:rPr>
        <w:t>g</w:t>
      </w:r>
      <w:proofErr w:type="spellEnd"/>
      <w:r w:rsidRPr="008955EA">
        <w:rPr>
          <w:rFonts w:cs="Times New Roman"/>
        </w:rPr>
        <w:t xml:space="preserve"> protein from in each condition was transferred and dithiothreitol (DTT) was added to a final concentration of 10 mM for incubation at 55</w:t>
      </w:r>
      <w:r w:rsidRPr="008955EA">
        <w:rPr>
          <w:rFonts w:cs="Times New Roman"/>
          <w:vertAlign w:val="superscript"/>
        </w:rPr>
        <w:t>o</w:t>
      </w:r>
      <w:r w:rsidRPr="008955EA">
        <w:rPr>
          <w:rFonts w:cs="Times New Roman"/>
        </w:rPr>
        <w:t>C for 30 min</w:t>
      </w:r>
      <w:r>
        <w:rPr>
          <w:rFonts w:cs="Times New Roman"/>
        </w:rPr>
        <w:t>s</w:t>
      </w:r>
      <w:r w:rsidRPr="008955EA">
        <w:rPr>
          <w:rFonts w:cs="Times New Roman"/>
        </w:rPr>
        <w:t>. Alkylation was then performed by adding iodoacetamide to a ﬁnal concentration of 20 mM before incubation at room temperature for 30 min</w:t>
      </w:r>
      <w:r>
        <w:rPr>
          <w:rFonts w:cs="Times New Roman"/>
        </w:rPr>
        <w:t>s</w:t>
      </w:r>
      <w:r w:rsidRPr="008955EA">
        <w:rPr>
          <w:rFonts w:cs="Times New Roman"/>
        </w:rPr>
        <w:t xml:space="preserve"> in the dark. A second aliquot of DTT was then added to quench unreacted iodoacetamide. Six volumes of pre-chilled (-20</w:t>
      </w:r>
      <w:r>
        <w:rPr>
          <w:rFonts w:cs="Times New Roman"/>
        </w:rPr>
        <w:t xml:space="preserve"> </w:t>
      </w:r>
      <w:proofErr w:type="spellStart"/>
      <w:r w:rsidRPr="008955EA">
        <w:rPr>
          <w:rFonts w:cs="Times New Roman"/>
          <w:vertAlign w:val="superscript"/>
        </w:rPr>
        <w:t>o</w:t>
      </w:r>
      <w:r w:rsidRPr="008955EA">
        <w:rPr>
          <w:rFonts w:cs="Times New Roman"/>
        </w:rPr>
        <w:t>C</w:t>
      </w:r>
      <w:proofErr w:type="spellEnd"/>
      <w:r w:rsidRPr="008955EA">
        <w:rPr>
          <w:rFonts w:cs="Times New Roman"/>
        </w:rPr>
        <w:t>) acetone w</w:t>
      </w:r>
      <w:r>
        <w:rPr>
          <w:rFonts w:cs="Times New Roman"/>
        </w:rPr>
        <w:t>ere</w:t>
      </w:r>
      <w:r w:rsidRPr="008955EA">
        <w:rPr>
          <w:rFonts w:cs="Times New Roman"/>
        </w:rPr>
        <w:t xml:space="preserve"> added to each sample and frozen at -20</w:t>
      </w:r>
      <w:r w:rsidRPr="008955EA">
        <w:rPr>
          <w:rFonts w:cs="Times New Roman"/>
          <w:vertAlign w:val="superscript"/>
        </w:rPr>
        <w:t>o</w:t>
      </w:r>
      <w:r w:rsidRPr="008955EA">
        <w:rPr>
          <w:rFonts w:cs="Times New Roman"/>
        </w:rPr>
        <w:t xml:space="preserve">C for at least 4 h to precipitate proteins. The acetone-precipitated protein pellet was resuspended with 50 mM </w:t>
      </w:r>
      <w:r>
        <w:rPr>
          <w:rFonts w:cs="Times New Roman"/>
        </w:rPr>
        <w:t xml:space="preserve">mixture of </w:t>
      </w:r>
      <w:r w:rsidRPr="008955EA">
        <w:rPr>
          <w:rFonts w:cs="Times New Roman"/>
        </w:rPr>
        <w:t>triethyl ammonium bicarbonate and trypsin (protein/</w:t>
      </w:r>
      <w:r>
        <w:rPr>
          <w:rFonts w:cs="Times New Roman"/>
        </w:rPr>
        <w:t>mixture</w:t>
      </w:r>
      <w:r w:rsidRPr="008955EA">
        <w:rPr>
          <w:rFonts w:cs="Times New Roman"/>
        </w:rPr>
        <w:t xml:space="preserve"> ratio is 50:1) was added for digestion overnight at 37 </w:t>
      </w:r>
      <w:proofErr w:type="spellStart"/>
      <w:r w:rsidRPr="008955EA">
        <w:rPr>
          <w:rFonts w:cs="Times New Roman"/>
          <w:vertAlign w:val="superscript"/>
        </w:rPr>
        <w:t>o</w:t>
      </w:r>
      <w:r w:rsidRPr="008955EA">
        <w:rPr>
          <w:rFonts w:cs="Times New Roman"/>
        </w:rPr>
        <w:t>C.</w:t>
      </w:r>
      <w:proofErr w:type="spellEnd"/>
      <w:r w:rsidRPr="008955EA">
        <w:rPr>
          <w:rFonts w:cs="Times New Roman"/>
        </w:rPr>
        <w:t xml:space="preserve"> The enzymatic reaction was quenched by the addition of 10 </w:t>
      </w:r>
      <w:proofErr w:type="spellStart"/>
      <w:r w:rsidRPr="008955EA">
        <w:rPr>
          <w:rFonts w:cs="Times New Roman"/>
          <w:color w:val="000000"/>
          <w:spacing w:val="3"/>
        </w:rPr>
        <w:t>μ</w:t>
      </w:r>
      <w:r w:rsidRPr="008955EA">
        <w:rPr>
          <w:rFonts w:cs="Times New Roman"/>
        </w:rPr>
        <w:t>L</w:t>
      </w:r>
      <w:proofErr w:type="spellEnd"/>
      <w:r w:rsidRPr="008955EA">
        <w:rPr>
          <w:rFonts w:cs="Times New Roman"/>
        </w:rPr>
        <w:t xml:space="preserve"> formic acid (10%), and the reaction mixture was dried by </w:t>
      </w:r>
      <w:proofErr w:type="spellStart"/>
      <w:r w:rsidRPr="008955EA">
        <w:rPr>
          <w:rFonts w:cs="Times New Roman"/>
        </w:rPr>
        <w:t>Speedvac</w:t>
      </w:r>
      <w:proofErr w:type="spellEnd"/>
      <w:r w:rsidRPr="008955EA">
        <w:rPr>
          <w:rFonts w:cs="Times New Roman"/>
        </w:rPr>
        <w:t xml:space="preserve"> for the following mass analysis.</w:t>
      </w:r>
    </w:p>
    <w:p w14:paraId="5ACA60B8" w14:textId="77777777" w:rsidR="005E4B55" w:rsidRPr="008955EA" w:rsidRDefault="005E4B55" w:rsidP="005E4B55">
      <w:pPr>
        <w:ind w:right="11" w:firstLineChars="200" w:firstLine="480"/>
        <w:contextualSpacing/>
        <w:mirrorIndents/>
        <w:rPr>
          <w:rFonts w:cs="Times New Roman"/>
          <w:szCs w:val="20"/>
        </w:rPr>
      </w:pPr>
      <w:r w:rsidRPr="008955EA">
        <w:rPr>
          <w:rFonts w:cs="Times New Roman"/>
          <w:szCs w:val="20"/>
        </w:rPr>
        <w:t>The tryptic peptides were analyzed by a nano-LC-ESI-MS on an Orbitrap LUMOS mass spectrometer (</w:t>
      </w:r>
      <w:proofErr w:type="spellStart"/>
      <w:r w:rsidRPr="008955EA">
        <w:rPr>
          <w:rFonts w:cs="Times New Roman"/>
          <w:szCs w:val="20"/>
        </w:rPr>
        <w:t>ThermoFisher</w:t>
      </w:r>
      <w:proofErr w:type="spellEnd"/>
      <w:r w:rsidRPr="008955EA">
        <w:rPr>
          <w:rFonts w:cs="Times New Roman"/>
          <w:szCs w:val="20"/>
        </w:rPr>
        <w:t xml:space="preserve"> Scientific Inc.)</w:t>
      </w:r>
      <w:r>
        <w:rPr>
          <w:rFonts w:cs="Times New Roman"/>
          <w:szCs w:val="20"/>
        </w:rPr>
        <w:t>.</w:t>
      </w:r>
      <w:r w:rsidRPr="008955EA">
        <w:rPr>
          <w:rFonts w:cs="Times New Roman"/>
          <w:szCs w:val="20"/>
        </w:rPr>
        <w:t xml:space="preserve"> The peptide solution (4 </w:t>
      </w:r>
      <w:proofErr w:type="spellStart"/>
      <w:r w:rsidRPr="008955EA">
        <w:rPr>
          <w:rFonts w:cs="Times New Roman"/>
          <w:color w:val="000000"/>
          <w:spacing w:val="3"/>
        </w:rPr>
        <w:t>μ</w:t>
      </w:r>
      <w:r w:rsidRPr="008955EA">
        <w:rPr>
          <w:rFonts w:cs="Times New Roman"/>
          <w:szCs w:val="20"/>
        </w:rPr>
        <w:t>L</w:t>
      </w:r>
      <w:proofErr w:type="spellEnd"/>
      <w:r w:rsidRPr="008955EA">
        <w:rPr>
          <w:rFonts w:cs="Times New Roman"/>
          <w:szCs w:val="20"/>
        </w:rPr>
        <w:t xml:space="preserve">) was separated on </w:t>
      </w:r>
      <w:r w:rsidRPr="008955EA">
        <w:rPr>
          <w:rFonts w:cs="Times New Roman"/>
          <w:color w:val="000000"/>
          <w:spacing w:val="3"/>
        </w:rPr>
        <w:t xml:space="preserve">a 75-μm internal diameter, 25-cm length </w:t>
      </w:r>
      <w:r w:rsidRPr="008955EA">
        <w:rPr>
          <w:rFonts w:cs="Times New Roman"/>
          <w:color w:val="222222"/>
          <w:spacing w:val="3"/>
        </w:rPr>
        <w:t xml:space="preserve">C18 Acclaim </w:t>
      </w:r>
      <w:proofErr w:type="spellStart"/>
      <w:r w:rsidRPr="008955EA">
        <w:rPr>
          <w:rFonts w:cs="Times New Roman"/>
          <w:color w:val="222222"/>
          <w:spacing w:val="3"/>
        </w:rPr>
        <w:t>PepMap</w:t>
      </w:r>
      <w:proofErr w:type="spellEnd"/>
      <w:r w:rsidRPr="008955EA">
        <w:rPr>
          <w:rFonts w:cs="Times New Roman"/>
          <w:color w:val="222222"/>
          <w:spacing w:val="3"/>
        </w:rPr>
        <w:t xml:space="preserve"> </w:t>
      </w:r>
      <w:proofErr w:type="spellStart"/>
      <w:r w:rsidRPr="008955EA">
        <w:rPr>
          <w:rFonts w:cs="Times New Roman"/>
          <w:color w:val="222222"/>
          <w:spacing w:val="3"/>
        </w:rPr>
        <w:t>NanoLC</w:t>
      </w:r>
      <w:proofErr w:type="spellEnd"/>
      <w:r w:rsidRPr="008955EA">
        <w:rPr>
          <w:rFonts w:cs="Times New Roman"/>
          <w:color w:val="222222"/>
          <w:spacing w:val="3"/>
        </w:rPr>
        <w:t xml:space="preserve"> column</w:t>
      </w:r>
      <w:r w:rsidRPr="008955EA">
        <w:rPr>
          <w:rFonts w:cs="Times New Roman"/>
          <w:color w:val="000000"/>
          <w:spacing w:val="3"/>
        </w:rPr>
        <w:t xml:space="preserve"> (</w:t>
      </w:r>
      <w:proofErr w:type="spellStart"/>
      <w:r w:rsidRPr="008955EA">
        <w:rPr>
          <w:rFonts w:cs="Times New Roman"/>
          <w:color w:val="000000"/>
          <w:spacing w:val="3"/>
        </w:rPr>
        <w:t>ThermoScientific</w:t>
      </w:r>
      <w:proofErr w:type="spellEnd"/>
      <w:r w:rsidRPr="008955EA">
        <w:rPr>
          <w:rFonts w:cs="Times New Roman"/>
          <w:color w:val="000000"/>
          <w:spacing w:val="3"/>
        </w:rPr>
        <w:t xml:space="preserve"> Inc.) </w:t>
      </w:r>
      <w:r w:rsidRPr="008955EA">
        <w:rPr>
          <w:rFonts w:cs="Times New Roman"/>
          <w:szCs w:val="20"/>
        </w:rPr>
        <w:t xml:space="preserve">operated at 300 </w:t>
      </w:r>
      <w:proofErr w:type="spellStart"/>
      <w:r w:rsidRPr="008955EA">
        <w:rPr>
          <w:rFonts w:cs="Times New Roman"/>
          <w:szCs w:val="20"/>
        </w:rPr>
        <w:t>nL</w:t>
      </w:r>
      <w:proofErr w:type="spellEnd"/>
      <w:r w:rsidRPr="008955EA">
        <w:rPr>
          <w:rFonts w:cs="Times New Roman"/>
          <w:szCs w:val="20"/>
        </w:rPr>
        <w:t xml:space="preserve">/min flow rate. The full-scan MS was operated in a mass range of m/z 350 to 1700 (AGC target 5e5), with mass accuracy of &lt; 5ppm, the resolution of 120,000, and the maximum injection time of 50 </w:t>
      </w:r>
      <w:proofErr w:type="spellStart"/>
      <w:r w:rsidRPr="008955EA">
        <w:rPr>
          <w:rFonts w:cs="Times New Roman"/>
          <w:szCs w:val="20"/>
        </w:rPr>
        <w:t>ms.</w:t>
      </w:r>
      <w:proofErr w:type="spellEnd"/>
      <w:r w:rsidRPr="008955EA">
        <w:rPr>
          <w:rFonts w:cs="Times New Roman"/>
          <w:szCs w:val="20"/>
        </w:rPr>
        <w:t xml:space="preserve"> The target m/z was isolated and performed for data-dependent MS/MS scan by HCD with NCE32, 15,000 resolution, and 50 </w:t>
      </w:r>
      <w:proofErr w:type="spellStart"/>
      <w:r w:rsidRPr="008955EA">
        <w:rPr>
          <w:rFonts w:cs="Times New Roman"/>
          <w:szCs w:val="20"/>
        </w:rPr>
        <w:t>ms</w:t>
      </w:r>
      <w:proofErr w:type="spellEnd"/>
      <w:r w:rsidRPr="008955EA">
        <w:rPr>
          <w:rFonts w:cs="Times New Roman"/>
          <w:szCs w:val="20"/>
        </w:rPr>
        <w:t xml:space="preserve"> maximum injection time. The AGC target 5e4 was set for MS/MS analysis with the previously selected ion dynamically excluded for 60 s. Electrospray voltage was maintained at 1.8 kV and the capillary temperature was kept at 275 </w:t>
      </w:r>
      <w:proofErr w:type="spellStart"/>
      <w:r w:rsidRPr="008955EA">
        <w:rPr>
          <w:rFonts w:cs="Times New Roman"/>
          <w:szCs w:val="20"/>
          <w:vertAlign w:val="superscript"/>
        </w:rPr>
        <w:t>o</w:t>
      </w:r>
      <w:r w:rsidRPr="008955EA">
        <w:rPr>
          <w:rFonts w:cs="Times New Roman"/>
          <w:szCs w:val="20"/>
        </w:rPr>
        <w:t>C.</w:t>
      </w:r>
      <w:proofErr w:type="spellEnd"/>
    </w:p>
    <w:p w14:paraId="20ED46C4" w14:textId="77777777" w:rsidR="005E4B55" w:rsidRPr="008955EA" w:rsidRDefault="005E4B55" w:rsidP="005E4B55">
      <w:pPr>
        <w:ind w:firstLineChars="200" w:firstLine="480"/>
        <w:contextualSpacing/>
        <w:mirrorIndents/>
        <w:rPr>
          <w:rFonts w:cs="Times New Roman"/>
          <w:color w:val="2E2E2E"/>
        </w:rPr>
      </w:pPr>
      <w:r w:rsidRPr="008955EA">
        <w:rPr>
          <w:rFonts w:cs="Times New Roman"/>
          <w:szCs w:val="20"/>
        </w:rPr>
        <w:t>A</w:t>
      </w:r>
      <w:r w:rsidRPr="008955EA">
        <w:rPr>
          <w:rFonts w:cs="Times New Roman"/>
        </w:rPr>
        <w:t>cquired MS</w:t>
      </w:r>
      <w:r>
        <w:rPr>
          <w:rFonts w:cs="Times New Roman"/>
        </w:rPr>
        <w:t xml:space="preserve"> raw</w:t>
      </w:r>
      <w:r w:rsidRPr="008955EA">
        <w:rPr>
          <w:rFonts w:cs="Times New Roman"/>
        </w:rPr>
        <w:t xml:space="preserve"> data were analyzed using </w:t>
      </w:r>
      <w:proofErr w:type="spellStart"/>
      <w:r w:rsidRPr="008955EA">
        <w:rPr>
          <w:rFonts w:cs="Times New Roman"/>
        </w:rPr>
        <w:t>MaxQuant</w:t>
      </w:r>
      <w:proofErr w:type="spellEnd"/>
      <w:r w:rsidRPr="008955EA">
        <w:rPr>
          <w:rFonts w:cs="Times New Roman"/>
        </w:rPr>
        <w:t xml:space="preserve"> (ver. 1.5.3.30) with the human protein database obtained from </w:t>
      </w:r>
      <w:proofErr w:type="spellStart"/>
      <w:r w:rsidRPr="008955EA">
        <w:rPr>
          <w:rFonts w:cs="Times New Roman"/>
        </w:rPr>
        <w:t>UniProt</w:t>
      </w:r>
      <w:proofErr w:type="spellEnd"/>
      <w:r w:rsidRPr="008955EA">
        <w:rPr>
          <w:rFonts w:cs="Times New Roman"/>
        </w:rPr>
        <w:t xml:space="preserve"> reviewed human proteomes. The fragment ion mass tolerance was set to 0.5 Da.</w:t>
      </w:r>
      <w:r w:rsidRPr="008955EA">
        <w:rPr>
          <w:rFonts w:cs="Times New Roman"/>
          <w:color w:val="2E2E2E"/>
        </w:rPr>
        <w:t xml:space="preserve"> Trypsin was chosen as the enzyme and 2 missed cleavages were allowed. The </w:t>
      </w:r>
      <w:proofErr w:type="spellStart"/>
      <w:r w:rsidRPr="008955EA">
        <w:rPr>
          <w:rFonts w:cs="Times New Roman"/>
          <w:color w:val="2E2E2E"/>
        </w:rPr>
        <w:t>carbamidomethylation</w:t>
      </w:r>
      <w:proofErr w:type="spellEnd"/>
      <w:r w:rsidRPr="008955EA">
        <w:rPr>
          <w:rFonts w:cs="Times New Roman"/>
          <w:color w:val="2E2E2E"/>
        </w:rPr>
        <w:t xml:space="preserve"> of cysteine was defined as a fixed modification, and the oxidation of methionine was defined as variable modifications. Minimum peptide length was set to seven amino acids. The minimum number of unique peptides was set to one. Maximum false discovery rate, calculated by employing a reverse database, were set to 1% for both peptides and proteins. For label-free quantification (LFQ), only protein ratios calculated from at least two unique peptides with min LFQ ratio 2 were considered for calculating LFQ protein intensity.</w:t>
      </w:r>
      <w:r>
        <w:rPr>
          <w:rFonts w:cs="Times New Roman"/>
          <w:color w:val="2E2E2E"/>
        </w:rPr>
        <w:t xml:space="preserve"> </w:t>
      </w:r>
      <w:r w:rsidRPr="008955EA">
        <w:rPr>
          <w:rFonts w:cs="Times New Roman"/>
        </w:rPr>
        <w:t xml:space="preserve">The differences in protein expression were determined by the ratio of LFQ intensity in </w:t>
      </w:r>
      <w:r>
        <w:rPr>
          <w:rFonts w:cs="Times New Roman"/>
        </w:rPr>
        <w:t>H</w:t>
      </w:r>
      <w:r w:rsidRPr="008955EA">
        <w:rPr>
          <w:rFonts w:cs="Times New Roman"/>
        </w:rPr>
        <w:t>CFs cultured with serum from patients after-HIIT and before-HIIT.</w:t>
      </w:r>
      <w:r>
        <w:rPr>
          <w:rFonts w:cs="Times New Roman"/>
        </w:rPr>
        <w:t xml:space="preserve"> </w:t>
      </w:r>
      <w:r w:rsidRPr="008955EA">
        <w:rPr>
          <w:rFonts w:cs="Times New Roman"/>
        </w:rPr>
        <w:t xml:space="preserve">After comparing the difference in protein expression between after- and before-HIIT, protein expression with a ratio change &gt; 2 or &lt; 0.5 with a </w:t>
      </w:r>
      <w:r>
        <w:rPr>
          <w:rFonts w:cs="Times New Roman"/>
        </w:rPr>
        <w:t>one</w:t>
      </w:r>
      <w:r w:rsidRPr="008955EA">
        <w:rPr>
          <w:rFonts w:cs="Times New Roman"/>
        </w:rPr>
        <w:t>-sided p-value &lt; 0.</w:t>
      </w:r>
      <w:r>
        <w:rPr>
          <w:rFonts w:cs="Times New Roman"/>
        </w:rPr>
        <w:t>05</w:t>
      </w:r>
      <w:r w:rsidRPr="008955EA">
        <w:rPr>
          <w:rFonts w:cs="Times New Roman"/>
        </w:rPr>
        <w:t xml:space="preserve"> was considered to be differentially expressed.</w:t>
      </w:r>
    </w:p>
    <w:p w14:paraId="49C09176" w14:textId="77777777" w:rsidR="005E4B55" w:rsidRPr="008955EA" w:rsidRDefault="005E4B55" w:rsidP="005E4B55">
      <w:pPr>
        <w:spacing w:beforeLines="100" w:before="360"/>
        <w:rPr>
          <w:rFonts w:cs="Times New Roman"/>
          <w:b/>
          <w:bCs/>
        </w:rPr>
      </w:pPr>
      <w:r w:rsidRPr="008955EA">
        <w:rPr>
          <w:rFonts w:cs="Times New Roman"/>
          <w:b/>
          <w:bCs/>
        </w:rPr>
        <w:t xml:space="preserve">Protein analysis </w:t>
      </w:r>
      <w:r>
        <w:rPr>
          <w:rFonts w:cs="Times New Roman"/>
          <w:b/>
          <w:bCs/>
        </w:rPr>
        <w:t xml:space="preserve">before and after ACADVL gene </w:t>
      </w:r>
      <w:r w:rsidRPr="008955EA">
        <w:rPr>
          <w:rFonts w:cs="Times New Roman"/>
          <w:b/>
          <w:bCs/>
        </w:rPr>
        <w:t>knockdown</w:t>
      </w:r>
    </w:p>
    <w:p w14:paraId="7B9947E9" w14:textId="77777777" w:rsidR="005E4B55" w:rsidRPr="008955EA" w:rsidRDefault="005E4B55" w:rsidP="005E4B55">
      <w:pPr>
        <w:rPr>
          <w:rFonts w:cs="Times New Roman"/>
        </w:rPr>
      </w:pPr>
      <w:r>
        <w:rPr>
          <w:rFonts w:cs="Times New Roman"/>
        </w:rPr>
        <w:t>H</w:t>
      </w:r>
      <w:r w:rsidRPr="008955EA">
        <w:rPr>
          <w:rFonts w:cs="Times New Roman"/>
        </w:rPr>
        <w:t>CFs of 5</w:t>
      </w:r>
      <m:oMath>
        <m:r>
          <w:rPr>
            <w:rFonts w:ascii="Cambria Math" w:hAnsi="Cambria Math" w:cs="Times New Roman"/>
          </w:rPr>
          <m:t>×</m:t>
        </m:r>
      </m:oMath>
      <w:r w:rsidRPr="008955EA">
        <w:rPr>
          <w:rFonts w:cs="Times New Roman"/>
        </w:rPr>
        <w:t>10</w:t>
      </w:r>
      <w:r w:rsidRPr="008955EA">
        <w:rPr>
          <w:rFonts w:cs="Times New Roman"/>
          <w:vertAlign w:val="superscript"/>
        </w:rPr>
        <w:t>5</w:t>
      </w:r>
      <w:r w:rsidRPr="008955EA">
        <w:rPr>
          <w:rFonts w:cs="Times New Roman"/>
        </w:rPr>
        <w:t xml:space="preserve"> were </w:t>
      </w:r>
      <w:r w:rsidRPr="008955EA">
        <w:rPr>
          <w:rFonts w:eastAsia="Times New Roman" w:cs="Times New Roman"/>
          <w:shd w:val="clear" w:color="auto" w:fill="FFFFFF"/>
        </w:rPr>
        <w:t>cultured in medium containing 1.5% FBS overnight for starvation. Then,</w:t>
      </w:r>
      <w:r>
        <w:rPr>
          <w:rFonts w:eastAsia="Times New Roman" w:cs="Times New Roman"/>
          <w:shd w:val="clear" w:color="auto" w:fill="FFFFFF"/>
        </w:rPr>
        <w:t xml:space="preserve"> H</w:t>
      </w:r>
      <w:r w:rsidRPr="008955EA">
        <w:rPr>
          <w:rFonts w:eastAsia="Times New Roman" w:cs="Times New Roman"/>
          <w:shd w:val="clear" w:color="auto" w:fill="FFFFFF"/>
        </w:rPr>
        <w:t xml:space="preserve">CFs were </w:t>
      </w:r>
      <w:r w:rsidRPr="008955EA">
        <w:rPr>
          <w:rFonts w:cs="Times New Roman"/>
        </w:rPr>
        <w:t>seeded in 10-cm culture dishes</w:t>
      </w:r>
      <w:r w:rsidRPr="008955EA">
        <w:rPr>
          <w:rFonts w:eastAsia="Times New Roman" w:cs="Times New Roman"/>
          <w:shd w:val="clear" w:color="auto" w:fill="FFFFFF"/>
        </w:rPr>
        <w:t xml:space="preserve"> </w:t>
      </w:r>
      <w:r w:rsidRPr="008955EA">
        <w:rPr>
          <w:rFonts w:cs="Times New Roman"/>
        </w:rPr>
        <w:t xml:space="preserve">(Corning, Corning, NY, USA) </w:t>
      </w:r>
      <w:r w:rsidRPr="008955EA">
        <w:rPr>
          <w:rFonts w:eastAsia="Times New Roman" w:cs="Times New Roman"/>
          <w:shd w:val="clear" w:color="auto" w:fill="FFFFFF"/>
        </w:rPr>
        <w:t xml:space="preserve">with 10 % </w:t>
      </w:r>
      <w:r w:rsidRPr="008955EA">
        <w:rPr>
          <w:rFonts w:eastAsia="Times New Roman" w:cs="Times New Roman"/>
          <w:shd w:val="clear" w:color="auto" w:fill="FFFFFF"/>
        </w:rPr>
        <w:lastRenderedPageBreak/>
        <w:t>FBS</w:t>
      </w:r>
      <w:r w:rsidRPr="008955EA">
        <w:rPr>
          <w:rFonts w:cs="Times New Roman"/>
        </w:rPr>
        <w:t xml:space="preserve"> for 48 h (n=6). The prepared samples were washed with ice-cold RIPA cell lysis buffer (Visual proteins, </w:t>
      </w:r>
      <w:proofErr w:type="spellStart"/>
      <w:r w:rsidRPr="008955EA">
        <w:rPr>
          <w:rFonts w:cs="Times New Roman"/>
        </w:rPr>
        <w:t>Energenesis</w:t>
      </w:r>
      <w:proofErr w:type="spellEnd"/>
      <w:r w:rsidRPr="008955EA">
        <w:rPr>
          <w:rFonts w:cs="Times New Roman"/>
        </w:rPr>
        <w:t xml:space="preserve"> Biomedical Co. Ltd., Taipei, Taiwan) containing protease inhibitor and were then scraped off each dish. Cell lysates were centrifuged at 12,000 rpm for 40 mins at 4 °C for three times and the supernatant was used for protein quantification. Protein samples of 20 </w:t>
      </w:r>
      <w:r w:rsidRPr="008955EA">
        <w:rPr>
          <w:rFonts w:cs="Times New Roman"/>
        </w:rPr>
        <w:sym w:font="Symbol" w:char="F06D"/>
      </w:r>
      <w:r w:rsidRPr="008955EA">
        <w:rPr>
          <w:rFonts w:cs="Times New Roman"/>
        </w:rPr>
        <w:t xml:space="preserve">g in each lane were separated on a 7% SDS poly acrylamide gel for rabbit polyclonal anti-VLCAD (Abcam), mouse monoclonal anti-cytochrome C (BD </w:t>
      </w:r>
      <w:r>
        <w:rPr>
          <w:rFonts w:cs="Times New Roman"/>
        </w:rPr>
        <w:t>Biosciences</w:t>
      </w:r>
      <w:r w:rsidRPr="008955EA">
        <w:rPr>
          <w:rFonts w:cs="Times New Roman"/>
        </w:rPr>
        <w:t xml:space="preserve">, Franklin Lakes, NJ, USA), rabbit polyclonal anti-capspase-3 (Cell Signaling Technology Inc., Boston, MA, USA), rabbit monoclonal anti-Lamin B1 (Abcam), rabbit polyclonal anti-actin (Abcam), rabbit polyclonal anti-Arp2 (Abcam) and rabbit polyclonal anti-GAPDH (Santa Cruz Biotechnology Inc., Santa Cruz, CA, USA) as internal reference were transferred to polyvinylidene difluoride membranes (Immobilon-P, </w:t>
      </w:r>
      <w:proofErr w:type="spellStart"/>
      <w:r w:rsidRPr="008955EA">
        <w:rPr>
          <w:rFonts w:cs="Times New Roman"/>
        </w:rPr>
        <w:t>MilliporeSigma</w:t>
      </w:r>
      <w:proofErr w:type="spellEnd"/>
      <w:r w:rsidRPr="008955EA">
        <w:rPr>
          <w:rFonts w:cs="Times New Roman"/>
        </w:rPr>
        <w:t>, Billerica, MA, USA). The horseradish peroxidase-conjugated secondary antibodies rabbit anti-mouse IgG (Sigma-Aldrich) or goat anti-rabbit IgG (</w:t>
      </w:r>
      <w:proofErr w:type="spellStart"/>
      <w:r w:rsidRPr="008955EA">
        <w:rPr>
          <w:rFonts w:cs="Times New Roman"/>
        </w:rPr>
        <w:t>Thermo</w:t>
      </w:r>
      <w:proofErr w:type="spellEnd"/>
      <w:r w:rsidRPr="008955EA">
        <w:rPr>
          <w:rFonts w:cs="Times New Roman"/>
        </w:rPr>
        <w:t xml:space="preserve"> Fisher Scientific) were then added for at least 1 h. The immunoreactive protein bands were visualized using enhanced chemiluminescence (ECL1, </w:t>
      </w:r>
      <w:proofErr w:type="spellStart"/>
      <w:r w:rsidRPr="008955EA">
        <w:rPr>
          <w:rFonts w:cs="Times New Roman"/>
        </w:rPr>
        <w:t>Amersham</w:t>
      </w:r>
      <w:proofErr w:type="spellEnd"/>
      <w:r w:rsidRPr="008955EA">
        <w:rPr>
          <w:rFonts w:cs="Times New Roman"/>
        </w:rPr>
        <w:t xml:space="preserve"> Pharmacia Biotech, Freiburg, Germany).</w:t>
      </w:r>
    </w:p>
    <w:p w14:paraId="4268B300" w14:textId="77777777" w:rsidR="005E4B55" w:rsidRPr="00504EF7" w:rsidRDefault="005E4B55" w:rsidP="005E4B55">
      <w:pPr>
        <w:ind w:firstLineChars="200" w:firstLine="480"/>
        <w:rPr>
          <w:rFonts w:cs="Times New Roman"/>
        </w:rPr>
      </w:pPr>
      <w:r w:rsidRPr="008955EA">
        <w:rPr>
          <w:rFonts w:cs="Times New Roman"/>
        </w:rPr>
        <w:t xml:space="preserve">Similar numbers of </w:t>
      </w:r>
      <w:r>
        <w:rPr>
          <w:rFonts w:cs="Times New Roman"/>
        </w:rPr>
        <w:t>H</w:t>
      </w:r>
      <w:r w:rsidRPr="008955EA">
        <w:rPr>
          <w:rFonts w:cs="Times New Roman"/>
        </w:rPr>
        <w:t>CFs were treated as the above starvation procedure in 10-cm culture dishes. The prepared cells were removed from the culture dish with 0.5% trypsin/0.2% EDTA solution (Biological Industries Israel Beit-</w:t>
      </w:r>
      <w:proofErr w:type="spellStart"/>
      <w:r w:rsidRPr="008955EA">
        <w:rPr>
          <w:rFonts w:cs="Times New Roman"/>
        </w:rPr>
        <w:t>Haemek</w:t>
      </w:r>
      <w:proofErr w:type="spellEnd"/>
      <w:r w:rsidRPr="008955EA">
        <w:rPr>
          <w:rFonts w:cs="Times New Roman"/>
        </w:rPr>
        <w:t xml:space="preserve">, Israel) and the cell lysate was further centrifuged at 1000 rpm for 5 min at room temperature. Cell pellets were resuspended with R buffer (Invitrogen) and were mixed with 200 </w:t>
      </w:r>
      <w:proofErr w:type="spellStart"/>
      <w:r w:rsidRPr="008955EA">
        <w:rPr>
          <w:rFonts w:cs="Times New Roman"/>
        </w:rPr>
        <w:t>nM</w:t>
      </w:r>
      <w:proofErr w:type="spellEnd"/>
      <w:r w:rsidRPr="008955EA">
        <w:rPr>
          <w:rFonts w:cs="Times New Roman"/>
        </w:rPr>
        <w:t xml:space="preserve"> ACADVL siRNA (n=</w:t>
      </w:r>
      <w:r>
        <w:rPr>
          <w:rFonts w:cs="Times New Roman"/>
        </w:rPr>
        <w:t>6</w:t>
      </w:r>
      <w:proofErr w:type="gramStart"/>
      <w:r w:rsidRPr="008955EA">
        <w:rPr>
          <w:rFonts w:cs="Times New Roman"/>
        </w:rPr>
        <w:t>)</w:t>
      </w:r>
      <w:proofErr w:type="gramEnd"/>
      <w:r w:rsidRPr="008955EA">
        <w:rPr>
          <w:rFonts w:cs="Times New Roman"/>
        </w:rPr>
        <w:t xml:space="preserve"> or negative control (n=</w:t>
      </w:r>
      <w:r>
        <w:rPr>
          <w:rFonts w:cs="Times New Roman"/>
        </w:rPr>
        <w:t>6</w:t>
      </w:r>
      <w:r w:rsidRPr="008955EA">
        <w:rPr>
          <w:rFonts w:cs="Times New Roman"/>
        </w:rPr>
        <w:t xml:space="preserve">) purchased from </w:t>
      </w:r>
      <w:proofErr w:type="spellStart"/>
      <w:r w:rsidRPr="008955EA">
        <w:rPr>
          <w:rFonts w:cs="Times New Roman"/>
        </w:rPr>
        <w:t>ThermoFisher</w:t>
      </w:r>
      <w:proofErr w:type="spellEnd"/>
      <w:r w:rsidRPr="008955EA">
        <w:rPr>
          <w:rFonts w:cs="Times New Roman"/>
        </w:rPr>
        <w:t xml:space="preserve"> Scientific Inc. (Waltham, MA, USA). An electrical pulse at 1200V for 30 </w:t>
      </w:r>
      <w:proofErr w:type="spellStart"/>
      <w:r w:rsidRPr="008955EA">
        <w:rPr>
          <w:rFonts w:cs="Times New Roman"/>
        </w:rPr>
        <w:t>ms</w:t>
      </w:r>
      <w:proofErr w:type="spellEnd"/>
      <w:r w:rsidRPr="008955EA">
        <w:rPr>
          <w:rFonts w:cs="Times New Roman"/>
        </w:rPr>
        <w:t xml:space="preserve"> was used to create temporary pores on cell membrane by </w:t>
      </w:r>
      <w:proofErr w:type="spellStart"/>
      <w:r w:rsidRPr="008955EA">
        <w:rPr>
          <w:rFonts w:cs="Times New Roman"/>
        </w:rPr>
        <w:t>Neon</w:t>
      </w:r>
      <w:r w:rsidRPr="008955EA">
        <w:rPr>
          <w:rFonts w:cs="Times New Roman"/>
          <w:vertAlign w:val="superscript"/>
        </w:rPr>
        <w:t>TM</w:t>
      </w:r>
      <w:proofErr w:type="spellEnd"/>
      <w:r w:rsidRPr="008955EA">
        <w:rPr>
          <w:rFonts w:cs="Times New Roman"/>
        </w:rPr>
        <w:t xml:space="preserve"> Transfection System (Invitrogen). Electroporated samples were re-inoculated into 10-cm dishes with ordinary culture medium and were incubated at 37 °C for 48 h. Protein analysis for the prepared cells underwent similar protein analysis protocol as the above described.</w:t>
      </w:r>
    </w:p>
    <w:p w14:paraId="45A7DC7E" w14:textId="77777777" w:rsidR="005E4B55" w:rsidRPr="008955EA" w:rsidRDefault="005E4B55" w:rsidP="005E4B55">
      <w:pPr>
        <w:spacing w:beforeLines="100" w:before="360"/>
        <w:rPr>
          <w:rFonts w:cs="Times New Roman"/>
          <w:b/>
          <w:bCs/>
        </w:rPr>
      </w:pPr>
      <w:r w:rsidRPr="008955EA">
        <w:rPr>
          <w:rFonts w:cs="Times New Roman"/>
          <w:b/>
          <w:bCs/>
        </w:rPr>
        <w:t xml:space="preserve">DNA methylation </w:t>
      </w:r>
      <w:r>
        <w:rPr>
          <w:rFonts w:cs="Times New Roman"/>
          <w:b/>
          <w:bCs/>
        </w:rPr>
        <w:t>profiling</w:t>
      </w:r>
    </w:p>
    <w:p w14:paraId="53C2B147" w14:textId="77777777" w:rsidR="005E4B55" w:rsidRDefault="005E4B55" w:rsidP="005E4B55">
      <w:pPr>
        <w:rPr>
          <w:rFonts w:cs="Times New Roman"/>
          <w:b/>
        </w:rPr>
      </w:pPr>
      <w:r>
        <w:rPr>
          <w:rFonts w:eastAsia="Times New Roman" w:cs="Times New Roman"/>
          <w:shd w:val="clear" w:color="auto" w:fill="FFFFFF"/>
        </w:rPr>
        <w:t>H</w:t>
      </w:r>
      <w:r w:rsidRPr="008955EA">
        <w:rPr>
          <w:rFonts w:eastAsia="Times New Roman" w:cs="Times New Roman"/>
          <w:shd w:val="clear" w:color="auto" w:fill="FFFFFF"/>
        </w:rPr>
        <w:t>CFs of 2.1</w:t>
      </w:r>
      <w:r w:rsidRPr="008955EA">
        <w:rPr>
          <w:rFonts w:eastAsia="Times New Roman" w:cs="Times New Roman"/>
          <w:shd w:val="clear" w:color="auto" w:fill="FFFFFF"/>
        </w:rPr>
        <w:sym w:font="Symbol" w:char="F0B4"/>
      </w:r>
      <w:r w:rsidRPr="008955EA">
        <w:rPr>
          <w:rFonts w:eastAsia="Times New Roman" w:cs="Times New Roman"/>
          <w:shd w:val="clear" w:color="auto" w:fill="FFFFFF"/>
        </w:rPr>
        <w:t>10</w:t>
      </w:r>
      <w:r w:rsidRPr="008955EA">
        <w:rPr>
          <w:rFonts w:eastAsia="Times New Roman" w:cs="Times New Roman"/>
          <w:shd w:val="clear" w:color="auto" w:fill="FFFFFF"/>
          <w:vertAlign w:val="superscript"/>
        </w:rPr>
        <w:t xml:space="preserve">6 </w:t>
      </w:r>
      <w:r w:rsidRPr="008955EA">
        <w:rPr>
          <w:rFonts w:eastAsia="Times New Roman" w:cs="Times New Roman"/>
          <w:shd w:val="clear" w:color="auto" w:fill="FFFFFF"/>
        </w:rPr>
        <w:t>were</w:t>
      </w:r>
      <w:r w:rsidRPr="008955EA">
        <w:rPr>
          <w:rFonts w:cs="Times New Roman"/>
        </w:rPr>
        <w:t xml:space="preserve"> inoculated in a Petri dish with a 60-mm diameter</w:t>
      </w:r>
      <w:r w:rsidRPr="008955EA">
        <w:rPr>
          <w:rFonts w:eastAsia="Times New Roman" w:cs="Times New Roman"/>
          <w:shd w:val="clear" w:color="auto" w:fill="FFFFFF"/>
        </w:rPr>
        <w:t xml:space="preserve"> (Sigma</w:t>
      </w:r>
      <w:r w:rsidRPr="008955EA">
        <w:rPr>
          <w:rFonts w:cs="Times New Roman"/>
          <w:shd w:val="clear" w:color="auto" w:fill="FFFFFF"/>
        </w:rPr>
        <w:t>-Aldrich</w:t>
      </w:r>
      <w:r w:rsidRPr="008955EA">
        <w:rPr>
          <w:rFonts w:eastAsia="Times New Roman" w:cs="Times New Roman"/>
          <w:shd w:val="clear" w:color="auto" w:fill="FFFFFF"/>
        </w:rPr>
        <w:t xml:space="preserve">). They were then treated as for cell behavior assays and cultured in pre- and post-HIIT serum from three of the six HF patients who were used for proteomic analysis. </w:t>
      </w:r>
      <w:r w:rsidRPr="008955EA">
        <w:rPr>
          <w:rFonts w:cs="Times New Roman"/>
        </w:rPr>
        <w:t xml:space="preserve">Genomic DNA was isolated from </w:t>
      </w:r>
      <w:r>
        <w:rPr>
          <w:rFonts w:cs="Times New Roman"/>
        </w:rPr>
        <w:t>H</w:t>
      </w:r>
      <w:r w:rsidRPr="008955EA">
        <w:rPr>
          <w:rFonts w:cs="Times New Roman"/>
        </w:rPr>
        <w:t xml:space="preserve">CFs by the </w:t>
      </w:r>
      <w:proofErr w:type="spellStart"/>
      <w:r w:rsidRPr="008955EA">
        <w:rPr>
          <w:rFonts w:cs="Times New Roman"/>
        </w:rPr>
        <w:t>QIAamp</w:t>
      </w:r>
      <w:proofErr w:type="spellEnd"/>
      <w:r w:rsidRPr="008955EA">
        <w:rPr>
          <w:rFonts w:cs="Times New Roman"/>
        </w:rPr>
        <w:t xml:space="preserve"> DNA Mini Kit (Qiagen). Genomic DNA (800 ng) was treated with sodium bisulfite using the </w:t>
      </w:r>
      <w:proofErr w:type="spellStart"/>
      <w:r w:rsidRPr="008955EA">
        <w:rPr>
          <w:rFonts w:cs="Times New Roman"/>
        </w:rPr>
        <w:t>Zymo</w:t>
      </w:r>
      <w:proofErr w:type="spellEnd"/>
      <w:r w:rsidRPr="008955EA">
        <w:rPr>
          <w:rFonts w:cs="Times New Roman"/>
        </w:rPr>
        <w:t xml:space="preserve"> EZ DNA Methylation Kit™ (</w:t>
      </w:r>
      <w:proofErr w:type="spellStart"/>
      <w:r w:rsidRPr="008955EA">
        <w:rPr>
          <w:rFonts w:cs="Times New Roman"/>
        </w:rPr>
        <w:t>Zymo</w:t>
      </w:r>
      <w:proofErr w:type="spellEnd"/>
      <w:r w:rsidRPr="008955EA">
        <w:rPr>
          <w:rFonts w:cs="Times New Roman"/>
        </w:rPr>
        <w:t xml:space="preserve"> Research, Orange, CA, USA) according to the manufacturer’s procedure. The denatured and neutralized DNA samples were placed in plates overnight for amplification. The prepared DNA samples were then fragmented and precipitated with 100% 2-propanol and PM1 solution provide from Illumina Inc. (San Diego, CA, USA). The precipitates were re</w:t>
      </w:r>
      <w:r>
        <w:rPr>
          <w:rFonts w:cs="Times New Roman"/>
        </w:rPr>
        <w:t>-</w:t>
      </w:r>
      <w:r w:rsidRPr="008955EA">
        <w:rPr>
          <w:rFonts w:cs="Times New Roman"/>
        </w:rPr>
        <w:t xml:space="preserve">suspended, and the gene methylation level was assessed by Infinium </w:t>
      </w:r>
      <w:proofErr w:type="spellStart"/>
      <w:r w:rsidRPr="008955EA">
        <w:rPr>
          <w:rFonts w:cs="Times New Roman"/>
        </w:rPr>
        <w:t>MethylationEPIC</w:t>
      </w:r>
      <w:proofErr w:type="spellEnd"/>
      <w:r w:rsidRPr="008955EA">
        <w:rPr>
          <w:rFonts w:cs="Times New Roman"/>
        </w:rPr>
        <w:t xml:space="preserve"> </w:t>
      </w:r>
      <w:proofErr w:type="spellStart"/>
      <w:r w:rsidRPr="008955EA">
        <w:rPr>
          <w:rFonts w:cs="Times New Roman"/>
        </w:rPr>
        <w:t>BeadChip</w:t>
      </w:r>
      <w:proofErr w:type="spellEnd"/>
      <w:r w:rsidRPr="008955EA">
        <w:rPr>
          <w:rFonts w:cs="Times New Roman"/>
        </w:rPr>
        <w:t xml:space="preserve"> (Illumina Inc., San </w:t>
      </w:r>
      <w:r w:rsidRPr="008955EA">
        <w:rPr>
          <w:rFonts w:cs="Times New Roman"/>
        </w:rPr>
        <w:lastRenderedPageBreak/>
        <w:t>Diego, CA, USA).</w:t>
      </w:r>
      <w:r>
        <w:rPr>
          <w:rFonts w:cs="Times New Roman"/>
        </w:rPr>
        <w:t xml:space="preserve"> </w:t>
      </w:r>
      <w:r w:rsidRPr="008955EA">
        <w:rPr>
          <w:rFonts w:cs="Times New Roman"/>
        </w:rPr>
        <w:t xml:space="preserve">The differences in </w:t>
      </w:r>
      <w:r>
        <w:rPr>
          <w:rFonts w:cs="Times New Roman"/>
        </w:rPr>
        <w:t>gene methylation levels</w:t>
      </w:r>
      <w:r w:rsidRPr="008955EA">
        <w:rPr>
          <w:rFonts w:cs="Times New Roman"/>
        </w:rPr>
        <w:t xml:space="preserve"> in </w:t>
      </w:r>
      <w:r>
        <w:rPr>
          <w:rFonts w:cs="Times New Roman"/>
        </w:rPr>
        <w:t>H</w:t>
      </w:r>
      <w:r w:rsidRPr="008955EA">
        <w:rPr>
          <w:rFonts w:cs="Times New Roman"/>
        </w:rPr>
        <w:t>CFs cultured with serum from patients after-HIIT and before-HIIT</w:t>
      </w:r>
      <w:r>
        <w:rPr>
          <w:rFonts w:cs="Times New Roman"/>
        </w:rPr>
        <w:t xml:space="preserve"> were determined</w:t>
      </w:r>
      <w:r w:rsidRPr="008955EA">
        <w:rPr>
          <w:rFonts w:cs="Times New Roman"/>
        </w:rPr>
        <w:t>.</w:t>
      </w:r>
      <w:r>
        <w:rPr>
          <w:rFonts w:cs="Times New Roman"/>
        </w:rPr>
        <w:t xml:space="preserve"> P</w:t>
      </w:r>
      <w:r w:rsidRPr="008955EA">
        <w:rPr>
          <w:rFonts w:cs="Times New Roman"/>
        </w:rPr>
        <w:t>-value &lt; 0.05 was used for identifying differences in methylated gene expressions.</w:t>
      </w:r>
      <w:r>
        <w:rPr>
          <w:rFonts w:cs="Times New Roman"/>
        </w:rPr>
        <w:t xml:space="preserve"> </w:t>
      </w:r>
    </w:p>
    <w:p w14:paraId="6F17D305" w14:textId="77777777" w:rsidR="005E4B55" w:rsidRPr="008955EA" w:rsidRDefault="005E4B55" w:rsidP="005E4B55">
      <w:pPr>
        <w:spacing w:beforeLines="100" w:before="360"/>
        <w:rPr>
          <w:rFonts w:cs="Times New Roman"/>
          <w:b/>
        </w:rPr>
      </w:pPr>
      <w:r w:rsidRPr="008955EA">
        <w:rPr>
          <w:rFonts w:cs="Times New Roman"/>
          <w:b/>
        </w:rPr>
        <w:t>Bioinformatics analysis</w:t>
      </w:r>
    </w:p>
    <w:p w14:paraId="00076C0B" w14:textId="77777777" w:rsidR="005E4B55" w:rsidRDefault="005E4B55" w:rsidP="005E4B55">
      <w:pPr>
        <w:rPr>
          <w:rFonts w:cs="Times New Roman"/>
        </w:rPr>
      </w:pPr>
      <w:r w:rsidRPr="008955EA">
        <w:rPr>
          <w:rFonts w:cs="Times New Roman"/>
        </w:rPr>
        <w:t xml:space="preserve">For proteins </w:t>
      </w:r>
      <w:r>
        <w:rPr>
          <w:rFonts w:cs="Times New Roman"/>
        </w:rPr>
        <w:t xml:space="preserve">as well as methylated genes </w:t>
      </w:r>
      <w:r w:rsidRPr="008955EA">
        <w:rPr>
          <w:rFonts w:cs="Times New Roman"/>
        </w:rPr>
        <w:t xml:space="preserve">with significant differential expression, protein and gene names, the expression fold changes, and p-values were uploaded for Ingenuity Pathway Analysis (IPA, Qiagen, Hilden, Germany) for core analysis. The results of canonical pathway, diseases, and gene networks were directly exported from IPA for subsequent analysis. </w:t>
      </w:r>
      <w:r>
        <w:rPr>
          <w:rFonts w:cs="Times New Roman"/>
        </w:rPr>
        <w:t>The above findings were also referred to</w:t>
      </w:r>
      <w:r>
        <w:rPr>
          <w:rFonts w:cs="Times New Roman" w:hint="eastAsia"/>
        </w:rPr>
        <w:t xml:space="preserve"> </w:t>
      </w:r>
      <w:r>
        <w:rPr>
          <w:rFonts w:cs="Times New Roman"/>
        </w:rPr>
        <w:t xml:space="preserve">the </w:t>
      </w:r>
      <w:r w:rsidRPr="008E19C1">
        <w:rPr>
          <w:rFonts w:cs="Times New Roman"/>
        </w:rPr>
        <w:t xml:space="preserve">KEGG (Kyoto Encyclopedia of Genes and Genomes) databases </w:t>
      </w:r>
      <w:r>
        <w:rPr>
          <w:rFonts w:cs="Times New Roman"/>
        </w:rPr>
        <w:t xml:space="preserve">for </w:t>
      </w:r>
      <w:r w:rsidRPr="008E19C1">
        <w:rPr>
          <w:rFonts w:cs="Times New Roman"/>
        </w:rPr>
        <w:t xml:space="preserve">dealing with </w:t>
      </w:r>
      <w:r>
        <w:rPr>
          <w:rFonts w:cs="Times New Roman"/>
        </w:rPr>
        <w:t xml:space="preserve">the possible </w:t>
      </w:r>
      <w:r w:rsidRPr="008E19C1">
        <w:rPr>
          <w:rFonts w:cs="Times New Roman"/>
        </w:rPr>
        <w:t>biological pathways</w:t>
      </w:r>
      <w:r>
        <w:rPr>
          <w:rFonts w:cs="Times New Roman"/>
        </w:rPr>
        <w:t xml:space="preserve"> involved in the exercise training</w:t>
      </w:r>
      <w:r w:rsidRPr="008E19C1">
        <w:rPr>
          <w:rFonts w:cs="Times New Roman"/>
        </w:rPr>
        <w:t>.</w:t>
      </w:r>
    </w:p>
    <w:p w14:paraId="4BE9CD2B" w14:textId="2C432271" w:rsidR="00A31823" w:rsidRDefault="00A31823"/>
    <w:p w14:paraId="0EC85EC8" w14:textId="77777777" w:rsidR="005E4B55" w:rsidRPr="00135C19" w:rsidRDefault="005E4B55" w:rsidP="005E4B55">
      <w:pPr>
        <w:pStyle w:val="EndNoteBibliography"/>
        <w:ind w:left="720" w:hanging="720"/>
        <w:rPr>
          <w:b/>
          <w:bCs/>
        </w:rPr>
      </w:pPr>
      <w:r w:rsidRPr="00135C19">
        <w:rPr>
          <w:rFonts w:hint="eastAsia"/>
          <w:b/>
          <w:bCs/>
        </w:rPr>
        <w:t>R</w:t>
      </w:r>
      <w:r w:rsidRPr="00135C19">
        <w:rPr>
          <w:b/>
          <w:bCs/>
        </w:rPr>
        <w:t>eferences</w:t>
      </w:r>
    </w:p>
    <w:p w14:paraId="37E8CCE3" w14:textId="51523457" w:rsidR="005E4B55" w:rsidRPr="008F3623" w:rsidRDefault="005E4B55" w:rsidP="005E4B55">
      <w:pPr>
        <w:pStyle w:val="EndNoteBibliography"/>
        <w:ind w:left="567" w:hanging="567"/>
      </w:pPr>
      <w:r>
        <w:fldChar w:fldCharType="begin"/>
      </w:r>
      <w:r>
        <w:instrText xml:space="preserve"> ADDIN EN.REFLIST </w:instrText>
      </w:r>
      <w:r>
        <w:fldChar w:fldCharType="end"/>
      </w:r>
      <w:r w:rsidRPr="008F3623">
        <w:t>1.</w:t>
      </w:r>
      <w:r w:rsidRPr="008F3623">
        <w:tab/>
      </w:r>
      <w:r w:rsidRPr="00CF01AB">
        <w:rPr>
          <w:noProof/>
        </w:rPr>
        <w:t xml:space="preserve">Lo CM, Buxton DB, Chua GC, Dembo M, Adelstein RS, Wang YL: </w:t>
      </w:r>
      <w:r w:rsidRPr="00CF01AB">
        <w:rPr>
          <w:b/>
          <w:noProof/>
        </w:rPr>
        <w:t>Nonmuscle myosin IIb is involved in the guidance of fibroblast migration.</w:t>
      </w:r>
      <w:r w:rsidRPr="00CF01AB">
        <w:rPr>
          <w:noProof/>
        </w:rPr>
        <w:t xml:space="preserve"> </w:t>
      </w:r>
      <w:r w:rsidRPr="00CF01AB">
        <w:rPr>
          <w:i/>
          <w:noProof/>
        </w:rPr>
        <w:t xml:space="preserve">Mol Biol Cell </w:t>
      </w:r>
      <w:r w:rsidRPr="00CF01AB">
        <w:rPr>
          <w:noProof/>
        </w:rPr>
        <w:t xml:space="preserve">2004, </w:t>
      </w:r>
      <w:r w:rsidRPr="00CF01AB">
        <w:rPr>
          <w:b/>
          <w:noProof/>
        </w:rPr>
        <w:t>15:</w:t>
      </w:r>
      <w:r w:rsidRPr="00CF01AB">
        <w:rPr>
          <w:noProof/>
        </w:rPr>
        <w:t>982-989.</w:t>
      </w:r>
    </w:p>
    <w:p w14:paraId="268D1E19" w14:textId="5D1B039F" w:rsidR="005E4B55" w:rsidRPr="005E4B55" w:rsidRDefault="005E4B55" w:rsidP="005E4B55">
      <w:pPr>
        <w:ind w:left="566" w:hangingChars="236" w:hanging="566"/>
        <w:rPr>
          <w:rFonts w:hint="eastAsia"/>
        </w:rPr>
      </w:pPr>
      <w:r w:rsidRPr="008F3623">
        <w:t>2.</w:t>
      </w:r>
      <w:r w:rsidRPr="008F3623">
        <w:tab/>
      </w:r>
      <w:r w:rsidRPr="00CF01AB">
        <w:rPr>
          <w:noProof/>
        </w:rPr>
        <w:t xml:space="preserve">Pescatello LS, Arena R, Riebe D, Thompson PD: </w:t>
      </w:r>
      <w:r w:rsidRPr="00CF01AB">
        <w:rPr>
          <w:i/>
          <w:noProof/>
        </w:rPr>
        <w:t>ACSM’s guidelines for exercise testing and prescription.</w:t>
      </w:r>
      <w:r w:rsidRPr="00CF01AB">
        <w:rPr>
          <w:noProof/>
        </w:rPr>
        <w:t xml:space="preserve"> 9th edn. Philadelphia, PA.: Wolters Kluwer/Lippincott Williams &amp; Wilkins; 2014.</w:t>
      </w:r>
    </w:p>
    <w:sectPr w:rsidR="005E4B55" w:rsidRPr="005E4B55" w:rsidSect="00D63CA2">
      <w:footerReference w:type="even" r:id="rId6"/>
      <w:footerReference w:type="default" r:id="rId7"/>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627A1" w14:textId="77777777" w:rsidR="00304195" w:rsidRDefault="00304195" w:rsidP="00D31E22">
      <w:r>
        <w:separator/>
      </w:r>
    </w:p>
  </w:endnote>
  <w:endnote w:type="continuationSeparator" w:id="0">
    <w:p w14:paraId="2440E483" w14:textId="77777777" w:rsidR="00304195" w:rsidRDefault="00304195" w:rsidP="00D3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本文 CS 字型)">
    <w:altName w:val="新細明體"/>
    <w:panose1 w:val="020B0604020202020204"/>
    <w:charset w:val="88"/>
    <w:family w:val="roman"/>
    <w:notTrueType/>
    <w:pitch w:val="default"/>
  </w:font>
  <w:font w:name="標楷體">
    <w:altName w:val="微軟正黑體"/>
    <w:panose1 w:val="02010601000101010101"/>
    <w:charset w:val="88"/>
    <w:family w:val="auto"/>
    <w:pitch w:val="variable"/>
    <w:sig w:usb0="00000003" w:usb1="08080000" w:usb2="00000010" w:usb3="00000000" w:csb0="001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702826115"/>
      <w:docPartObj>
        <w:docPartGallery w:val="Page Numbers (Bottom of Page)"/>
        <w:docPartUnique/>
      </w:docPartObj>
    </w:sdtPr>
    <w:sdtContent>
      <w:p w14:paraId="5C16455E" w14:textId="2D6CB560" w:rsidR="00D31E22" w:rsidRDefault="00D31E22" w:rsidP="00105A9D">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14:paraId="70E353E4" w14:textId="77777777" w:rsidR="00D31E22" w:rsidRDefault="00D31E2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308950525"/>
      <w:docPartObj>
        <w:docPartGallery w:val="Page Numbers (Bottom of Page)"/>
        <w:docPartUnique/>
      </w:docPartObj>
    </w:sdtPr>
    <w:sdtContent>
      <w:p w14:paraId="7A63ED09" w14:textId="1EB4ADA1" w:rsidR="00D31E22" w:rsidRDefault="00D31E22" w:rsidP="00105A9D">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635CCE51" w14:textId="77777777" w:rsidR="00D31E22" w:rsidRDefault="00D31E2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BDAC5" w14:textId="77777777" w:rsidR="00304195" w:rsidRDefault="00304195" w:rsidP="00D31E22">
      <w:r>
        <w:separator/>
      </w:r>
    </w:p>
  </w:footnote>
  <w:footnote w:type="continuationSeparator" w:id="0">
    <w:p w14:paraId="13769A17" w14:textId="77777777" w:rsidR="00304195" w:rsidRDefault="00304195" w:rsidP="00D31E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55"/>
    <w:rsid w:val="000062E0"/>
    <w:rsid w:val="000079F2"/>
    <w:rsid w:val="00011383"/>
    <w:rsid w:val="00035992"/>
    <w:rsid w:val="000577D8"/>
    <w:rsid w:val="000A1751"/>
    <w:rsid w:val="000C57CB"/>
    <w:rsid w:val="000D2F8D"/>
    <w:rsid w:val="000D4635"/>
    <w:rsid w:val="000F418D"/>
    <w:rsid w:val="001F4D5E"/>
    <w:rsid w:val="00211D00"/>
    <w:rsid w:val="00240E74"/>
    <w:rsid w:val="00247D6E"/>
    <w:rsid w:val="00273B6F"/>
    <w:rsid w:val="002937DC"/>
    <w:rsid w:val="002C5C76"/>
    <w:rsid w:val="00304195"/>
    <w:rsid w:val="003105D1"/>
    <w:rsid w:val="0033222E"/>
    <w:rsid w:val="00375572"/>
    <w:rsid w:val="003B4103"/>
    <w:rsid w:val="00441648"/>
    <w:rsid w:val="004823E9"/>
    <w:rsid w:val="00487EA1"/>
    <w:rsid w:val="00523C69"/>
    <w:rsid w:val="005A75BE"/>
    <w:rsid w:val="005E4B55"/>
    <w:rsid w:val="00685B99"/>
    <w:rsid w:val="0072659D"/>
    <w:rsid w:val="007371DC"/>
    <w:rsid w:val="007700BE"/>
    <w:rsid w:val="00786A41"/>
    <w:rsid w:val="008518C3"/>
    <w:rsid w:val="00863295"/>
    <w:rsid w:val="00873E9F"/>
    <w:rsid w:val="008842E0"/>
    <w:rsid w:val="008C3FDF"/>
    <w:rsid w:val="008C5303"/>
    <w:rsid w:val="00914E2E"/>
    <w:rsid w:val="00931D6C"/>
    <w:rsid w:val="00950205"/>
    <w:rsid w:val="00955606"/>
    <w:rsid w:val="009B338F"/>
    <w:rsid w:val="009D28EE"/>
    <w:rsid w:val="00A045A4"/>
    <w:rsid w:val="00A16438"/>
    <w:rsid w:val="00A31823"/>
    <w:rsid w:val="00A703C5"/>
    <w:rsid w:val="00A952F1"/>
    <w:rsid w:val="00AA2B78"/>
    <w:rsid w:val="00AA5846"/>
    <w:rsid w:val="00B74BC7"/>
    <w:rsid w:val="00BD0262"/>
    <w:rsid w:val="00BE5BBF"/>
    <w:rsid w:val="00C07C80"/>
    <w:rsid w:val="00C1677F"/>
    <w:rsid w:val="00C80FB0"/>
    <w:rsid w:val="00C96A29"/>
    <w:rsid w:val="00CB3B50"/>
    <w:rsid w:val="00D31E22"/>
    <w:rsid w:val="00D45A83"/>
    <w:rsid w:val="00D468B4"/>
    <w:rsid w:val="00D63CA2"/>
    <w:rsid w:val="00D702D7"/>
    <w:rsid w:val="00DD0FD1"/>
    <w:rsid w:val="00E419B2"/>
    <w:rsid w:val="00EF09B1"/>
    <w:rsid w:val="00FC34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9A083DA"/>
  <w15:chartTrackingRefBased/>
  <w15:docId w15:val="{A295E21A-AD02-224A-8D6D-F9AD5C84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本文 CS 字型)"/>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B55"/>
    <w:pPr>
      <w:widowControl w:val="0"/>
    </w:pPr>
    <w:rPr>
      <w:rFonts w:cs="標楷體"/>
      <w:color w:val="000000" w:themeColor="text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0"/>
    <w:rsid w:val="005E4B55"/>
    <w:rPr>
      <w:rFonts w:cs="Times New Roman"/>
    </w:rPr>
  </w:style>
  <w:style w:type="character" w:customStyle="1" w:styleId="EndNoteBibliography0">
    <w:name w:val="EndNote Bibliography 字元"/>
    <w:basedOn w:val="a0"/>
    <w:link w:val="EndNoteBibliography"/>
    <w:rsid w:val="005E4B55"/>
    <w:rPr>
      <w:rFonts w:cs="Times New Roman"/>
      <w:color w:val="000000" w:themeColor="text1"/>
      <w14:ligatures w14:val="none"/>
    </w:rPr>
  </w:style>
  <w:style w:type="paragraph" w:styleId="a3">
    <w:name w:val="footer"/>
    <w:basedOn w:val="a"/>
    <w:link w:val="a4"/>
    <w:uiPriority w:val="99"/>
    <w:unhideWhenUsed/>
    <w:rsid w:val="00D31E22"/>
    <w:pPr>
      <w:tabs>
        <w:tab w:val="center" w:pos="4153"/>
        <w:tab w:val="right" w:pos="8306"/>
      </w:tabs>
      <w:snapToGrid w:val="0"/>
    </w:pPr>
    <w:rPr>
      <w:sz w:val="20"/>
      <w:szCs w:val="20"/>
    </w:rPr>
  </w:style>
  <w:style w:type="character" w:customStyle="1" w:styleId="a4">
    <w:name w:val="頁尾 字元"/>
    <w:basedOn w:val="a0"/>
    <w:link w:val="a3"/>
    <w:uiPriority w:val="99"/>
    <w:rsid w:val="00D31E22"/>
    <w:rPr>
      <w:rFonts w:cs="標楷體"/>
      <w:color w:val="000000" w:themeColor="text1"/>
      <w:sz w:val="20"/>
      <w:szCs w:val="20"/>
      <w14:ligatures w14:val="none"/>
    </w:rPr>
  </w:style>
  <w:style w:type="character" w:styleId="a5">
    <w:name w:val="page number"/>
    <w:basedOn w:val="a0"/>
    <w:uiPriority w:val="99"/>
    <w:semiHidden/>
    <w:unhideWhenUsed/>
    <w:rsid w:val="00D31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2413</Words>
  <Characters>13755</Characters>
  <Application>Microsoft Office Word</Application>
  <DocSecurity>0</DocSecurity>
  <Lines>114</Lines>
  <Paragraphs>32</Paragraphs>
  <ScaleCrop>false</ScaleCrop>
  <Company>CGU</Company>
  <LinksUpToDate>false</LinksUpToDate>
  <CharactersWithSpaces>16136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許智欽</dc:creator>
  <cp:keywords/>
  <dc:description/>
  <cp:lastModifiedBy>許智欽</cp:lastModifiedBy>
  <cp:revision>2</cp:revision>
  <dcterms:created xsi:type="dcterms:W3CDTF">2022-10-26T12:22:00Z</dcterms:created>
  <dcterms:modified xsi:type="dcterms:W3CDTF">2022-10-26T12:28:00Z</dcterms:modified>
</cp:coreProperties>
</file>