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560" w:rsidRPr="00146FFB" w:rsidRDefault="00035560" w:rsidP="00035560">
      <w:pPr>
        <w:pStyle w:val="Heading2"/>
        <w:rPr>
          <w:lang w:eastAsia="en-GB"/>
        </w:rPr>
      </w:pPr>
      <w:bookmarkStart w:id="0" w:name="_GoBack"/>
      <w:bookmarkEnd w:id="0"/>
      <w:r w:rsidRPr="00C42292">
        <w:t>Appendix</w:t>
      </w:r>
      <w:r w:rsidRPr="00146FFB">
        <w:rPr>
          <w:lang w:eastAsia="en-GB"/>
        </w:rPr>
        <w:t xml:space="preserve"> 1</w:t>
      </w:r>
    </w:p>
    <w:p w:rsidR="00035560" w:rsidRPr="00146FFB" w:rsidRDefault="00035560" w:rsidP="00035560">
      <w:pPr>
        <w:spacing w:line="480" w:lineRule="auto"/>
      </w:pPr>
      <w:r w:rsidRPr="00146FFB">
        <w:t>The four main sources of funding for local authorities are: central government grants; fees and service charges; business rates, a local property tax on businesses; and council tax, a local property tax on households. Central government grants are allocated to each country using the Barnett formula, which allocates funding annually based on the overall change in UK funding, and the population size and level of devolution in the country</w:t>
      </w:r>
      <w:r w:rsidRPr="00146FFB">
        <w:fldChar w:fldCharType="begin"/>
      </w:r>
      <w:r>
        <w:instrText xml:space="preserve"> ADDIN ZOTERO_ITEM CSL_CITATION {"citationID":"a2io95g86fc","properties":{"formattedCitation":"(50,51)","plainCitation":"(50,51)","noteIndex":0},"citationItems":[{"id":273,"uris":["http://zotero.org/users/5779441/items/MTYDPN3M"],"uri":["http://zotero.org/users/5779441/items/MTYDPN3M"],"itemData":{"id":273,"type":"article-journal","abstract":"This briefing looks at how the Barnett formula works and includes a brief summary of the debate surrounding the formula.","language":"en-GB","source":"commonslibrary.parliament.uk","title":"The Barnett formula","URL":"https://commonslibrary.parliament.uk/research-briefings/cbp-7386/","author":[{"family":"Keep","given":"Matthew"}],"accessed":{"date-parts":[["2020",12,16]]},"issued":{"date-parts":[["2020",12,16]]}}},{"id":1166,"uris":["http://zotero.org/users/5779441/items/ZBQBP8Y2"],"uri":["http://zotero.org/users/5779441/items/ZBQBP8Y2"],"itemData":{"id":1166,"type":"book","ISBN":"978-1-911680-07-9","language":"en","note":"OCLC: 1233302413","source":"Open WorldCat","title":"Statement of funding policy: Funding the Scottish Government, Welsh Government and Northern Ireland Executive.","title-short":"Statement of funding policy","URL":"https://www.webarchive.org.uk/access/resolve/20201125132415/https://assets.publishing.service.gov.uk/government/uploads/system/uploads/attachment_data/file/937967/Statement_of_Funding_Policy_2020.pdf","author":[{"literal":"Great Britain"},{"literal":"Treasury"}],"accessed":{"date-parts":[["2021",8,27]]},"issued":{"date-parts":[["2020"]]}}}],"schema":"https://github.com/citation-style-language/schema/raw/master/csl-citation.json"} </w:instrText>
      </w:r>
      <w:r w:rsidRPr="00146FFB">
        <w:fldChar w:fldCharType="separate"/>
      </w:r>
      <w:r w:rsidRPr="00AF21C1">
        <w:rPr>
          <w:rFonts w:ascii="Calibri" w:hAnsi="Calibri" w:cs="Calibri"/>
        </w:rPr>
        <w:t>(50,51)</w:t>
      </w:r>
      <w:r w:rsidRPr="00146FFB">
        <w:fldChar w:fldCharType="end"/>
      </w:r>
      <w:r w:rsidRPr="00146FFB">
        <w:t>. There are some differences in allocation between countries, for example, Wales’ Barnett formula incorporates a needs-based aspect to protect funding from falling below a certain level. This aspect is not present in Scotland’s formula, and Scotland has increasing autonomy over funding, such as greater devolution of tax and spending powers. Across all countries, central government grants account for the largest proportion of local authority funding: 50% in England’s 2018-19 budget</w:t>
      </w:r>
      <w:r w:rsidRPr="00146FFB">
        <w:fldChar w:fldCharType="begin"/>
      </w:r>
      <w:r>
        <w:instrText xml:space="preserve"> ADDIN ZOTERO_ITEM CSL_CITATION {"citationID":"lzY6BixI","properties":{"formattedCitation":"(52)","plainCitation":"(52)","noteIndex":0},"citationItems":[{"id":335,"uris":["http://zotero.org/users/5779441/items/FU7PY9DQ"],"uri":["http://zotero.org/users/5779441/items/FU7PY9DQ"],"itemData":{"id":335,"type":"report","language":"en","page":"19","source":"Zotero","title":"Revenue Expenditure and Financing, 2017-18 Budget","author":[{"family":"Ministry of Housing, Communities &amp; Local Government","given":""}],"issued":{"date-parts":[["2018",6,28]]}}}],"schema":"https://github.com/citation-style-language/schema/raw/master/csl-citation.json"} </w:instrText>
      </w:r>
      <w:r w:rsidRPr="00146FFB">
        <w:fldChar w:fldCharType="separate"/>
      </w:r>
      <w:r w:rsidRPr="00AF21C1">
        <w:rPr>
          <w:rFonts w:ascii="Calibri" w:hAnsi="Calibri" w:cs="Calibri"/>
        </w:rPr>
        <w:t>(52)</w:t>
      </w:r>
      <w:r w:rsidRPr="00146FFB">
        <w:fldChar w:fldCharType="end"/>
      </w:r>
      <w:r w:rsidRPr="00146FFB">
        <w:t>. The amount of grant each council receives is determined by their country’s central government, though all countries employ a similar method of assessing relative needs and resources of councils. This assessment is made using formulas that account for indicators of need, such as local demographics, and indicators of resource, such as the council tax base of the local authority, in comparison with others in the country</w:t>
      </w:r>
      <w:r w:rsidRPr="00146FFB">
        <w:fldChar w:fldCharType="begin"/>
      </w:r>
      <w:r>
        <w:instrText xml:space="preserve"> ADDIN ZOTERO_ITEM CSL_CITATION {"citationID":"AISBbo8T","properties":{"formattedCitation":"(28,29)","plainCitation":"(28,29)","noteIndex":0},"citationItems":[{"id":272,"uris":["http://zotero.org/users/5779441/items/STXNBGW5"],"uri":["http://zotero.org/users/5779441/items/STXNBGW5"],"itemData":{"id":272,"type":"report","abstract":"This briefing provides an overview of how local government in Scotland is funded. This includes detail on how the Scottish Government distributes the local government finance settlement, and detail of locally raised income from Non-Domestic Rates and Council Tax.","language":"en","publisher":"The Scottish Parliament","title":"Local Government finance: the Funding Formula and local taxation income","title-short":"Local Government finance","author":[{"family":"Finnigan","given":"Anouk Berthier","suffix":"Ailsa Burn-Murdoch, Andrew Aiton and Kayleigh"}],"accessed":{"date-parts":[["2020",12,16]]},"issued":{"date-parts":[["2018",11,9]]}}},{"id":271,"uris":["http://zotero.org/users/5779441/items/UQQ8T8G3"],"uri":["http://zotero.org/users/5779441/items/UQQ8T8G3"],"itemData":{"id":271,"type":"report","language":"en","publisher":"Wales Audit Office","source":"Zotero","title":"Guide to Welsh Public Finances","author":[{"family":"Thomas","given":"Huw Vaughan"}],"issued":{"date-parts":[["2018",7]]}}}],"schema":"https://github.com/citation-style-language/schema/raw/master/csl-citation.json"} </w:instrText>
      </w:r>
      <w:r w:rsidRPr="00146FFB">
        <w:fldChar w:fldCharType="separate"/>
      </w:r>
      <w:r w:rsidRPr="00AF21C1">
        <w:rPr>
          <w:rFonts w:ascii="Calibri" w:hAnsi="Calibri" w:cs="Calibri"/>
        </w:rPr>
        <w:t>(28,29)</w:t>
      </w:r>
      <w:r w:rsidRPr="00146FFB">
        <w:fldChar w:fldCharType="end"/>
      </w:r>
      <w:r w:rsidRPr="00146FFB">
        <w:t>.</w:t>
      </w:r>
    </w:p>
    <w:p w:rsidR="00035560" w:rsidRPr="00146FFB" w:rsidRDefault="00035560" w:rsidP="00035560">
      <w:pPr>
        <w:pStyle w:val="NormalWeb"/>
        <w:shd w:val="clear" w:color="auto" w:fill="FFFFFF"/>
        <w:spacing w:before="0" w:beforeAutospacing="0" w:after="150" w:afterAutospacing="0" w:line="360" w:lineRule="auto"/>
      </w:pPr>
    </w:p>
    <w:p w:rsidR="00035560" w:rsidRPr="00146FFB" w:rsidRDefault="00035560" w:rsidP="00035560">
      <w:pPr>
        <w:pStyle w:val="Heading2"/>
      </w:pPr>
      <w:r w:rsidRPr="00C42292">
        <w:t>Appendix</w:t>
      </w:r>
      <w:r w:rsidRPr="00146FFB">
        <w:t xml:space="preserve"> 2</w:t>
      </w:r>
    </w:p>
    <w:p w:rsidR="00035560" w:rsidRPr="00146FFB" w:rsidRDefault="00035560" w:rsidP="00035560">
      <w:pPr>
        <w:spacing w:line="480" w:lineRule="auto"/>
      </w:pPr>
      <w:r w:rsidRPr="00146FFB">
        <w:t>For England, data on CEP services spending of individual LAs were compiled using the General Fund Revenue Account Outturn - Revenue Outturn Service Expenditure Summary (RSX) tables, published annually by the UK Department for Communities and Local Government.</w:t>
      </w:r>
    </w:p>
    <w:p w:rsidR="00035560" w:rsidRPr="00146FFB" w:rsidRDefault="00035560" w:rsidP="00035560">
      <w:pPr>
        <w:spacing w:line="480" w:lineRule="auto"/>
      </w:pPr>
      <w:r w:rsidRPr="00146FFB">
        <w:t xml:space="preserve">To provide a consistent time series of allocations of service expenditure across LAs, figures from all the different types of LAs were mapped to lower-tier LAs. Local government structure in some areas of England is hierarchical, with two main tiers of local government, upper and lower, that are geographically nested. In addition, there are several other types of LAs, such as police, transport and </w:t>
      </w:r>
      <w:r w:rsidRPr="00146FFB">
        <w:lastRenderedPageBreak/>
        <w:t xml:space="preserve">combined authorities, each with its own area and domain of activity. The allocation of funds within these is similarly reported at multiple levels. </w:t>
      </w:r>
    </w:p>
    <w:p w:rsidR="00035560" w:rsidRPr="00146FFB" w:rsidRDefault="00035560" w:rsidP="00035560">
      <w:pPr>
        <w:spacing w:line="480" w:lineRule="auto"/>
      </w:pPr>
      <w:r w:rsidRPr="00146FFB">
        <w:t>In order to make comparisons possible, all figures from upper-tier authorities (i.e. County Councils) were disaggregated to lower-tier level (i.e. Shire Districts) using look-up tables provided by the Office for National Statistics (ONS). Where local government organisations spanned more than one upper-tier LA, we apportioned the total allocation to each LA based on their annual population estimates, as provided by ONS. In particular, these LA types are:</w:t>
      </w:r>
    </w:p>
    <w:p w:rsidR="00035560" w:rsidRPr="00146FFB" w:rsidRDefault="00035560" w:rsidP="00035560">
      <w:pPr>
        <w:pStyle w:val="ListParagraph"/>
        <w:numPr>
          <w:ilvl w:val="0"/>
          <w:numId w:val="1"/>
        </w:numPr>
        <w:spacing w:line="480" w:lineRule="auto"/>
      </w:pPr>
      <w:r w:rsidRPr="00146FFB">
        <w:t>The Greater London Authority</w:t>
      </w:r>
    </w:p>
    <w:p w:rsidR="00035560" w:rsidRPr="00146FFB" w:rsidRDefault="00035560" w:rsidP="00035560">
      <w:pPr>
        <w:pStyle w:val="ListParagraph"/>
        <w:numPr>
          <w:ilvl w:val="0"/>
          <w:numId w:val="1"/>
        </w:numPr>
        <w:spacing w:line="480" w:lineRule="auto"/>
      </w:pPr>
      <w:r w:rsidRPr="00146FFB">
        <w:t>Combined Authorities</w:t>
      </w:r>
    </w:p>
    <w:p w:rsidR="00035560" w:rsidRPr="00146FFB" w:rsidRDefault="00035560" w:rsidP="00035560">
      <w:pPr>
        <w:pStyle w:val="ListParagraph"/>
        <w:numPr>
          <w:ilvl w:val="0"/>
          <w:numId w:val="1"/>
        </w:numPr>
        <w:spacing w:line="480" w:lineRule="auto"/>
      </w:pPr>
      <w:r w:rsidRPr="00146FFB">
        <w:t>Police and Crime Commissioner and Chief Constable Authorities</w:t>
      </w:r>
    </w:p>
    <w:p w:rsidR="00035560" w:rsidRPr="00146FFB" w:rsidRDefault="00035560" w:rsidP="00035560">
      <w:pPr>
        <w:pStyle w:val="ListParagraph"/>
        <w:numPr>
          <w:ilvl w:val="0"/>
          <w:numId w:val="1"/>
        </w:numPr>
        <w:spacing w:line="480" w:lineRule="auto"/>
      </w:pPr>
      <w:r w:rsidRPr="00146FFB">
        <w:t>Fire and Rescue Authorities</w:t>
      </w:r>
    </w:p>
    <w:p w:rsidR="00035560" w:rsidRPr="00146FFB" w:rsidRDefault="00035560" w:rsidP="00035560">
      <w:pPr>
        <w:pStyle w:val="ListParagraph"/>
        <w:numPr>
          <w:ilvl w:val="0"/>
          <w:numId w:val="1"/>
        </w:numPr>
        <w:spacing w:line="480" w:lineRule="auto"/>
      </w:pPr>
      <w:r w:rsidRPr="00146FFB">
        <w:t>Waste Authorities</w:t>
      </w:r>
    </w:p>
    <w:p w:rsidR="00035560" w:rsidRPr="00146FFB" w:rsidRDefault="00035560" w:rsidP="00035560">
      <w:pPr>
        <w:pStyle w:val="ListParagraph"/>
        <w:numPr>
          <w:ilvl w:val="0"/>
          <w:numId w:val="1"/>
        </w:numPr>
        <w:spacing w:line="480" w:lineRule="auto"/>
      </w:pPr>
      <w:r w:rsidRPr="00146FFB">
        <w:t>Transport Authorities</w:t>
      </w:r>
    </w:p>
    <w:p w:rsidR="00035560" w:rsidRPr="00146FFB" w:rsidRDefault="00035560" w:rsidP="00035560">
      <w:pPr>
        <w:spacing w:line="480" w:lineRule="auto"/>
      </w:pPr>
      <w:r w:rsidRPr="00146FFB">
        <w:t xml:space="preserve">All income figures for the above types of authorities have been included in our calculations and compiled into annual figures, with the exception of Park Authorities; however, these are a small number of authorities with relatively low levels of funding and spending. </w:t>
      </w:r>
    </w:p>
    <w:p w:rsidR="00035560" w:rsidRPr="00146FFB" w:rsidRDefault="00035560" w:rsidP="00035560">
      <w:pPr>
        <w:spacing w:line="480" w:lineRule="auto"/>
      </w:pPr>
      <w:r w:rsidRPr="00146FFB">
        <w:t xml:space="preserve">For Wales, data on CEP services spending of individual LAs were compiled using the Revenue Outturn Expenditure tables, published annually by the Welsh Government </w:t>
      </w:r>
      <w:proofErr w:type="spellStart"/>
      <w:r w:rsidRPr="00146FFB">
        <w:t>StatsWales</w:t>
      </w:r>
      <w:proofErr w:type="spellEnd"/>
      <w:r w:rsidRPr="00146FFB">
        <w:t>. Data on service income is not published. All local authorities in Wales are unitary, and their geography has remained consistent over the time period considered.</w:t>
      </w:r>
    </w:p>
    <w:p w:rsidR="00035560" w:rsidRPr="00146FFB" w:rsidRDefault="00035560" w:rsidP="00035560">
      <w:pPr>
        <w:spacing w:line="480" w:lineRule="auto"/>
      </w:pPr>
      <w:r w:rsidRPr="00146FFB">
        <w:t>For Scotland, data on CEP services spending and income of individual LAs were compiled using the Scottish Local Government Finance Statistics tables, published annually by the Scottish Government’s Local Government and Communities Directorate. All local authorities in Scotland are unitary, and their geography has remained consistent over the time period considered.</w:t>
      </w:r>
    </w:p>
    <w:p w:rsidR="00035560" w:rsidRPr="00146FFB" w:rsidRDefault="00035560" w:rsidP="00035560">
      <w:pPr>
        <w:spacing w:line="480" w:lineRule="auto"/>
        <w:rPr>
          <w:lang w:eastAsia="en-GB"/>
        </w:rPr>
      </w:pPr>
      <w:r w:rsidRPr="00146FFB">
        <w:lastRenderedPageBreak/>
        <w:t>Across all countries, figures are given on the basis of financial years, i.e., from April 1st to March 31st, and for the analysis of annual trends, the first calendar year was used as reference.</w:t>
      </w:r>
    </w:p>
    <w:p w:rsidR="00035560" w:rsidRPr="00146FFB" w:rsidRDefault="00035560" w:rsidP="00035560">
      <w:pPr>
        <w:rPr>
          <w:rFonts w:ascii="Times New Roman" w:eastAsiaTheme="majorEastAsia" w:hAnsi="Times New Roman" w:cs="Times New Roman"/>
          <w:color w:val="2F5496" w:themeColor="accent1" w:themeShade="BF"/>
          <w:sz w:val="24"/>
          <w:szCs w:val="26"/>
          <w:lang w:eastAsia="en-GB"/>
        </w:rPr>
      </w:pPr>
      <w:r w:rsidRPr="00146FFB">
        <w:rPr>
          <w:rFonts w:ascii="Times New Roman" w:hAnsi="Times New Roman" w:cs="Times New Roman"/>
          <w:lang w:eastAsia="en-GB"/>
        </w:rPr>
        <w:br w:type="page"/>
      </w:r>
    </w:p>
    <w:p w:rsidR="00035560" w:rsidRPr="00146FFB" w:rsidRDefault="00035560" w:rsidP="00035560">
      <w:pPr>
        <w:pStyle w:val="Heading2"/>
        <w:rPr>
          <w:lang w:eastAsia="en-GB"/>
        </w:rPr>
      </w:pPr>
      <w:r w:rsidRPr="00C42292">
        <w:lastRenderedPageBreak/>
        <w:t>Appendix</w:t>
      </w:r>
      <w:r w:rsidRPr="00146FFB">
        <w:rPr>
          <w:lang w:eastAsia="en-GB"/>
        </w:rPr>
        <w:t xml:space="preserve"> 3</w:t>
      </w:r>
    </w:p>
    <w:p w:rsidR="00035560" w:rsidRPr="00146FFB" w:rsidRDefault="00035560" w:rsidP="00035560">
      <w:pPr>
        <w:rPr>
          <w:lang w:eastAsia="en-GB"/>
        </w:rPr>
      </w:pPr>
      <w:r w:rsidRPr="00146FFB">
        <w:rPr>
          <w:lang w:eastAsia="en-GB"/>
        </w:rPr>
        <w:t>Proportion of gross CEP expenditure spent on individual service lines, in England, Scotland and Wales in 2009 and 2018.</w:t>
      </w:r>
    </w:p>
    <w:p w:rsidR="00035560" w:rsidRDefault="00035560" w:rsidP="00035560">
      <w:pPr>
        <w:rPr>
          <w:rFonts w:asciiTheme="majorHAnsi" w:eastAsiaTheme="majorEastAsia" w:hAnsiTheme="majorHAnsi" w:cstheme="majorBidi"/>
          <w:color w:val="2F5496" w:themeColor="accent1" w:themeShade="BF"/>
          <w:sz w:val="26"/>
          <w:szCs w:val="26"/>
        </w:rPr>
      </w:pPr>
      <w:r w:rsidRPr="00146FFB">
        <w:rPr>
          <w:rFonts w:ascii="Times New Roman" w:hAnsi="Times New Roman" w:cs="Times New Roman"/>
          <w:noProof/>
          <w:lang w:eastAsia="en-GB"/>
        </w:rPr>
        <w:drawing>
          <wp:inline distT="0" distB="0" distL="0" distR="0" wp14:anchorId="72FD7769" wp14:editId="00DAFB79">
            <wp:extent cx="5454650" cy="3282950"/>
            <wp:effectExtent l="0" t="0" r="0" b="0"/>
            <wp:docPr id="4" name="Picture 4" descr="Viewer 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106BC6.tmp"/>
                    <pic:cNvPicPr/>
                  </pic:nvPicPr>
                  <pic:blipFill rotWithShape="1">
                    <a:blip r:embed="rId5" cstate="print">
                      <a:extLst>
                        <a:ext uri="{28A0092B-C50C-407E-A947-70E740481C1C}">
                          <a14:useLocalDpi xmlns:a14="http://schemas.microsoft.com/office/drawing/2010/main" val="0"/>
                        </a:ext>
                      </a:extLst>
                    </a:blip>
                    <a:srcRect l="1883" t="9197" r="2947" b="7390"/>
                    <a:stretch/>
                  </pic:blipFill>
                  <pic:spPr bwMode="auto">
                    <a:xfrm>
                      <a:off x="0" y="0"/>
                      <a:ext cx="5454650" cy="3282950"/>
                    </a:xfrm>
                    <a:prstGeom prst="rect">
                      <a:avLst/>
                    </a:prstGeom>
                    <a:ln>
                      <a:noFill/>
                    </a:ln>
                    <a:extLst>
                      <a:ext uri="{53640926-AAD7-44D8-BBD7-CCE9431645EC}">
                        <a14:shadowObscured xmlns:a14="http://schemas.microsoft.com/office/drawing/2010/main"/>
                      </a:ext>
                    </a:extLst>
                  </pic:spPr>
                </pic:pic>
              </a:graphicData>
            </a:graphic>
          </wp:inline>
        </w:drawing>
      </w:r>
      <w:r>
        <w:br w:type="page"/>
      </w:r>
    </w:p>
    <w:p w:rsidR="00035560" w:rsidRPr="00146FFB" w:rsidRDefault="00035560" w:rsidP="00035560">
      <w:pPr>
        <w:pStyle w:val="Heading2"/>
      </w:pPr>
      <w:r w:rsidRPr="00146FFB">
        <w:lastRenderedPageBreak/>
        <w:t>Appendix 4</w:t>
      </w:r>
    </w:p>
    <w:p w:rsidR="00035560" w:rsidRPr="00146FFB" w:rsidRDefault="00035560" w:rsidP="00035560">
      <w:r w:rsidRPr="00146FFB">
        <w:t>Income per capita generated from provision of CEP services between 2009 and 2018, stratified by deprivation quintile in England and Scotland.</w:t>
      </w:r>
    </w:p>
    <w:p w:rsidR="00035560" w:rsidRPr="00146FFB" w:rsidRDefault="00035560" w:rsidP="00035560">
      <w:pPr>
        <w:rPr>
          <w:rFonts w:ascii="Times New Roman" w:hAnsi="Times New Roman" w:cs="Times New Roman"/>
        </w:rPr>
      </w:pPr>
      <w:r w:rsidRPr="00146FFB">
        <w:rPr>
          <w:rFonts w:ascii="Times New Roman" w:hAnsi="Times New Roman" w:cs="Times New Roman"/>
          <w:noProof/>
          <w:lang w:eastAsia="en-GB"/>
        </w:rPr>
        <w:drawing>
          <wp:inline distT="0" distB="0" distL="0" distR="0" wp14:anchorId="6BEDFC0A" wp14:editId="23EAF67C">
            <wp:extent cx="6527035" cy="2918129"/>
            <wp:effectExtent l="0" t="0" r="7620" b="0"/>
            <wp:docPr id="13" name="Picture 13" descr="Viewer 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347191.tmp"/>
                    <pic:cNvPicPr/>
                  </pic:nvPicPr>
                  <pic:blipFill rotWithShape="1">
                    <a:blip r:embed="rId6" cstate="print">
                      <a:extLst>
                        <a:ext uri="{28A0092B-C50C-407E-A947-70E740481C1C}">
                          <a14:useLocalDpi xmlns:a14="http://schemas.microsoft.com/office/drawing/2010/main" val="0"/>
                        </a:ext>
                      </a:extLst>
                    </a:blip>
                    <a:srcRect l="1388" t="8711" r="1779" b="3596"/>
                    <a:stretch/>
                  </pic:blipFill>
                  <pic:spPr bwMode="auto">
                    <a:xfrm>
                      <a:off x="0" y="0"/>
                      <a:ext cx="6555804" cy="2930991"/>
                    </a:xfrm>
                    <a:prstGeom prst="rect">
                      <a:avLst/>
                    </a:prstGeom>
                    <a:ln>
                      <a:noFill/>
                    </a:ln>
                    <a:extLst>
                      <a:ext uri="{53640926-AAD7-44D8-BBD7-CCE9431645EC}">
                        <a14:shadowObscured xmlns:a14="http://schemas.microsoft.com/office/drawing/2010/main"/>
                      </a:ext>
                    </a:extLst>
                  </pic:spPr>
                </pic:pic>
              </a:graphicData>
            </a:graphic>
          </wp:inline>
        </w:drawing>
      </w:r>
    </w:p>
    <w:p w:rsidR="00035560" w:rsidRPr="00146FFB" w:rsidRDefault="00035560" w:rsidP="00035560">
      <w:pPr>
        <w:pStyle w:val="Heading2"/>
        <w:rPr>
          <w:lang w:eastAsia="en-GB"/>
        </w:rPr>
      </w:pPr>
      <w:r w:rsidRPr="00C42292">
        <w:t>Appendix</w:t>
      </w:r>
      <w:r w:rsidRPr="00146FFB">
        <w:rPr>
          <w:lang w:eastAsia="en-GB"/>
        </w:rPr>
        <w:t xml:space="preserve"> 5</w:t>
      </w:r>
    </w:p>
    <w:p w:rsidR="00035560" w:rsidRPr="00146FFB" w:rsidRDefault="00035560" w:rsidP="00035560">
      <w:pPr>
        <w:rPr>
          <w:b/>
          <w:lang w:eastAsia="en-GB"/>
        </w:rPr>
      </w:pPr>
      <w:r w:rsidRPr="00146FFB">
        <w:rPr>
          <w:lang w:eastAsia="en-GB"/>
        </w:rPr>
        <w:t>Results of Chi-square tests of three-way interactions in generalised estimating equations, comparing nested models.</w:t>
      </w:r>
    </w:p>
    <w:tbl>
      <w:tblPr>
        <w:tblStyle w:val="PlainTable1"/>
        <w:tblW w:w="0" w:type="auto"/>
        <w:tblLook w:val="04A0" w:firstRow="1" w:lastRow="0" w:firstColumn="1" w:lastColumn="0" w:noHBand="0" w:noVBand="1"/>
      </w:tblPr>
      <w:tblGrid>
        <w:gridCol w:w="4508"/>
        <w:gridCol w:w="4508"/>
      </w:tblGrid>
      <w:tr w:rsidR="00035560" w:rsidRPr="00146FFB" w:rsidTr="004178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35560" w:rsidRPr="00146FFB" w:rsidRDefault="00035560" w:rsidP="0041780B">
            <w:pPr>
              <w:spacing w:before="0" w:after="0" w:line="276" w:lineRule="auto"/>
              <w:rPr>
                <w:lang w:eastAsia="en-GB"/>
              </w:rPr>
            </w:pPr>
            <w:r w:rsidRPr="00146FFB">
              <w:rPr>
                <w:lang w:eastAsia="en-GB"/>
              </w:rPr>
              <w:t>Model</w:t>
            </w:r>
          </w:p>
        </w:tc>
        <w:tc>
          <w:tcPr>
            <w:tcW w:w="4508" w:type="dxa"/>
          </w:tcPr>
          <w:p w:rsidR="00035560" w:rsidRPr="00146FFB" w:rsidRDefault="00035560" w:rsidP="0041780B">
            <w:pPr>
              <w:spacing w:before="0" w:after="0" w:line="276" w:lineRule="auto"/>
              <w:cnfStyle w:val="100000000000" w:firstRow="1" w:lastRow="0" w:firstColumn="0" w:lastColumn="0" w:oddVBand="0" w:evenVBand="0" w:oddHBand="0" w:evenHBand="0" w:firstRowFirstColumn="0" w:firstRowLastColumn="0" w:lastRowFirstColumn="0" w:lastRowLastColumn="0"/>
              <w:rPr>
                <w:lang w:eastAsia="en-GB"/>
              </w:rPr>
            </w:pPr>
            <w:r w:rsidRPr="00146FFB">
              <w:rPr>
                <w:lang w:eastAsia="en-GB"/>
              </w:rPr>
              <w:t>P-value</w:t>
            </w:r>
          </w:p>
        </w:tc>
      </w:tr>
      <w:tr w:rsidR="00035560" w:rsidRPr="00146FFB" w:rsidTr="004178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35560" w:rsidRPr="00146FFB" w:rsidRDefault="00035560" w:rsidP="0041780B">
            <w:pPr>
              <w:spacing w:before="0" w:after="0" w:line="276" w:lineRule="auto"/>
              <w:rPr>
                <w:lang w:eastAsia="en-GB"/>
              </w:rPr>
            </w:pPr>
            <w:r w:rsidRPr="00146FFB">
              <w:rPr>
                <w:lang w:eastAsia="en-GB"/>
              </w:rPr>
              <w:t>Per capita</w:t>
            </w:r>
          </w:p>
        </w:tc>
        <w:tc>
          <w:tcPr>
            <w:tcW w:w="4508" w:type="dxa"/>
          </w:tcPr>
          <w:p w:rsidR="00035560" w:rsidRPr="00146FFB" w:rsidRDefault="00035560" w:rsidP="0041780B">
            <w:pPr>
              <w:spacing w:before="0" w:after="0" w:line="276" w:lineRule="auto"/>
              <w:cnfStyle w:val="000000100000" w:firstRow="0" w:lastRow="0" w:firstColumn="0" w:lastColumn="0" w:oddVBand="0" w:evenVBand="0" w:oddHBand="1" w:evenHBand="0" w:firstRowFirstColumn="0" w:firstRowLastColumn="0" w:lastRowFirstColumn="0" w:lastRowLastColumn="0"/>
              <w:rPr>
                <w:lang w:eastAsia="en-GB"/>
              </w:rPr>
            </w:pPr>
          </w:p>
        </w:tc>
      </w:tr>
      <w:tr w:rsidR="00035560" w:rsidRPr="00146FFB" w:rsidTr="0041780B">
        <w:tc>
          <w:tcPr>
            <w:cnfStyle w:val="001000000000" w:firstRow="0" w:lastRow="0" w:firstColumn="1" w:lastColumn="0" w:oddVBand="0" w:evenVBand="0" w:oddHBand="0" w:evenHBand="0" w:firstRowFirstColumn="0" w:firstRowLastColumn="0" w:lastRowFirstColumn="0" w:lastRowLastColumn="0"/>
            <w:tcW w:w="4508" w:type="dxa"/>
          </w:tcPr>
          <w:p w:rsidR="00035560" w:rsidRPr="00146FFB" w:rsidRDefault="00035560" w:rsidP="0041780B">
            <w:pPr>
              <w:spacing w:before="0" w:after="0" w:line="276" w:lineRule="auto"/>
              <w:rPr>
                <w:b w:val="0"/>
                <w:lang w:eastAsia="en-GB"/>
              </w:rPr>
            </w:pPr>
            <w:r w:rsidRPr="00146FFB">
              <w:rPr>
                <w:b w:val="0"/>
                <w:lang w:eastAsia="en-GB"/>
              </w:rPr>
              <w:t>Including interaction of year, country and deprivation</w:t>
            </w:r>
          </w:p>
        </w:tc>
        <w:tc>
          <w:tcPr>
            <w:tcW w:w="4508" w:type="dxa"/>
          </w:tcPr>
          <w:p w:rsidR="00035560" w:rsidRPr="00146FFB" w:rsidRDefault="00035560" w:rsidP="0041780B">
            <w:pPr>
              <w:spacing w:before="0" w:after="0" w:line="276" w:lineRule="auto"/>
              <w:cnfStyle w:val="000000000000" w:firstRow="0" w:lastRow="0" w:firstColumn="0" w:lastColumn="0" w:oddVBand="0" w:evenVBand="0" w:oddHBand="0" w:evenHBand="0" w:firstRowFirstColumn="0" w:firstRowLastColumn="0" w:lastRowFirstColumn="0" w:lastRowLastColumn="0"/>
              <w:rPr>
                <w:lang w:eastAsia="en-GB"/>
              </w:rPr>
            </w:pPr>
            <w:r w:rsidRPr="00146FFB">
              <w:rPr>
                <w:lang w:eastAsia="en-GB"/>
              </w:rPr>
              <w:t>&lt;.001</w:t>
            </w:r>
          </w:p>
        </w:tc>
      </w:tr>
      <w:tr w:rsidR="00035560" w:rsidRPr="00146FFB" w:rsidTr="004178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35560" w:rsidRPr="00146FFB" w:rsidRDefault="00035560" w:rsidP="0041780B">
            <w:pPr>
              <w:spacing w:before="0" w:after="0" w:line="276" w:lineRule="auto"/>
              <w:rPr>
                <w:b w:val="0"/>
                <w:lang w:eastAsia="en-GB"/>
              </w:rPr>
            </w:pPr>
            <w:r w:rsidRPr="00146FFB">
              <w:rPr>
                <w:b w:val="0"/>
                <w:lang w:eastAsia="en-GB"/>
              </w:rPr>
              <w:t>Including interaction of year, country and rurality</w:t>
            </w:r>
          </w:p>
        </w:tc>
        <w:tc>
          <w:tcPr>
            <w:tcW w:w="4508" w:type="dxa"/>
          </w:tcPr>
          <w:p w:rsidR="00035560" w:rsidRPr="00146FFB" w:rsidRDefault="00035560" w:rsidP="0041780B">
            <w:pPr>
              <w:spacing w:before="0" w:after="0" w:line="276" w:lineRule="auto"/>
              <w:cnfStyle w:val="000000100000" w:firstRow="0" w:lastRow="0" w:firstColumn="0" w:lastColumn="0" w:oddVBand="0" w:evenVBand="0" w:oddHBand="1" w:evenHBand="0" w:firstRowFirstColumn="0" w:firstRowLastColumn="0" w:lastRowFirstColumn="0" w:lastRowLastColumn="0"/>
              <w:rPr>
                <w:lang w:eastAsia="en-GB"/>
              </w:rPr>
            </w:pPr>
            <w:r w:rsidRPr="00146FFB">
              <w:rPr>
                <w:lang w:eastAsia="en-GB"/>
              </w:rPr>
              <w:t>&lt;.001</w:t>
            </w:r>
          </w:p>
        </w:tc>
      </w:tr>
      <w:tr w:rsidR="00035560" w:rsidRPr="00146FFB" w:rsidTr="0041780B">
        <w:tc>
          <w:tcPr>
            <w:cnfStyle w:val="001000000000" w:firstRow="0" w:lastRow="0" w:firstColumn="1" w:lastColumn="0" w:oddVBand="0" w:evenVBand="0" w:oddHBand="0" w:evenHBand="0" w:firstRowFirstColumn="0" w:firstRowLastColumn="0" w:lastRowFirstColumn="0" w:lastRowLastColumn="0"/>
            <w:tcW w:w="4508" w:type="dxa"/>
          </w:tcPr>
          <w:p w:rsidR="00035560" w:rsidRPr="00146FFB" w:rsidRDefault="00035560" w:rsidP="0041780B">
            <w:pPr>
              <w:spacing w:before="0" w:after="0" w:line="276" w:lineRule="auto"/>
              <w:rPr>
                <w:lang w:eastAsia="en-GB"/>
              </w:rPr>
            </w:pPr>
            <w:r w:rsidRPr="00146FFB">
              <w:rPr>
                <w:lang w:eastAsia="en-GB"/>
              </w:rPr>
              <w:t>Share</w:t>
            </w:r>
          </w:p>
        </w:tc>
        <w:tc>
          <w:tcPr>
            <w:tcW w:w="4508" w:type="dxa"/>
          </w:tcPr>
          <w:p w:rsidR="00035560" w:rsidRPr="00146FFB" w:rsidRDefault="00035560" w:rsidP="0041780B">
            <w:pPr>
              <w:spacing w:before="0" w:after="0" w:line="276" w:lineRule="auto"/>
              <w:cnfStyle w:val="000000000000" w:firstRow="0" w:lastRow="0" w:firstColumn="0" w:lastColumn="0" w:oddVBand="0" w:evenVBand="0" w:oddHBand="0" w:evenHBand="0" w:firstRowFirstColumn="0" w:firstRowLastColumn="0" w:lastRowFirstColumn="0" w:lastRowLastColumn="0"/>
              <w:rPr>
                <w:lang w:eastAsia="en-GB"/>
              </w:rPr>
            </w:pPr>
          </w:p>
        </w:tc>
      </w:tr>
      <w:tr w:rsidR="00035560" w:rsidRPr="00146FFB" w:rsidTr="004178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35560" w:rsidRPr="00146FFB" w:rsidRDefault="00035560" w:rsidP="0041780B">
            <w:pPr>
              <w:spacing w:before="0" w:after="0" w:line="276" w:lineRule="auto"/>
              <w:rPr>
                <w:b w:val="0"/>
                <w:lang w:eastAsia="en-GB"/>
              </w:rPr>
            </w:pPr>
            <w:r w:rsidRPr="00146FFB">
              <w:rPr>
                <w:b w:val="0"/>
                <w:lang w:eastAsia="en-GB"/>
              </w:rPr>
              <w:t>Including interaction of year, country and deprivation</w:t>
            </w:r>
          </w:p>
        </w:tc>
        <w:tc>
          <w:tcPr>
            <w:tcW w:w="4508" w:type="dxa"/>
          </w:tcPr>
          <w:p w:rsidR="00035560" w:rsidRPr="00146FFB" w:rsidRDefault="00035560" w:rsidP="0041780B">
            <w:pPr>
              <w:spacing w:before="0" w:after="0" w:line="276" w:lineRule="auto"/>
              <w:cnfStyle w:val="000000100000" w:firstRow="0" w:lastRow="0" w:firstColumn="0" w:lastColumn="0" w:oddVBand="0" w:evenVBand="0" w:oddHBand="1" w:evenHBand="0" w:firstRowFirstColumn="0" w:firstRowLastColumn="0" w:lastRowFirstColumn="0" w:lastRowLastColumn="0"/>
              <w:rPr>
                <w:lang w:eastAsia="en-GB"/>
              </w:rPr>
            </w:pPr>
            <w:r w:rsidRPr="00146FFB">
              <w:rPr>
                <w:lang w:eastAsia="en-GB"/>
              </w:rPr>
              <w:t>&lt;.001</w:t>
            </w:r>
          </w:p>
        </w:tc>
      </w:tr>
      <w:tr w:rsidR="00035560" w:rsidRPr="00146FFB" w:rsidTr="0041780B">
        <w:tc>
          <w:tcPr>
            <w:cnfStyle w:val="001000000000" w:firstRow="0" w:lastRow="0" w:firstColumn="1" w:lastColumn="0" w:oddVBand="0" w:evenVBand="0" w:oddHBand="0" w:evenHBand="0" w:firstRowFirstColumn="0" w:firstRowLastColumn="0" w:lastRowFirstColumn="0" w:lastRowLastColumn="0"/>
            <w:tcW w:w="4508" w:type="dxa"/>
          </w:tcPr>
          <w:p w:rsidR="00035560" w:rsidRPr="00146FFB" w:rsidRDefault="00035560" w:rsidP="0041780B">
            <w:pPr>
              <w:spacing w:before="0" w:after="0" w:line="276" w:lineRule="auto"/>
              <w:rPr>
                <w:b w:val="0"/>
                <w:lang w:eastAsia="en-GB"/>
              </w:rPr>
            </w:pPr>
            <w:r w:rsidRPr="00146FFB">
              <w:rPr>
                <w:b w:val="0"/>
                <w:lang w:eastAsia="en-GB"/>
              </w:rPr>
              <w:t>Including interaction of year, country and rurality</w:t>
            </w:r>
          </w:p>
        </w:tc>
        <w:tc>
          <w:tcPr>
            <w:tcW w:w="4508" w:type="dxa"/>
          </w:tcPr>
          <w:p w:rsidR="00035560" w:rsidRPr="00146FFB" w:rsidRDefault="00035560" w:rsidP="0041780B">
            <w:pPr>
              <w:spacing w:before="0" w:after="0" w:line="276" w:lineRule="auto"/>
              <w:cnfStyle w:val="000000000000" w:firstRow="0" w:lastRow="0" w:firstColumn="0" w:lastColumn="0" w:oddVBand="0" w:evenVBand="0" w:oddHBand="0" w:evenHBand="0" w:firstRowFirstColumn="0" w:firstRowLastColumn="0" w:lastRowFirstColumn="0" w:lastRowLastColumn="0"/>
              <w:rPr>
                <w:lang w:eastAsia="en-GB"/>
              </w:rPr>
            </w:pPr>
            <w:r w:rsidRPr="00146FFB">
              <w:rPr>
                <w:lang w:eastAsia="en-GB"/>
              </w:rPr>
              <w:t>&lt;.001</w:t>
            </w:r>
          </w:p>
        </w:tc>
      </w:tr>
    </w:tbl>
    <w:p w:rsidR="00035560" w:rsidRPr="00146FFB" w:rsidRDefault="00035560" w:rsidP="00035560">
      <w:pPr>
        <w:rPr>
          <w:rFonts w:ascii="Times New Roman" w:hAnsi="Times New Roman" w:cs="Times New Roman"/>
        </w:rPr>
      </w:pPr>
    </w:p>
    <w:p w:rsidR="00035560" w:rsidRPr="00146FFB" w:rsidRDefault="00035560" w:rsidP="00035560">
      <w:pPr>
        <w:pStyle w:val="Heading2"/>
      </w:pPr>
      <w:r w:rsidRPr="00C42292">
        <w:lastRenderedPageBreak/>
        <w:t>Appendix</w:t>
      </w:r>
      <w:r w:rsidRPr="00146FFB">
        <w:t xml:space="preserve"> 6</w:t>
      </w:r>
    </w:p>
    <w:tbl>
      <w:tblPr>
        <w:tblStyle w:val="PlainTable1"/>
        <w:tblW w:w="7032" w:type="dxa"/>
        <w:tblLook w:val="0420" w:firstRow="1" w:lastRow="0" w:firstColumn="0" w:lastColumn="0" w:noHBand="0" w:noVBand="1"/>
      </w:tblPr>
      <w:tblGrid>
        <w:gridCol w:w="1647"/>
        <w:gridCol w:w="1467"/>
        <w:gridCol w:w="1966"/>
        <w:gridCol w:w="1952"/>
      </w:tblGrid>
      <w:tr w:rsidR="00035560" w:rsidRPr="00146FFB" w:rsidTr="0041780B">
        <w:trPr>
          <w:cnfStyle w:val="100000000000" w:firstRow="1" w:lastRow="0" w:firstColumn="0" w:lastColumn="0" w:oddVBand="0" w:evenVBand="0" w:oddHBand="0" w:evenHBand="0" w:firstRowFirstColumn="0" w:firstRowLastColumn="0" w:lastRowFirstColumn="0" w:lastRowLastColumn="0"/>
          <w:trHeight w:val="1249"/>
        </w:trPr>
        <w:tc>
          <w:tcPr>
            <w:tcW w:w="1647" w:type="dxa"/>
          </w:tcPr>
          <w:p w:rsidR="00035560" w:rsidRPr="00146FFB" w:rsidRDefault="00035560" w:rsidP="0041780B">
            <w:pPr>
              <w:spacing w:before="0" w:after="0" w:line="276" w:lineRule="auto"/>
              <w:rPr>
                <w:lang w:eastAsia="en-GB"/>
              </w:rPr>
            </w:pPr>
            <w:r w:rsidRPr="00146FFB">
              <w:rPr>
                <w:lang w:eastAsia="en-GB"/>
              </w:rPr>
              <w:t>Country</w:t>
            </w:r>
          </w:p>
        </w:tc>
        <w:tc>
          <w:tcPr>
            <w:tcW w:w="1467" w:type="dxa"/>
            <w:hideMark/>
          </w:tcPr>
          <w:p w:rsidR="00035560" w:rsidRPr="00146FFB" w:rsidRDefault="00035560" w:rsidP="0041780B">
            <w:pPr>
              <w:spacing w:before="0" w:after="0" w:line="276" w:lineRule="auto"/>
              <w:rPr>
                <w:lang w:eastAsia="en-GB"/>
              </w:rPr>
            </w:pPr>
            <w:r w:rsidRPr="00146FFB">
              <w:rPr>
                <w:lang w:eastAsia="en-GB"/>
              </w:rPr>
              <w:t>IMD quintile</w:t>
            </w:r>
          </w:p>
          <w:p w:rsidR="00035560" w:rsidRPr="00146FFB" w:rsidRDefault="00035560" w:rsidP="0041780B">
            <w:pPr>
              <w:spacing w:before="0" w:after="0" w:line="276" w:lineRule="auto"/>
              <w:rPr>
                <w:lang w:eastAsia="en-GB"/>
              </w:rPr>
            </w:pPr>
            <w:r w:rsidRPr="00146FFB">
              <w:rPr>
                <w:lang w:eastAsia="en-GB"/>
              </w:rPr>
              <w:t>(1 = least deprived,</w:t>
            </w:r>
          </w:p>
          <w:p w:rsidR="00035560" w:rsidRPr="00146FFB" w:rsidRDefault="00035560" w:rsidP="0041780B">
            <w:pPr>
              <w:spacing w:before="0" w:after="0" w:line="276" w:lineRule="auto"/>
              <w:rPr>
                <w:lang w:eastAsia="en-GB"/>
              </w:rPr>
            </w:pPr>
            <w:r w:rsidRPr="00146FFB">
              <w:rPr>
                <w:lang w:eastAsia="en-GB"/>
              </w:rPr>
              <w:t xml:space="preserve"> 5 = most deprived)</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Annual percentage change in CEP expenditure per capita (95% CI)</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Annual percentage change in CEP share of expenditure (95% CI)</w:t>
            </w:r>
          </w:p>
        </w:tc>
      </w:tr>
      <w:tr w:rsidR="00035560" w:rsidRPr="00146FFB" w:rsidTr="0041780B">
        <w:trPr>
          <w:cnfStyle w:val="000000100000" w:firstRow="0" w:lastRow="0" w:firstColumn="0" w:lastColumn="0" w:oddVBand="0" w:evenVBand="0" w:oddHBand="1" w:evenHBand="0" w:firstRowFirstColumn="0" w:firstRowLastColumn="0" w:lastRowFirstColumn="0" w:lastRowLastColumn="0"/>
          <w:trHeight w:val="403"/>
        </w:trPr>
        <w:tc>
          <w:tcPr>
            <w:tcW w:w="1647" w:type="dxa"/>
          </w:tcPr>
          <w:p w:rsidR="00035560" w:rsidRPr="00146FFB" w:rsidRDefault="00035560" w:rsidP="0041780B">
            <w:pPr>
              <w:spacing w:before="0" w:after="0" w:line="276" w:lineRule="auto"/>
              <w:rPr>
                <w:lang w:eastAsia="en-GB"/>
              </w:rPr>
            </w:pPr>
            <w:r w:rsidRPr="00146FFB">
              <w:rPr>
                <w:lang w:eastAsia="en-GB"/>
              </w:rPr>
              <w:t>England</w:t>
            </w:r>
          </w:p>
        </w:tc>
        <w:tc>
          <w:tcPr>
            <w:tcW w:w="1467" w:type="dxa"/>
            <w:hideMark/>
          </w:tcPr>
          <w:p w:rsidR="00035560" w:rsidRPr="00146FFB" w:rsidRDefault="00035560" w:rsidP="0041780B">
            <w:pPr>
              <w:spacing w:before="0" w:after="0" w:line="276" w:lineRule="auto"/>
              <w:rPr>
                <w:lang w:eastAsia="en-GB"/>
              </w:rPr>
            </w:pPr>
            <w:r w:rsidRPr="00146FFB">
              <w:rPr>
                <w:lang w:eastAsia="en-GB"/>
              </w:rPr>
              <w:t>1</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-4.45 (-5.60, -3.29)</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-1.37 (-2.16, -0.57)</w:t>
            </w:r>
          </w:p>
        </w:tc>
      </w:tr>
      <w:tr w:rsidR="00035560" w:rsidRPr="00146FFB" w:rsidTr="0041780B">
        <w:trPr>
          <w:trHeight w:val="403"/>
        </w:trPr>
        <w:tc>
          <w:tcPr>
            <w:tcW w:w="1647" w:type="dxa"/>
          </w:tcPr>
          <w:p w:rsidR="00035560" w:rsidRPr="00146FFB" w:rsidRDefault="00035560" w:rsidP="0041780B">
            <w:pPr>
              <w:spacing w:before="0" w:after="0" w:line="276" w:lineRule="auto"/>
              <w:rPr>
                <w:lang w:eastAsia="en-GB"/>
              </w:rPr>
            </w:pPr>
          </w:p>
        </w:tc>
        <w:tc>
          <w:tcPr>
            <w:tcW w:w="1467" w:type="dxa"/>
            <w:hideMark/>
          </w:tcPr>
          <w:p w:rsidR="00035560" w:rsidRPr="00146FFB" w:rsidRDefault="00035560" w:rsidP="0041780B">
            <w:pPr>
              <w:spacing w:before="0" w:after="0" w:line="276" w:lineRule="auto"/>
              <w:rPr>
                <w:lang w:eastAsia="en-GB"/>
              </w:rPr>
            </w:pPr>
            <w:r w:rsidRPr="00146FFB">
              <w:rPr>
                <w:lang w:eastAsia="en-GB"/>
              </w:rPr>
              <w:t>2</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-5.20 (-6.34, -4.05)</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-1.85 (-2.78, -0.92)</w:t>
            </w:r>
          </w:p>
        </w:tc>
      </w:tr>
      <w:tr w:rsidR="00035560" w:rsidRPr="00146FFB" w:rsidTr="0041780B">
        <w:trPr>
          <w:cnfStyle w:val="000000100000" w:firstRow="0" w:lastRow="0" w:firstColumn="0" w:lastColumn="0" w:oddVBand="0" w:evenVBand="0" w:oddHBand="1" w:evenHBand="0" w:firstRowFirstColumn="0" w:firstRowLastColumn="0" w:lastRowFirstColumn="0" w:lastRowLastColumn="0"/>
          <w:trHeight w:val="403"/>
        </w:trPr>
        <w:tc>
          <w:tcPr>
            <w:tcW w:w="1647" w:type="dxa"/>
          </w:tcPr>
          <w:p w:rsidR="00035560" w:rsidRPr="00146FFB" w:rsidRDefault="00035560" w:rsidP="0041780B">
            <w:pPr>
              <w:spacing w:before="0" w:after="0" w:line="276" w:lineRule="auto"/>
              <w:rPr>
                <w:lang w:eastAsia="en-GB"/>
              </w:rPr>
            </w:pPr>
          </w:p>
        </w:tc>
        <w:tc>
          <w:tcPr>
            <w:tcW w:w="1467" w:type="dxa"/>
            <w:hideMark/>
          </w:tcPr>
          <w:p w:rsidR="00035560" w:rsidRPr="00146FFB" w:rsidRDefault="00035560" w:rsidP="0041780B">
            <w:pPr>
              <w:spacing w:before="0" w:after="0" w:line="276" w:lineRule="auto"/>
              <w:rPr>
                <w:lang w:eastAsia="en-GB"/>
              </w:rPr>
            </w:pPr>
            <w:r w:rsidRPr="00146FFB">
              <w:rPr>
                <w:lang w:eastAsia="en-GB"/>
              </w:rPr>
              <w:t>3</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-5.46 (-6.79, -4.12)</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-1.80 (-2.74, -0.85)</w:t>
            </w:r>
          </w:p>
        </w:tc>
      </w:tr>
      <w:tr w:rsidR="00035560" w:rsidRPr="00146FFB" w:rsidTr="0041780B">
        <w:trPr>
          <w:trHeight w:val="403"/>
        </w:trPr>
        <w:tc>
          <w:tcPr>
            <w:tcW w:w="1647" w:type="dxa"/>
          </w:tcPr>
          <w:p w:rsidR="00035560" w:rsidRPr="00146FFB" w:rsidRDefault="00035560" w:rsidP="0041780B">
            <w:pPr>
              <w:spacing w:before="0" w:after="0" w:line="276" w:lineRule="auto"/>
              <w:rPr>
                <w:lang w:eastAsia="en-GB"/>
              </w:rPr>
            </w:pPr>
          </w:p>
        </w:tc>
        <w:tc>
          <w:tcPr>
            <w:tcW w:w="1467" w:type="dxa"/>
            <w:hideMark/>
          </w:tcPr>
          <w:p w:rsidR="00035560" w:rsidRPr="00146FFB" w:rsidRDefault="00035560" w:rsidP="0041780B">
            <w:pPr>
              <w:spacing w:before="0" w:after="0" w:line="276" w:lineRule="auto"/>
              <w:rPr>
                <w:lang w:eastAsia="en-GB"/>
              </w:rPr>
            </w:pPr>
            <w:r w:rsidRPr="00146FFB">
              <w:rPr>
                <w:lang w:eastAsia="en-GB"/>
              </w:rPr>
              <w:t>4</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-5.87 (-6.90, -4.83)</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-2.02 (-2.61, -1.42)</w:t>
            </w:r>
          </w:p>
        </w:tc>
      </w:tr>
      <w:tr w:rsidR="00035560" w:rsidRPr="00146FFB" w:rsidTr="0041780B">
        <w:trPr>
          <w:cnfStyle w:val="000000100000" w:firstRow="0" w:lastRow="0" w:firstColumn="0" w:lastColumn="0" w:oddVBand="0" w:evenVBand="0" w:oddHBand="1" w:evenHBand="0" w:firstRowFirstColumn="0" w:firstRowLastColumn="0" w:lastRowFirstColumn="0" w:lastRowLastColumn="0"/>
          <w:trHeight w:val="403"/>
        </w:trPr>
        <w:tc>
          <w:tcPr>
            <w:tcW w:w="1647" w:type="dxa"/>
          </w:tcPr>
          <w:p w:rsidR="00035560" w:rsidRPr="00146FFB" w:rsidRDefault="00035560" w:rsidP="0041780B">
            <w:pPr>
              <w:spacing w:before="0" w:after="0" w:line="276" w:lineRule="auto"/>
              <w:rPr>
                <w:lang w:eastAsia="en-GB"/>
              </w:rPr>
            </w:pPr>
          </w:p>
        </w:tc>
        <w:tc>
          <w:tcPr>
            <w:tcW w:w="1467" w:type="dxa"/>
            <w:hideMark/>
          </w:tcPr>
          <w:p w:rsidR="00035560" w:rsidRPr="00146FFB" w:rsidRDefault="00035560" w:rsidP="0041780B">
            <w:pPr>
              <w:spacing w:before="0" w:after="0" w:line="276" w:lineRule="auto"/>
              <w:rPr>
                <w:lang w:eastAsia="en-GB"/>
              </w:rPr>
            </w:pPr>
            <w:r w:rsidRPr="00146FFB">
              <w:rPr>
                <w:lang w:eastAsia="en-GB"/>
              </w:rPr>
              <w:t>5</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-7.46 (-8.86, -6.03)</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-3.14 (-4.03, -2.24)</w:t>
            </w:r>
          </w:p>
        </w:tc>
      </w:tr>
      <w:tr w:rsidR="00035560" w:rsidRPr="00146FFB" w:rsidTr="0041780B">
        <w:trPr>
          <w:trHeight w:val="403"/>
        </w:trPr>
        <w:tc>
          <w:tcPr>
            <w:tcW w:w="1647" w:type="dxa"/>
          </w:tcPr>
          <w:p w:rsidR="00035560" w:rsidRPr="00146FFB" w:rsidRDefault="00035560" w:rsidP="0041780B">
            <w:pPr>
              <w:spacing w:before="0" w:after="0" w:line="276" w:lineRule="auto"/>
              <w:rPr>
                <w:lang w:eastAsia="en-GB"/>
              </w:rPr>
            </w:pPr>
            <w:r w:rsidRPr="00146FFB">
              <w:rPr>
                <w:lang w:eastAsia="en-GB"/>
              </w:rPr>
              <w:t>Scotland</w:t>
            </w:r>
          </w:p>
        </w:tc>
        <w:tc>
          <w:tcPr>
            <w:tcW w:w="1467" w:type="dxa"/>
          </w:tcPr>
          <w:p w:rsidR="00035560" w:rsidRPr="00146FFB" w:rsidRDefault="00035560" w:rsidP="0041780B">
            <w:pPr>
              <w:spacing w:before="0" w:after="0" w:line="276" w:lineRule="auto"/>
              <w:rPr>
                <w:lang w:eastAsia="en-GB"/>
              </w:rPr>
            </w:pPr>
            <w:r w:rsidRPr="00146FFB">
              <w:rPr>
                <w:lang w:eastAsia="en-GB"/>
              </w:rPr>
              <w:t>1</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-5.03 (-5.89, -4.17)</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-2.96 (-4.19, -1.71)</w:t>
            </w:r>
          </w:p>
        </w:tc>
      </w:tr>
      <w:tr w:rsidR="00035560" w:rsidRPr="00146FFB" w:rsidTr="0041780B">
        <w:trPr>
          <w:cnfStyle w:val="000000100000" w:firstRow="0" w:lastRow="0" w:firstColumn="0" w:lastColumn="0" w:oddVBand="0" w:evenVBand="0" w:oddHBand="1" w:evenHBand="0" w:firstRowFirstColumn="0" w:firstRowLastColumn="0" w:lastRowFirstColumn="0" w:lastRowLastColumn="0"/>
          <w:trHeight w:val="403"/>
        </w:trPr>
        <w:tc>
          <w:tcPr>
            <w:tcW w:w="1647" w:type="dxa"/>
          </w:tcPr>
          <w:p w:rsidR="00035560" w:rsidRPr="00146FFB" w:rsidRDefault="00035560" w:rsidP="0041780B">
            <w:pPr>
              <w:spacing w:before="0" w:after="0" w:line="276" w:lineRule="auto"/>
              <w:rPr>
                <w:lang w:eastAsia="en-GB"/>
              </w:rPr>
            </w:pPr>
          </w:p>
        </w:tc>
        <w:tc>
          <w:tcPr>
            <w:tcW w:w="1467" w:type="dxa"/>
          </w:tcPr>
          <w:p w:rsidR="00035560" w:rsidRPr="00146FFB" w:rsidRDefault="00035560" w:rsidP="0041780B">
            <w:pPr>
              <w:spacing w:before="0" w:after="0" w:line="276" w:lineRule="auto"/>
              <w:rPr>
                <w:lang w:eastAsia="en-GB"/>
              </w:rPr>
            </w:pPr>
            <w:r w:rsidRPr="00146FFB">
              <w:rPr>
                <w:lang w:eastAsia="en-GB"/>
              </w:rPr>
              <w:t>2</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-3.13 (-4.81, -1.42)</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-0.98 (-2.33, 0.38)</w:t>
            </w:r>
          </w:p>
        </w:tc>
      </w:tr>
      <w:tr w:rsidR="00035560" w:rsidRPr="00146FFB" w:rsidTr="0041780B">
        <w:trPr>
          <w:trHeight w:val="403"/>
        </w:trPr>
        <w:tc>
          <w:tcPr>
            <w:tcW w:w="1647" w:type="dxa"/>
          </w:tcPr>
          <w:p w:rsidR="00035560" w:rsidRPr="00146FFB" w:rsidRDefault="00035560" w:rsidP="0041780B">
            <w:pPr>
              <w:spacing w:before="0" w:after="0" w:line="276" w:lineRule="auto"/>
              <w:rPr>
                <w:lang w:eastAsia="en-GB"/>
              </w:rPr>
            </w:pPr>
          </w:p>
        </w:tc>
        <w:tc>
          <w:tcPr>
            <w:tcW w:w="1467" w:type="dxa"/>
          </w:tcPr>
          <w:p w:rsidR="00035560" w:rsidRPr="00146FFB" w:rsidRDefault="00035560" w:rsidP="0041780B">
            <w:pPr>
              <w:spacing w:before="0" w:after="0" w:line="276" w:lineRule="auto"/>
              <w:rPr>
                <w:lang w:eastAsia="en-GB"/>
              </w:rPr>
            </w:pPr>
            <w:r w:rsidRPr="00146FFB">
              <w:rPr>
                <w:lang w:eastAsia="en-GB"/>
              </w:rPr>
              <w:t>3</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-4.76 (-5.90, -3.59)</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-6.01 (-8.44, -3.51)</w:t>
            </w:r>
          </w:p>
        </w:tc>
      </w:tr>
      <w:tr w:rsidR="00035560" w:rsidRPr="00146FFB" w:rsidTr="0041780B">
        <w:trPr>
          <w:cnfStyle w:val="000000100000" w:firstRow="0" w:lastRow="0" w:firstColumn="0" w:lastColumn="0" w:oddVBand="0" w:evenVBand="0" w:oddHBand="1" w:evenHBand="0" w:firstRowFirstColumn="0" w:firstRowLastColumn="0" w:lastRowFirstColumn="0" w:lastRowLastColumn="0"/>
          <w:trHeight w:val="403"/>
        </w:trPr>
        <w:tc>
          <w:tcPr>
            <w:tcW w:w="1647" w:type="dxa"/>
          </w:tcPr>
          <w:p w:rsidR="00035560" w:rsidRPr="00146FFB" w:rsidRDefault="00035560" w:rsidP="0041780B">
            <w:pPr>
              <w:spacing w:before="0" w:after="0" w:line="276" w:lineRule="auto"/>
              <w:rPr>
                <w:lang w:eastAsia="en-GB"/>
              </w:rPr>
            </w:pPr>
          </w:p>
        </w:tc>
        <w:tc>
          <w:tcPr>
            <w:tcW w:w="1467" w:type="dxa"/>
          </w:tcPr>
          <w:p w:rsidR="00035560" w:rsidRPr="00146FFB" w:rsidRDefault="00035560" w:rsidP="0041780B">
            <w:pPr>
              <w:spacing w:before="0" w:after="0" w:line="276" w:lineRule="auto"/>
              <w:rPr>
                <w:lang w:eastAsia="en-GB"/>
              </w:rPr>
            </w:pPr>
            <w:r w:rsidRPr="00146FFB">
              <w:rPr>
                <w:lang w:eastAsia="en-GB"/>
              </w:rPr>
              <w:t>4</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-5.05 (-5.99, -4.10)</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-2.13 (-3.35, -0.89)</w:t>
            </w:r>
          </w:p>
        </w:tc>
      </w:tr>
      <w:tr w:rsidR="00035560" w:rsidRPr="00146FFB" w:rsidTr="0041780B">
        <w:trPr>
          <w:trHeight w:val="403"/>
        </w:trPr>
        <w:tc>
          <w:tcPr>
            <w:tcW w:w="1647" w:type="dxa"/>
          </w:tcPr>
          <w:p w:rsidR="00035560" w:rsidRPr="00146FFB" w:rsidRDefault="00035560" w:rsidP="0041780B">
            <w:pPr>
              <w:spacing w:before="0" w:after="0" w:line="276" w:lineRule="auto"/>
              <w:rPr>
                <w:lang w:eastAsia="en-GB"/>
              </w:rPr>
            </w:pPr>
          </w:p>
        </w:tc>
        <w:tc>
          <w:tcPr>
            <w:tcW w:w="1467" w:type="dxa"/>
          </w:tcPr>
          <w:p w:rsidR="00035560" w:rsidRPr="00146FFB" w:rsidRDefault="00035560" w:rsidP="0041780B">
            <w:pPr>
              <w:spacing w:before="0" w:after="0" w:line="276" w:lineRule="auto"/>
              <w:rPr>
                <w:lang w:eastAsia="en-GB"/>
              </w:rPr>
            </w:pPr>
            <w:r w:rsidRPr="00146FFB">
              <w:rPr>
                <w:lang w:eastAsia="en-GB"/>
              </w:rPr>
              <w:t>5</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-3.98 (-5.88, -2.05)</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0.21 (-0.99, 1.42)</w:t>
            </w:r>
          </w:p>
        </w:tc>
      </w:tr>
      <w:tr w:rsidR="00035560" w:rsidRPr="00146FFB" w:rsidTr="0041780B">
        <w:trPr>
          <w:cnfStyle w:val="000000100000" w:firstRow="0" w:lastRow="0" w:firstColumn="0" w:lastColumn="0" w:oddVBand="0" w:evenVBand="0" w:oddHBand="1" w:evenHBand="0" w:firstRowFirstColumn="0" w:firstRowLastColumn="0" w:lastRowFirstColumn="0" w:lastRowLastColumn="0"/>
          <w:trHeight w:val="403"/>
        </w:trPr>
        <w:tc>
          <w:tcPr>
            <w:tcW w:w="1647" w:type="dxa"/>
          </w:tcPr>
          <w:p w:rsidR="00035560" w:rsidRPr="00146FFB" w:rsidRDefault="00035560" w:rsidP="0041780B">
            <w:pPr>
              <w:spacing w:before="0" w:after="0" w:line="276" w:lineRule="auto"/>
              <w:rPr>
                <w:lang w:eastAsia="en-GB"/>
              </w:rPr>
            </w:pPr>
            <w:r w:rsidRPr="00146FFB">
              <w:rPr>
                <w:lang w:eastAsia="en-GB"/>
              </w:rPr>
              <w:t>Wales</w:t>
            </w:r>
          </w:p>
        </w:tc>
        <w:tc>
          <w:tcPr>
            <w:tcW w:w="1467" w:type="dxa"/>
          </w:tcPr>
          <w:p w:rsidR="00035560" w:rsidRPr="00146FFB" w:rsidRDefault="00035560" w:rsidP="0041780B">
            <w:pPr>
              <w:spacing w:before="0" w:after="0" w:line="276" w:lineRule="auto"/>
              <w:rPr>
                <w:lang w:eastAsia="en-GB"/>
              </w:rPr>
            </w:pPr>
            <w:r w:rsidRPr="00146FFB">
              <w:rPr>
                <w:lang w:eastAsia="en-GB"/>
              </w:rPr>
              <w:t>1</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-5.77 (-6.50, -5.04)</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-3.95 (-5.01, -2.87)</w:t>
            </w:r>
          </w:p>
        </w:tc>
      </w:tr>
      <w:tr w:rsidR="00035560" w:rsidRPr="00146FFB" w:rsidTr="0041780B">
        <w:trPr>
          <w:trHeight w:val="403"/>
        </w:trPr>
        <w:tc>
          <w:tcPr>
            <w:tcW w:w="1647" w:type="dxa"/>
          </w:tcPr>
          <w:p w:rsidR="00035560" w:rsidRPr="00146FFB" w:rsidRDefault="00035560" w:rsidP="0041780B">
            <w:pPr>
              <w:spacing w:before="0" w:after="0" w:line="276" w:lineRule="auto"/>
              <w:rPr>
                <w:lang w:eastAsia="en-GB"/>
              </w:rPr>
            </w:pPr>
          </w:p>
        </w:tc>
        <w:tc>
          <w:tcPr>
            <w:tcW w:w="1467" w:type="dxa"/>
          </w:tcPr>
          <w:p w:rsidR="00035560" w:rsidRPr="00146FFB" w:rsidRDefault="00035560" w:rsidP="0041780B">
            <w:pPr>
              <w:spacing w:before="0" w:after="0" w:line="276" w:lineRule="auto"/>
              <w:rPr>
                <w:lang w:eastAsia="en-GB"/>
              </w:rPr>
            </w:pPr>
            <w:r w:rsidRPr="00146FFB">
              <w:rPr>
                <w:lang w:eastAsia="en-GB"/>
              </w:rPr>
              <w:t>2</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-6.09 (-7.40, -4.77)</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-4.04 (-5.43, -2.62)</w:t>
            </w:r>
          </w:p>
        </w:tc>
      </w:tr>
      <w:tr w:rsidR="00035560" w:rsidRPr="00146FFB" w:rsidTr="0041780B">
        <w:trPr>
          <w:cnfStyle w:val="000000100000" w:firstRow="0" w:lastRow="0" w:firstColumn="0" w:lastColumn="0" w:oddVBand="0" w:evenVBand="0" w:oddHBand="1" w:evenHBand="0" w:firstRowFirstColumn="0" w:firstRowLastColumn="0" w:lastRowFirstColumn="0" w:lastRowLastColumn="0"/>
          <w:trHeight w:val="403"/>
        </w:trPr>
        <w:tc>
          <w:tcPr>
            <w:tcW w:w="1647" w:type="dxa"/>
          </w:tcPr>
          <w:p w:rsidR="00035560" w:rsidRPr="00146FFB" w:rsidRDefault="00035560" w:rsidP="0041780B">
            <w:pPr>
              <w:spacing w:before="0" w:after="0" w:line="276" w:lineRule="auto"/>
              <w:rPr>
                <w:lang w:eastAsia="en-GB"/>
              </w:rPr>
            </w:pPr>
          </w:p>
        </w:tc>
        <w:tc>
          <w:tcPr>
            <w:tcW w:w="1467" w:type="dxa"/>
          </w:tcPr>
          <w:p w:rsidR="00035560" w:rsidRPr="00146FFB" w:rsidRDefault="00035560" w:rsidP="0041780B">
            <w:pPr>
              <w:spacing w:before="0" w:after="0" w:line="276" w:lineRule="auto"/>
              <w:rPr>
                <w:lang w:eastAsia="en-GB"/>
              </w:rPr>
            </w:pPr>
            <w:r w:rsidRPr="00146FFB">
              <w:rPr>
                <w:lang w:eastAsia="en-GB"/>
              </w:rPr>
              <w:t>3</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-7.79 (-8.60, -6.98)</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-4.83 (-5.44, -4.22)</w:t>
            </w:r>
          </w:p>
        </w:tc>
      </w:tr>
      <w:tr w:rsidR="00035560" w:rsidRPr="00146FFB" w:rsidTr="0041780B">
        <w:trPr>
          <w:trHeight w:val="403"/>
        </w:trPr>
        <w:tc>
          <w:tcPr>
            <w:tcW w:w="1647" w:type="dxa"/>
          </w:tcPr>
          <w:p w:rsidR="00035560" w:rsidRPr="00146FFB" w:rsidRDefault="00035560" w:rsidP="0041780B">
            <w:pPr>
              <w:spacing w:before="0" w:after="0" w:line="276" w:lineRule="auto"/>
              <w:rPr>
                <w:lang w:eastAsia="en-GB"/>
              </w:rPr>
            </w:pPr>
          </w:p>
        </w:tc>
        <w:tc>
          <w:tcPr>
            <w:tcW w:w="1467" w:type="dxa"/>
          </w:tcPr>
          <w:p w:rsidR="00035560" w:rsidRPr="00146FFB" w:rsidRDefault="00035560" w:rsidP="0041780B">
            <w:pPr>
              <w:spacing w:before="0" w:after="0" w:line="276" w:lineRule="auto"/>
              <w:rPr>
                <w:lang w:eastAsia="en-GB"/>
              </w:rPr>
            </w:pPr>
            <w:r w:rsidRPr="00146FFB">
              <w:rPr>
                <w:lang w:eastAsia="en-GB"/>
              </w:rPr>
              <w:t>4</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-7.20 (-8.01, -6.38)</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-4.52 (-5.29, -3.75)</w:t>
            </w:r>
          </w:p>
        </w:tc>
      </w:tr>
      <w:tr w:rsidR="00035560" w:rsidRPr="00146FFB" w:rsidTr="0041780B">
        <w:trPr>
          <w:cnfStyle w:val="000000100000" w:firstRow="0" w:lastRow="0" w:firstColumn="0" w:lastColumn="0" w:oddVBand="0" w:evenVBand="0" w:oddHBand="1" w:evenHBand="0" w:firstRowFirstColumn="0" w:firstRowLastColumn="0" w:lastRowFirstColumn="0" w:lastRowLastColumn="0"/>
          <w:trHeight w:val="403"/>
        </w:trPr>
        <w:tc>
          <w:tcPr>
            <w:tcW w:w="1647" w:type="dxa"/>
          </w:tcPr>
          <w:p w:rsidR="00035560" w:rsidRPr="00146FFB" w:rsidRDefault="00035560" w:rsidP="0041780B">
            <w:pPr>
              <w:spacing w:before="0" w:after="0" w:line="276" w:lineRule="auto"/>
              <w:rPr>
                <w:lang w:eastAsia="en-GB"/>
              </w:rPr>
            </w:pPr>
          </w:p>
        </w:tc>
        <w:tc>
          <w:tcPr>
            <w:tcW w:w="1467" w:type="dxa"/>
          </w:tcPr>
          <w:p w:rsidR="00035560" w:rsidRPr="00146FFB" w:rsidRDefault="00035560" w:rsidP="0041780B">
            <w:pPr>
              <w:spacing w:before="0" w:after="0" w:line="276" w:lineRule="auto"/>
              <w:rPr>
                <w:lang w:eastAsia="en-GB"/>
              </w:rPr>
            </w:pPr>
            <w:r w:rsidRPr="00146FFB">
              <w:rPr>
                <w:lang w:eastAsia="en-GB"/>
              </w:rPr>
              <w:t>5</w:t>
            </w:r>
          </w:p>
        </w:tc>
        <w:tc>
          <w:tcPr>
            <w:tcW w:w="1966"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-6.07 (-6.78, -5.36)</w:t>
            </w:r>
          </w:p>
        </w:tc>
        <w:tc>
          <w:tcPr>
            <w:tcW w:w="1952" w:type="dxa"/>
          </w:tcPr>
          <w:p w:rsidR="00035560" w:rsidRPr="00146FFB" w:rsidRDefault="00035560" w:rsidP="0041780B">
            <w:pPr>
              <w:spacing w:before="0" w:after="0" w:line="276" w:lineRule="auto"/>
              <w:rPr>
                <w:rFonts w:eastAsiaTheme="minorEastAsia"/>
                <w:lang w:eastAsia="en-GB"/>
              </w:rPr>
            </w:pPr>
            <w:r w:rsidRPr="00146FFB">
              <w:rPr>
                <w:rFonts w:eastAsiaTheme="minorEastAsia"/>
                <w:lang w:eastAsia="en-GB"/>
              </w:rPr>
              <w:t>-4.86 (-5.70, -4.02)</w:t>
            </w:r>
          </w:p>
        </w:tc>
      </w:tr>
    </w:tbl>
    <w:p w:rsidR="00035560" w:rsidRPr="00146FFB" w:rsidRDefault="00035560" w:rsidP="00035560">
      <w:pPr>
        <w:rPr>
          <w:rFonts w:ascii="Times New Roman" w:hAnsi="Times New Roman" w:cs="Times New Roman"/>
          <w:lang w:eastAsia="en-GB"/>
        </w:rPr>
      </w:pPr>
    </w:p>
    <w:p w:rsidR="00641BB0" w:rsidRDefault="00035560"/>
    <w:sectPr w:rsidR="00641B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56357"/>
    <w:multiLevelType w:val="hybridMultilevel"/>
    <w:tmpl w:val="BA249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560"/>
    <w:rsid w:val="00035560"/>
    <w:rsid w:val="00633BE9"/>
    <w:rsid w:val="00BB1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7B137"/>
  <w15:chartTrackingRefBased/>
  <w15:docId w15:val="{7316684A-5256-4480-8538-ABC4B4B5E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5560"/>
    <w:pPr>
      <w:spacing w:before="240" w:after="240" w:line="360" w:lineRule="auto"/>
    </w:pPr>
  </w:style>
  <w:style w:type="paragraph" w:styleId="Heading2">
    <w:name w:val="heading 2"/>
    <w:basedOn w:val="Normal"/>
    <w:next w:val="Normal"/>
    <w:link w:val="Heading2Char"/>
    <w:uiPriority w:val="9"/>
    <w:unhideWhenUsed/>
    <w:qFormat/>
    <w:rsid w:val="000355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556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35560"/>
    <w:pPr>
      <w:ind w:left="720"/>
      <w:contextualSpacing/>
    </w:pPr>
  </w:style>
  <w:style w:type="paragraph" w:styleId="NormalWeb">
    <w:name w:val="Normal (Web)"/>
    <w:basedOn w:val="Normal"/>
    <w:uiPriority w:val="99"/>
    <w:unhideWhenUsed/>
    <w:rsid w:val="0003556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PlainTable1">
    <w:name w:val="Plain Table 1"/>
    <w:basedOn w:val="TableNormal"/>
    <w:uiPriority w:val="41"/>
    <w:rsid w:val="000355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Fahy, Katie</dc:creator>
  <cp:keywords/>
  <dc:description/>
  <cp:lastModifiedBy>Fahy, Katie</cp:lastModifiedBy>
  <cp:revision>1</cp:revision>
  <dcterms:created xsi:type="dcterms:W3CDTF">2022-11-10T17:45:00Z</dcterms:created>
  <dcterms:modified xsi:type="dcterms:W3CDTF">2022-11-10T17:46:00Z</dcterms:modified>
</cp:coreProperties>
</file>