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876E2" w:rsidRPr="000E08C5" w:rsidRDefault="000876E2" w:rsidP="000876E2">
      <w:pPr>
        <w:keepNext/>
        <w:keepLines/>
        <w:widowControl/>
        <w:spacing w:before="100" w:beforeAutospacing="1" w:after="100" w:afterAutospacing="1" w:line="480" w:lineRule="auto"/>
        <w:outlineLvl w:val="1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6"/>
          <w:shd w:val="clear" w:color="auto" w:fill="FFFFFF"/>
        </w:rPr>
      </w:pPr>
      <w:r w:rsidRPr="000876E2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6"/>
          <w:shd w:val="clear" w:color="auto" w:fill="FFFFFF"/>
          <w:lang w:val="en-GB" w:eastAsia="en-GB"/>
        </w:rPr>
        <w:t>Supplementary Materials</w:t>
      </w:r>
    </w:p>
    <w:p w:rsidR="000876E2" w:rsidRPr="000876E2" w:rsidRDefault="000876E2" w:rsidP="000876E2">
      <w:pPr>
        <w:widowControl/>
        <w:spacing w:before="100" w:beforeAutospacing="1" w:after="100" w:afterAutospacing="1" w:line="480" w:lineRule="auto"/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</w:pP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 xml:space="preserve">Supplementary Figure 1: </w:t>
      </w:r>
      <w:r w:rsidRPr="000876E2">
        <w:rPr>
          <w:rFonts w:ascii="Times New Roman" w:eastAsia="DengXian" w:hAnsi="Times New Roman" w:cs="Times New Roman"/>
          <w:i/>
          <w:iCs/>
          <w:kern w:val="0"/>
          <w:sz w:val="24"/>
          <w:shd w:val="clear" w:color="auto" w:fill="FFFFFF"/>
          <w:lang w:eastAsia="en-GB"/>
        </w:rPr>
        <w:t>SLC31A1</w:t>
      </w: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 xml:space="preserve"> expression status in different normal tissues. </w:t>
      </w:r>
    </w:p>
    <w:p w:rsidR="000876E2" w:rsidRPr="000876E2" w:rsidRDefault="000876E2" w:rsidP="000876E2">
      <w:pPr>
        <w:widowControl/>
        <w:spacing w:before="100" w:beforeAutospacing="1" w:after="100" w:afterAutospacing="1" w:line="480" w:lineRule="auto"/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</w:pP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>(A</w:t>
      </w:r>
      <w:r w:rsidR="009B6450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 xml:space="preserve">, </w:t>
      </w: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 xml:space="preserve">B) </w:t>
      </w:r>
      <w:r w:rsidRPr="000876E2">
        <w:rPr>
          <w:rFonts w:ascii="Times New Roman" w:eastAsia="DengXian" w:hAnsi="Times New Roman" w:cs="Times New Roman"/>
          <w:i/>
          <w:iCs/>
          <w:kern w:val="0"/>
          <w:sz w:val="24"/>
          <w:shd w:val="clear" w:color="auto" w:fill="FFFFFF"/>
          <w:lang w:eastAsia="en-GB"/>
        </w:rPr>
        <w:t>SLC31A1</w:t>
      </w: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 xml:space="preserve"> tissue expression based on datasets of the </w:t>
      </w:r>
      <w:proofErr w:type="spellStart"/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>GTEx</w:t>
      </w:r>
      <w:proofErr w:type="spellEnd"/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 xml:space="preserve">, and FANTOM5 (Function annotation of the mammalian genome 5). </w:t>
      </w:r>
    </w:p>
    <w:p w:rsidR="000876E2" w:rsidRPr="000876E2" w:rsidRDefault="000876E2" w:rsidP="000876E2">
      <w:pPr>
        <w:widowControl/>
        <w:spacing w:before="100" w:beforeAutospacing="1" w:after="100" w:afterAutospacing="1" w:line="480" w:lineRule="auto"/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</w:pP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 xml:space="preserve">(C) </w:t>
      </w:r>
      <w:r w:rsidRPr="000876E2">
        <w:rPr>
          <w:rFonts w:ascii="Times New Roman" w:eastAsia="DengXian" w:hAnsi="Times New Roman" w:cs="Times New Roman"/>
          <w:i/>
          <w:iCs/>
          <w:kern w:val="0"/>
          <w:sz w:val="24"/>
          <w:shd w:val="clear" w:color="auto" w:fill="FFFFFF"/>
          <w:lang w:eastAsia="en-GB"/>
        </w:rPr>
        <w:t>SLC31A1</w:t>
      </w: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>expression in various cell types.</w:t>
      </w:r>
      <w:r w:rsidRPr="000876E2">
        <w:rPr>
          <w:rFonts w:ascii="Times New Roman" w:eastAsia="DengXian" w:hAnsi="Times New Roman" w:cs="Times New Roman" w:hint="eastAsia"/>
          <w:kern w:val="0"/>
          <w:sz w:val="24"/>
          <w:shd w:val="clear" w:color="auto" w:fill="FFFFFF"/>
          <w:lang w:eastAsia="en-GB"/>
        </w:rPr>
        <w:t xml:space="preserve"> </w:t>
      </w:r>
    </w:p>
    <w:p w:rsidR="000876E2" w:rsidRPr="000876E2" w:rsidRDefault="000876E2" w:rsidP="000876E2">
      <w:pPr>
        <w:widowControl/>
        <w:spacing w:before="100" w:beforeAutospacing="1" w:after="100" w:afterAutospacing="1" w:line="480" w:lineRule="auto"/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</w:pP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 xml:space="preserve">Supplementary Figure 2: ERBB3 expression status in different tumors and normal tissues. Supplementary Table 1: </w:t>
      </w:r>
      <w:r w:rsidRPr="000876E2">
        <w:rPr>
          <w:rFonts w:ascii="Times New Roman" w:eastAsia="DengXian" w:hAnsi="Times New Roman" w:cs="Times New Roman"/>
          <w:i/>
          <w:iCs/>
          <w:kern w:val="0"/>
          <w:sz w:val="24"/>
          <w:shd w:val="clear" w:color="auto" w:fill="FFFFFF"/>
          <w:lang w:eastAsia="en-GB"/>
        </w:rPr>
        <w:t xml:space="preserve">SLC31A1 </w:t>
      </w: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 xml:space="preserve">genetic alteration types in TCGA datasets from </w:t>
      </w:r>
      <w:proofErr w:type="spellStart"/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>cBioportal</w:t>
      </w:r>
      <w:proofErr w:type="spellEnd"/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>.</w:t>
      </w:r>
      <w:r w:rsidRPr="000876E2">
        <w:rPr>
          <w:rFonts w:ascii="Times New Roman" w:eastAsia="DengXian" w:hAnsi="Times New Roman" w:cs="Times New Roman" w:hint="eastAsia"/>
          <w:kern w:val="0"/>
          <w:sz w:val="24"/>
          <w:shd w:val="clear" w:color="auto" w:fill="FFFFFF"/>
          <w:lang w:eastAsia="en-GB"/>
        </w:rPr>
        <w:t xml:space="preserve"> </w:t>
      </w: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 xml:space="preserve">Supplementary Table 2: </w:t>
      </w:r>
      <w:r w:rsidRPr="000876E2">
        <w:rPr>
          <w:rFonts w:ascii="Times New Roman" w:eastAsia="DengXian" w:hAnsi="Times New Roman" w:cs="Times New Roman"/>
          <w:i/>
          <w:iCs/>
          <w:kern w:val="0"/>
          <w:sz w:val="24"/>
          <w:shd w:val="clear" w:color="auto" w:fill="FFFFFF"/>
          <w:lang w:eastAsia="en-GB"/>
        </w:rPr>
        <w:t xml:space="preserve">SLC31A1 </w:t>
      </w: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 xml:space="preserve">genetic mutations summary in TCGA datasets from </w:t>
      </w:r>
      <w:proofErr w:type="spellStart"/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>cBioportal</w:t>
      </w:r>
      <w:proofErr w:type="spellEnd"/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>.</w:t>
      </w:r>
      <w:r w:rsidRPr="000876E2">
        <w:rPr>
          <w:rFonts w:ascii="Times New Roman" w:eastAsia="DengXian" w:hAnsi="Times New Roman" w:cs="Times New Roman" w:hint="eastAsia"/>
          <w:kern w:val="0"/>
          <w:sz w:val="24"/>
          <w:shd w:val="clear" w:color="auto" w:fill="FFFFFF"/>
          <w:lang w:eastAsia="en-GB"/>
        </w:rPr>
        <w:t xml:space="preserve"> </w:t>
      </w:r>
    </w:p>
    <w:p w:rsidR="000876E2" w:rsidRPr="000876E2" w:rsidRDefault="000876E2" w:rsidP="000876E2">
      <w:pPr>
        <w:widowControl/>
        <w:spacing w:before="100" w:beforeAutospacing="1" w:after="100" w:afterAutospacing="1" w:line="480" w:lineRule="auto"/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</w:pP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 xml:space="preserve">Supplementary Table 3: Top 100 genes with similar expression pattern to </w:t>
      </w:r>
      <w:r w:rsidRPr="000876E2">
        <w:rPr>
          <w:rFonts w:ascii="Times New Roman" w:eastAsia="DengXian" w:hAnsi="Times New Roman" w:cs="Times New Roman"/>
          <w:i/>
          <w:iCs/>
          <w:kern w:val="0"/>
          <w:sz w:val="24"/>
          <w:shd w:val="clear" w:color="auto" w:fill="FFFFFF"/>
          <w:lang w:eastAsia="en-GB"/>
        </w:rPr>
        <w:t>SLC3A1</w:t>
      </w: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 xml:space="preserve"> gene from all tumor types of TCGA datasets by GEPIA2.</w:t>
      </w:r>
      <w:r w:rsidRPr="000876E2">
        <w:rPr>
          <w:rFonts w:ascii="Times New Roman" w:eastAsia="DengXian" w:hAnsi="Times New Roman" w:cs="Times New Roman" w:hint="eastAsia"/>
          <w:kern w:val="0"/>
          <w:sz w:val="24"/>
          <w:shd w:val="clear" w:color="auto" w:fill="FFFFFF"/>
          <w:lang w:eastAsia="en-GB"/>
        </w:rPr>
        <w:t xml:space="preserve"> </w:t>
      </w:r>
    </w:p>
    <w:p w:rsidR="000876E2" w:rsidRPr="000876E2" w:rsidRDefault="000876E2" w:rsidP="000876E2">
      <w:pPr>
        <w:widowControl/>
        <w:spacing w:before="100" w:beforeAutospacing="1" w:after="100" w:afterAutospacing="1" w:line="480" w:lineRule="auto"/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</w:pP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 xml:space="preserve">Supplementary Table 4: GO cellular component (CC) enrichment analysis of 100 </w:t>
      </w:r>
      <w:r w:rsidRPr="000876E2">
        <w:rPr>
          <w:rFonts w:ascii="Times New Roman" w:eastAsia="DengXian" w:hAnsi="Times New Roman" w:cs="Times New Roman"/>
          <w:i/>
          <w:iCs/>
          <w:kern w:val="0"/>
          <w:sz w:val="24"/>
          <w:shd w:val="clear" w:color="auto" w:fill="FFFFFF"/>
          <w:lang w:eastAsia="en-GB"/>
        </w:rPr>
        <w:t>SLC31A1</w:t>
      </w: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>-correlated genes.</w:t>
      </w:r>
      <w:r w:rsidRPr="000876E2">
        <w:rPr>
          <w:rFonts w:ascii="Times New Roman" w:eastAsia="DengXian" w:hAnsi="Times New Roman" w:cs="Times New Roman" w:hint="eastAsia"/>
          <w:kern w:val="0"/>
          <w:sz w:val="24"/>
          <w:shd w:val="clear" w:color="auto" w:fill="FFFFFF"/>
          <w:lang w:eastAsia="en-GB"/>
        </w:rPr>
        <w:t xml:space="preserve"> </w:t>
      </w:r>
    </w:p>
    <w:p w:rsidR="000876E2" w:rsidRPr="000876E2" w:rsidRDefault="000876E2" w:rsidP="000876E2">
      <w:pPr>
        <w:widowControl/>
        <w:spacing w:before="100" w:beforeAutospacing="1" w:after="100" w:afterAutospacing="1" w:line="480" w:lineRule="auto"/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</w:pP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 xml:space="preserve">Supplementary Table 5: GO biological process (BP) enrichment analysis of 100 </w:t>
      </w:r>
      <w:r w:rsidRPr="000876E2">
        <w:rPr>
          <w:rFonts w:ascii="Times New Roman" w:eastAsia="DengXian" w:hAnsi="Times New Roman" w:cs="Times New Roman"/>
          <w:i/>
          <w:iCs/>
          <w:kern w:val="0"/>
          <w:sz w:val="24"/>
          <w:shd w:val="clear" w:color="auto" w:fill="FFFFFF"/>
          <w:lang w:eastAsia="en-GB"/>
        </w:rPr>
        <w:t>SLC31A1</w:t>
      </w: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>-correlated genes.</w:t>
      </w:r>
      <w:r w:rsidRPr="000876E2">
        <w:rPr>
          <w:rFonts w:ascii="Times New Roman" w:eastAsia="DengXian" w:hAnsi="Times New Roman" w:cs="Times New Roman" w:hint="eastAsia"/>
          <w:kern w:val="0"/>
          <w:sz w:val="24"/>
          <w:shd w:val="clear" w:color="auto" w:fill="FFFFFF"/>
          <w:lang w:eastAsia="en-GB"/>
        </w:rPr>
        <w:t xml:space="preserve"> </w:t>
      </w:r>
    </w:p>
    <w:p w:rsidR="000876E2" w:rsidRPr="000876E2" w:rsidRDefault="000876E2" w:rsidP="000876E2">
      <w:pPr>
        <w:widowControl/>
        <w:spacing w:before="100" w:beforeAutospacing="1" w:after="100" w:afterAutospacing="1" w:line="480" w:lineRule="auto"/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</w:pP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 xml:space="preserve">Supplementary Table 6: GO molecular function (MF) enrichment analysis of 100 </w:t>
      </w:r>
      <w:r w:rsidRPr="000876E2">
        <w:rPr>
          <w:rFonts w:ascii="Times New Roman" w:eastAsia="DengXian" w:hAnsi="Times New Roman" w:cs="Times New Roman"/>
          <w:i/>
          <w:iCs/>
          <w:kern w:val="0"/>
          <w:sz w:val="24"/>
          <w:shd w:val="clear" w:color="auto" w:fill="FFFFFF"/>
          <w:lang w:eastAsia="en-GB"/>
        </w:rPr>
        <w:t>SLC31A1</w:t>
      </w: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 xml:space="preserve">-correlated genes. </w:t>
      </w:r>
    </w:p>
    <w:p w:rsidR="00274CDF" w:rsidRPr="000876E2" w:rsidRDefault="000876E2" w:rsidP="000876E2">
      <w:pPr>
        <w:widowControl/>
        <w:spacing w:before="100" w:beforeAutospacing="1" w:after="100" w:afterAutospacing="1" w:line="480" w:lineRule="auto"/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</w:pP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 xml:space="preserve">Supplementary Table 7: KEGG enrichment analysis of 100 </w:t>
      </w:r>
      <w:r w:rsidRPr="000876E2">
        <w:rPr>
          <w:rFonts w:ascii="Times New Roman" w:eastAsia="DengXian" w:hAnsi="Times New Roman" w:cs="Times New Roman"/>
          <w:i/>
          <w:iCs/>
          <w:kern w:val="0"/>
          <w:sz w:val="24"/>
          <w:shd w:val="clear" w:color="auto" w:fill="FFFFFF"/>
          <w:lang w:eastAsia="en-GB"/>
        </w:rPr>
        <w:t>SLC31A1</w:t>
      </w:r>
      <w:r w:rsidRPr="000876E2">
        <w:rPr>
          <w:rFonts w:ascii="Times New Roman" w:eastAsia="DengXian" w:hAnsi="Times New Roman" w:cs="Times New Roman"/>
          <w:kern w:val="0"/>
          <w:sz w:val="24"/>
          <w:shd w:val="clear" w:color="auto" w:fill="FFFFFF"/>
          <w:lang w:eastAsia="en-GB"/>
        </w:rPr>
        <w:t>-correlated genes.</w:t>
      </w:r>
    </w:p>
    <w:sectPr w:rsidR="00274CDF" w:rsidRPr="000876E2" w:rsidSect="00F50326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6E2"/>
    <w:rsid w:val="000004C9"/>
    <w:rsid w:val="00032815"/>
    <w:rsid w:val="00034D32"/>
    <w:rsid w:val="000876E2"/>
    <w:rsid w:val="000B0CE8"/>
    <w:rsid w:val="000D3816"/>
    <w:rsid w:val="000E08C5"/>
    <w:rsid w:val="00116116"/>
    <w:rsid w:val="00116C46"/>
    <w:rsid w:val="0015628B"/>
    <w:rsid w:val="00173277"/>
    <w:rsid w:val="00177BB2"/>
    <w:rsid w:val="00194233"/>
    <w:rsid w:val="00274CDF"/>
    <w:rsid w:val="002D74C7"/>
    <w:rsid w:val="0032182B"/>
    <w:rsid w:val="00343FF4"/>
    <w:rsid w:val="00391D1B"/>
    <w:rsid w:val="003A03D2"/>
    <w:rsid w:val="003B09B1"/>
    <w:rsid w:val="003B72C9"/>
    <w:rsid w:val="003E498D"/>
    <w:rsid w:val="004203E3"/>
    <w:rsid w:val="00481212"/>
    <w:rsid w:val="004C58E2"/>
    <w:rsid w:val="004F60B9"/>
    <w:rsid w:val="005314D3"/>
    <w:rsid w:val="00542BD3"/>
    <w:rsid w:val="00562BF3"/>
    <w:rsid w:val="00592974"/>
    <w:rsid w:val="005C4565"/>
    <w:rsid w:val="005C5208"/>
    <w:rsid w:val="00616C62"/>
    <w:rsid w:val="0062275C"/>
    <w:rsid w:val="006A3320"/>
    <w:rsid w:val="006B3FEF"/>
    <w:rsid w:val="006B58C6"/>
    <w:rsid w:val="006C026C"/>
    <w:rsid w:val="006F3AF3"/>
    <w:rsid w:val="007252C8"/>
    <w:rsid w:val="00741FD3"/>
    <w:rsid w:val="007D6377"/>
    <w:rsid w:val="00857BAA"/>
    <w:rsid w:val="008C0179"/>
    <w:rsid w:val="00922C07"/>
    <w:rsid w:val="009B6450"/>
    <w:rsid w:val="009B6D97"/>
    <w:rsid w:val="009E1DA5"/>
    <w:rsid w:val="009E459C"/>
    <w:rsid w:val="00A23607"/>
    <w:rsid w:val="00A756E7"/>
    <w:rsid w:val="00AA0BC3"/>
    <w:rsid w:val="00AC468B"/>
    <w:rsid w:val="00B43AB8"/>
    <w:rsid w:val="00BA0C86"/>
    <w:rsid w:val="00BA1FC4"/>
    <w:rsid w:val="00BD62CE"/>
    <w:rsid w:val="00BE64FD"/>
    <w:rsid w:val="00C010C0"/>
    <w:rsid w:val="00C20A26"/>
    <w:rsid w:val="00C54315"/>
    <w:rsid w:val="00C95EBB"/>
    <w:rsid w:val="00CC4CB9"/>
    <w:rsid w:val="00D35F5E"/>
    <w:rsid w:val="00D85F04"/>
    <w:rsid w:val="00DC779C"/>
    <w:rsid w:val="00DC7EC6"/>
    <w:rsid w:val="00DD0844"/>
    <w:rsid w:val="00DE6732"/>
    <w:rsid w:val="00E54592"/>
    <w:rsid w:val="00EF4540"/>
    <w:rsid w:val="00F50326"/>
    <w:rsid w:val="00FE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Supplementary Materials Title and Legend.dotx</Template>
  <TotalTime>0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Kingsley</dc:creator>
  <cp:keywords/>
  <dc:description/>
  <cp:lastModifiedBy>Kingsley</cp:lastModifiedBy>
  <cp:revision>2</cp:revision>
  <dcterms:created xsi:type="dcterms:W3CDTF">2022-11-02T01:44:00Z</dcterms:created>
  <dcterms:modified xsi:type="dcterms:W3CDTF">2022-11-02T01:44:00Z</dcterms:modified>
</cp:coreProperties>
</file>