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52F" w:rsidRPr="00B22BC3" w:rsidRDefault="0014552F" w:rsidP="0014552F">
      <w:pPr>
        <w:pStyle w:val="Titulek"/>
        <w:keepNext/>
        <w:rPr>
          <w:rFonts w:ascii="Arial" w:hAnsi="Arial" w:cs="Arial"/>
          <w:i w:val="0"/>
          <w:color w:val="auto"/>
          <w:lang w:val="en-US"/>
        </w:rPr>
      </w:pPr>
      <w:r w:rsidRPr="00B22BC3">
        <w:rPr>
          <w:rFonts w:ascii="Arial" w:hAnsi="Arial" w:cs="Arial"/>
          <w:b/>
          <w:i w:val="0"/>
          <w:color w:val="auto"/>
          <w:lang w:val="en-US"/>
        </w:rPr>
        <w:t xml:space="preserve">Supplement Table 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begin"/>
      </w:r>
      <w:r w:rsidRPr="00B22BC3">
        <w:rPr>
          <w:rFonts w:ascii="Arial" w:hAnsi="Arial" w:cs="Arial"/>
          <w:b/>
          <w:i w:val="0"/>
          <w:color w:val="auto"/>
          <w:lang w:val="en-US"/>
        </w:rPr>
        <w:instrText xml:space="preserve"> SEQ Supplement_Table \* ARABIC </w:instrTex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separate"/>
      </w:r>
      <w:r w:rsidRPr="00B22BC3">
        <w:rPr>
          <w:rFonts w:ascii="Arial" w:hAnsi="Arial" w:cs="Arial"/>
          <w:b/>
          <w:i w:val="0"/>
          <w:noProof/>
          <w:color w:val="auto"/>
          <w:lang w:val="en-US"/>
        </w:rPr>
        <w:t>1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end"/>
      </w:r>
      <w:r w:rsidRPr="00B22BC3">
        <w:rPr>
          <w:rFonts w:ascii="Arial" w:hAnsi="Arial" w:cs="Arial"/>
          <w:b/>
          <w:i w:val="0"/>
          <w:color w:val="auto"/>
          <w:lang w:val="en-US"/>
        </w:rPr>
        <w:t xml:space="preserve">: </w:t>
      </w:r>
      <w:r w:rsidRPr="00B22BC3">
        <w:rPr>
          <w:rFonts w:ascii="Arial" w:hAnsi="Arial" w:cs="Arial"/>
          <w:i w:val="0"/>
          <w:color w:val="auto"/>
          <w:lang w:val="en-US"/>
        </w:rPr>
        <w:t>Sensitivity Analysis: Clinical characteristics of the full data-set population (n=37)</w:t>
      </w:r>
    </w:p>
    <w:tbl>
      <w:tblPr>
        <w:tblW w:w="98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8"/>
        <w:gridCol w:w="1928"/>
        <w:gridCol w:w="1928"/>
        <w:gridCol w:w="1928"/>
        <w:gridCol w:w="964"/>
      </w:tblGrid>
      <w:tr w:rsidR="0014552F" w:rsidRPr="00B22BC3" w:rsidTr="00B842C2">
        <w:trPr>
          <w:trHeight w:val="482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 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T0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br/>
              <w:t>Baseline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T3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br/>
              <w:t xml:space="preserve">Visit after 3 months 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T6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br/>
              <w:t>Visit after 6 months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p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n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-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Age [years]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56.3 ± 10.3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56.8 ± 10.6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57.7 ± 9.9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-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Sex [n female, %]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14 (38%)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13 (41%)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11 (36%)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-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Prevalence hyperglycemia [n, %]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22 (59%)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14 (45%)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0.06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BMI [kg/m²]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30.5 ± 5.1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31.6 ± 4.9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31.4 ± 4.4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Body weight [kg]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90.6 ± 16.4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93.9 ± 14.7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94.9 ± 14.1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WHR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0.94 ± 0.08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0.92 ± 0.08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0.92 ± 0.08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0.05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Fat mass [%]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25 ± 10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24 ± 10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26 ± 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0.36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Systolic blood pressure [mmHg]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131 ± 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131 ± 16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134 ± 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0.59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Diastolic blood pressure [mmHg]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84 ± 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84 ± 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84 ± 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0.93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First random glucose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6.3 (5.9, 7.2)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2"/>
                <w:lang w:eastAsia="de-DE"/>
              </w:rPr>
              <w:t>-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2"/>
                <w:lang w:eastAsia="de-DE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2"/>
                <w:lang w:eastAsia="de-DE"/>
              </w:rPr>
              <w:t>-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glucose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5.3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1.1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Del="00AB059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5.7 ± 0.5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Del="00AB059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5.4 ± 0.6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0.66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Glucose after 2 hours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8.5 ± 2.6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Del="00AB059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Del="00AB059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7.4 ± 1.7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insulin [mIU/L]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11.3 (9.1, 15.8)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14.6 (11.4, 16.9)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7.7 (6.2, 13.4)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0.003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Insulin after 2 hours [mIU/L]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85.6 (49.5, 109.2)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41.9 (24.6, 113.5)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0.02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C-peptide [pmol/L]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910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336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697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252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543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206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C-peptide after 2 hours [pmol/L]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3386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1008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2152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759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Fasting NEFA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0.93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0.25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0.74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0.26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NEFA after 2 hours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0.55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0.20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0.32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0.14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glycerol [µmol/L]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251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71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153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Glycerol after 2 hours [µmol/L]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215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62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118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Insulinogenic index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1.32 (0.85, 2.68)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1.21 (0.81, 1.77)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0.62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Insulin sensitivity index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3.29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1.51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 xml:space="preserve">4.75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± 2.41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Disposition Index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4.36 (2.12, 8.68)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5.21 (3.00, 7.23)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0.37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HOMA-INS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1.48 (1.12, 2.00)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1.01 (0.81, 1.83)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0.003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HOMA-IR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2.43 (1.73, 4.65)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1.76 (1.48, 3.42)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0.01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HbA1c [mmol/mol]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45.5 ± 11.9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35.1 ± 4.1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37.2 ± 4.4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Triglyc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erides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1.74 ± 0.84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1.62 ± 1.19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1.41 ± 0.79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Total cholesterol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4.38 ± 1.12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5.02 ± 1.12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4.69 ± 0.92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0.47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HDL cholesterol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1.32 ± 0.35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1.21 ± 0.25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1.20 ± 0.32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0.06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LDL cholesterol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2.27 ± 0.89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3.15 ± 1.02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2.86 ± 0.89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0.04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ALT [μkat/L]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0.92 (0.74, 1.28)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0.42 (0.37, 0.62)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0.42 (0.34, 0.54)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AST [μkat/L]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0.49 ± 0.34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0.39 ± 0.13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0.37 ± 0.12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Urea [mmol/L]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5.70 ± 2.64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5.29 ± 1.46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5.60 ± 1.40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0.82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Creatinine [μmol/L]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66.5 ± 14.7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71.7 ± 15.6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74.6 ± 15.2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Albumine [g/L]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40.7 ± 1.9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47.1 ± 5.4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43.0 ± 2.5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Cortisol [nmol/L]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214 ± 181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241 ± 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0.68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 xml:space="preserve">TSH [µmol/L]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2.29 ± 1.54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1.73 ± 1.13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Triiodothyronine (T3) [pmol/L]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5.20 ± 0.81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5.76 ± 0.52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0.002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Thyroxine (T4) [pmol/L]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15.8 ± 3.5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n.a.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14.5 ± 1.9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0.01</w:t>
            </w:r>
          </w:p>
        </w:tc>
      </w:tr>
      <w:tr w:rsidR="0014552F" w:rsidRPr="00B22BC3" w:rsidTr="00B842C2">
        <w:trPr>
          <w:trHeight w:val="324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White blood cells [x10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vertAlign w:val="superscript"/>
                <w:lang w:val="en-US" w:eastAsia="de-DE"/>
              </w:rPr>
              <w:t>9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  <w:t>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9.93 ± 3.86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6.50 ± 1.57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5.92 ± 1.62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324"/>
        </w:trPr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Platelets [x10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vertAlign w:val="superscript"/>
                <w:lang w:eastAsia="de-DE"/>
              </w:rPr>
              <w:t>9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/L]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243 ± 105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247 ± 61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207 ± 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0.09</w:t>
            </w:r>
          </w:p>
        </w:tc>
      </w:tr>
      <w:tr w:rsidR="0014552F" w:rsidRPr="00B22BC3" w:rsidTr="00B842C2">
        <w:trPr>
          <w:trHeight w:val="288"/>
        </w:trPr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D-dimer [μg/L]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680 (300, 1320)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520 (315, 890)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255 (210, 530)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218"/>
        </w:trPr>
        <w:tc>
          <w:tcPr>
            <w:tcW w:w="9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18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18"/>
                <w:szCs w:val="22"/>
                <w:lang w:eastAsia="de-DE"/>
              </w:rPr>
              <w:t>N</w:t>
            </w:r>
            <w:r w:rsidRPr="00B22BC3">
              <w:rPr>
                <w:rFonts w:ascii="Arial" w:eastAsia="Times New Roman" w:hAnsi="Arial" w:cs="Arial"/>
                <w:color w:val="000000"/>
                <w:sz w:val="18"/>
                <w:szCs w:val="22"/>
                <w:lang w:val="en-US" w:eastAsia="de-DE"/>
              </w:rPr>
              <w:t>ormally distributed variables were expressed as mean ± standard deviation and skewed distributed variables as median and interquartile range</w:t>
            </w:r>
          </w:p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18"/>
                <w:szCs w:val="22"/>
                <w:lang w:val="en-US" w:eastAsia="de-DE"/>
              </w:rPr>
              <w:t>P-values for differences between T0 and T6 were calculated with paired T-test for normal distributed variables, with Wilcoxon signed rank test for skewed distributed variables and via Chi-square test for categorical variables</w:t>
            </w:r>
          </w:p>
        </w:tc>
      </w:tr>
    </w:tbl>
    <w:p w:rsidR="0014552F" w:rsidRPr="00B22BC3" w:rsidRDefault="0014552F" w:rsidP="0014552F">
      <w:pPr>
        <w:pStyle w:val="Titulek"/>
        <w:keepNext/>
        <w:rPr>
          <w:rFonts w:ascii="Arial" w:hAnsi="Arial" w:cs="Arial"/>
          <w:b/>
          <w:i w:val="0"/>
          <w:color w:val="auto"/>
          <w:lang w:val="en-US"/>
        </w:rPr>
      </w:pPr>
      <w:r w:rsidRPr="00B22BC3">
        <w:rPr>
          <w:rFonts w:ascii="Arial" w:hAnsi="Arial" w:cs="Arial"/>
          <w:b/>
          <w:i w:val="0"/>
          <w:color w:val="auto"/>
          <w:lang w:val="en-US"/>
        </w:rPr>
        <w:lastRenderedPageBreak/>
        <w:t xml:space="preserve">Supplement Table 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begin"/>
      </w:r>
      <w:r w:rsidRPr="00B22BC3">
        <w:rPr>
          <w:rFonts w:ascii="Arial" w:hAnsi="Arial" w:cs="Arial"/>
          <w:b/>
          <w:i w:val="0"/>
          <w:color w:val="auto"/>
          <w:lang w:val="en-US"/>
        </w:rPr>
        <w:instrText xml:space="preserve"> SEQ Supplement_Table \* ARABIC </w:instrTex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separate"/>
      </w:r>
      <w:r w:rsidRPr="00B22BC3">
        <w:rPr>
          <w:rFonts w:ascii="Arial" w:hAnsi="Arial" w:cs="Arial"/>
          <w:b/>
          <w:i w:val="0"/>
          <w:noProof/>
          <w:color w:val="auto"/>
          <w:lang w:val="en-US"/>
        </w:rPr>
        <w:t>2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end"/>
      </w:r>
      <w:r w:rsidRPr="00B22BC3">
        <w:rPr>
          <w:rFonts w:ascii="Arial" w:hAnsi="Arial" w:cs="Arial"/>
          <w:b/>
          <w:i w:val="0"/>
          <w:color w:val="auto"/>
          <w:lang w:val="en-US"/>
        </w:rPr>
        <w:t xml:space="preserve">: </w:t>
      </w:r>
      <w:r w:rsidRPr="00B22BC3">
        <w:rPr>
          <w:rFonts w:ascii="Arial" w:hAnsi="Arial" w:cs="Arial"/>
          <w:i w:val="0"/>
          <w:color w:val="auto"/>
          <w:lang w:val="en-US"/>
        </w:rPr>
        <w:t>Baseline characteristics of the study population divided by glycemia status (n=32)</w:t>
      </w:r>
    </w:p>
    <w:tbl>
      <w:tblPr>
        <w:tblW w:w="93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5"/>
        <w:gridCol w:w="2268"/>
        <w:gridCol w:w="2268"/>
        <w:gridCol w:w="1134"/>
      </w:tblGrid>
      <w:tr w:rsidR="0014552F" w:rsidRPr="00B22BC3" w:rsidTr="00B842C2">
        <w:trPr>
          <w:trHeight w:val="85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FF0000"/>
                <w:sz w:val="20"/>
                <w:szCs w:val="20"/>
                <w:lang w:val="en-US" w:eastAsia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Normal glycemia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(IFG &lt; 5.6 and IGT 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br/>
              <w:t>&lt; 7.8 mmol/L)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Hyperglycemia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(IFG ≥ 5.6 or IGT 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br/>
              <w:t>≥ 7.8 mmol/L)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Age [years]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53.2 ± 12.7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59.6 ± 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Sex [n female, %]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 (42%)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7 (35%)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0.71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BMI [kg/m²]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32.9 ± 5.7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29.5 ± 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Body weight [kg]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95.1 ± 21.4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87.5 ± 14.8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0.24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WHR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0.94 ± 0.07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0.94 ± 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0.85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Fat mass [%]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27 ± 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24 ±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0.46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Systolic blood pressure [mmHg]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129 ± 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133 ± 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0.52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Diastolic blood pressure [mmHg]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84 ± 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85 ±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0.66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First random glucose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6.0 (5.7, 6.4)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7.2 (6.3, 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0.004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glucose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4.6 ± 0.6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5.7 ± 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0.008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Glucose after 2 hours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6.6 ± 0.9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10.2 ± 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insulin [mIU/L]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13.7 ± 8.8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14.4 ± 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0.80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Insulin after 2 hours [mIU/L]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98.1 ± 56.1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87.9 ± 46.9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0.58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C-peptide [pmol/L]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1020 ± 385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864 ± 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C-peptide after 2 hours [pmol/L]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3794 ± 890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3361 ± 940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Fasting NEFA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0.94 ± 0.23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0.98 ± 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0.67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NEFA after 2 hours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0.55 ± 0.17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0.57 ± 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0.83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Fasting glycerol [µmol/L]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256 ± 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253 ± 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0.90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Glycerol after 2 hours [µmol/L]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221 ± 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207 ± 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0.51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Insulinogenic index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2.94 ± 1.82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1.04 ± 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Insulin sensitivity index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3.23 ± 1.72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3.07 ± 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0.77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Disposition Index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8.78 ± 6.37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3.19 ± 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HOMA-INS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1.71 ± 1.09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1.91 ± 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0.57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HOMA-IR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2.84 ± 1.98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3.82 ± 2.32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0.23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HbA1c [mmol/mol]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42.1 ± 3.4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49.3 ± 15.0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Triglycerides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1.69 ± 0.50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1.76 ± 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0.80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Total cholesterol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4.07 ± 0.84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4.38 ± 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0.34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HDL cholesterol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1.36 ± 0.35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1.24 ± 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0.31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LDL cholesterol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1.95 ± 0.78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2.33 ± 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ALT [μkat/L]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1.16 ± 0.45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1.01 ± 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0.47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AST [μkat/L]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0.43 ± 0.14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0.48 ± 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Urea [mmol/L]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5.53 ± 3.12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5.67 ± 2.51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0.89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Creatinine [μmol/L]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71.7 ± 20.0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64.4 ± 11.0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Albumine [g/L]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40.0 ± 1.9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40.7 ± 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Cortisol [nmol/L]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222 ± 179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247 ± 186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TSH [µmol/L]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1.64 (1.39, 2.47)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1.94 (1.55, 3.20)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Triiodothyronine (T3) [pmol/L]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5.31 ± 0.88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5.18 ± 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0.64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Thyroxine (T4) [pmol/L]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17.0 ± 3.5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15.0 ± 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White blood cells [x10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9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9.67 ± 2.71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9.92 ± 4.61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0.86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Platelets [x10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9</w:t>
            </w: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/L]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241 ± 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238 ± 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0.95</w:t>
            </w:r>
          </w:p>
        </w:tc>
      </w:tr>
      <w:tr w:rsidR="0014552F" w:rsidRPr="00B22BC3" w:rsidTr="00B842C2">
        <w:trPr>
          <w:trHeight w:val="255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D-dimer [μg/L]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385 (275, 1105)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645 (305, 1995)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hAnsi="Arial" w:cs="Arial"/>
                <w:color w:val="000000"/>
                <w:sz w:val="20"/>
                <w:szCs w:val="20"/>
              </w:rPr>
              <w:t>0.36</w:t>
            </w:r>
          </w:p>
        </w:tc>
      </w:tr>
      <w:tr w:rsidR="0014552F" w:rsidRPr="00B22BC3" w:rsidTr="00B842C2">
        <w:trPr>
          <w:trHeight w:val="288"/>
        </w:trPr>
        <w:tc>
          <w:tcPr>
            <w:tcW w:w="935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18"/>
                <w:szCs w:val="22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18"/>
                <w:szCs w:val="22"/>
                <w:lang w:eastAsia="de-DE"/>
              </w:rPr>
              <w:t>N</w:t>
            </w:r>
            <w:r w:rsidRPr="00B22BC3">
              <w:rPr>
                <w:rFonts w:ascii="Arial" w:eastAsia="Times New Roman" w:hAnsi="Arial" w:cs="Arial"/>
                <w:color w:val="000000"/>
                <w:sz w:val="18"/>
                <w:szCs w:val="22"/>
                <w:lang w:val="en-US" w:eastAsia="de-DE"/>
              </w:rPr>
              <w:t>ormally distributed variables were expressed as mean ± standard deviation and skewed distributed variables as median and interquartile range</w:t>
            </w:r>
          </w:p>
          <w:p w:rsidR="0014552F" w:rsidRPr="00B22BC3" w:rsidRDefault="0014552F" w:rsidP="00B842C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18"/>
                <w:szCs w:val="22"/>
                <w:lang w:val="en-US" w:eastAsia="de-DE"/>
              </w:rPr>
              <w:t>P-values for differences between normal glycaemic and hyperglycaemic group were calculated with unpaired T-test for normal distributed variables, with Wilcoxon signed rank test for skewed distributed variables and via Chi-square test for categorical variables</w:t>
            </w:r>
          </w:p>
        </w:tc>
      </w:tr>
    </w:tbl>
    <w:p w:rsidR="0014552F" w:rsidRPr="00B22BC3" w:rsidRDefault="0014552F" w:rsidP="0014552F">
      <w:pPr>
        <w:rPr>
          <w:lang w:val="en-US" w:eastAsia="en-US"/>
        </w:rPr>
        <w:sectPr w:rsidR="0014552F" w:rsidRPr="00B22BC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14552F" w:rsidRPr="00B22BC3" w:rsidRDefault="0014552F" w:rsidP="0014552F">
      <w:pPr>
        <w:pStyle w:val="Titulek"/>
        <w:keepNext/>
        <w:rPr>
          <w:rFonts w:ascii="Arial" w:hAnsi="Arial" w:cs="Arial"/>
          <w:b/>
          <w:i w:val="0"/>
          <w:color w:val="auto"/>
          <w:lang w:val="en-US"/>
        </w:rPr>
      </w:pPr>
      <w:r w:rsidRPr="00B22BC3">
        <w:rPr>
          <w:rFonts w:ascii="Arial" w:hAnsi="Arial" w:cs="Arial"/>
          <w:b/>
          <w:i w:val="0"/>
          <w:color w:val="auto"/>
          <w:lang w:val="en-US"/>
        </w:rPr>
        <w:lastRenderedPageBreak/>
        <w:t xml:space="preserve">Supplement Table 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begin"/>
      </w:r>
      <w:r w:rsidRPr="00B22BC3">
        <w:rPr>
          <w:rFonts w:ascii="Arial" w:hAnsi="Arial" w:cs="Arial"/>
          <w:b/>
          <w:i w:val="0"/>
          <w:color w:val="auto"/>
          <w:lang w:val="en-US"/>
        </w:rPr>
        <w:instrText xml:space="preserve"> SEQ Supplement_Table \* ARABIC </w:instrTex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separate"/>
      </w:r>
      <w:r w:rsidRPr="00B22BC3">
        <w:rPr>
          <w:rFonts w:ascii="Arial" w:hAnsi="Arial" w:cs="Arial"/>
          <w:b/>
          <w:i w:val="0"/>
          <w:noProof/>
          <w:color w:val="auto"/>
          <w:lang w:val="en-US"/>
        </w:rPr>
        <w:t>3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end"/>
      </w:r>
      <w:r w:rsidRPr="00B22BC3">
        <w:rPr>
          <w:rFonts w:ascii="Arial" w:hAnsi="Arial" w:cs="Arial"/>
          <w:b/>
          <w:i w:val="0"/>
          <w:color w:val="auto"/>
          <w:lang w:val="en-US"/>
        </w:rPr>
        <w:t xml:space="preserve">: </w:t>
      </w:r>
      <w:r w:rsidRPr="00B22BC3">
        <w:rPr>
          <w:rFonts w:ascii="Arial" w:hAnsi="Arial" w:cs="Arial"/>
          <w:i w:val="0"/>
          <w:color w:val="auto"/>
          <w:lang w:val="en-US"/>
        </w:rPr>
        <w:t xml:space="preserve">Sensitivity Analysis: Clinical metabolic variables at baseline (T0) and follow-up visit after 3 (T3) and 6 months (T6) and the mean difference plus 95% CI between T0 and T6 in the full data-set population </w:t>
      </w:r>
    </w:p>
    <w:tbl>
      <w:tblPr>
        <w:tblW w:w="128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1"/>
        <w:gridCol w:w="364"/>
        <w:gridCol w:w="1743"/>
        <w:gridCol w:w="419"/>
        <w:gridCol w:w="1681"/>
        <w:gridCol w:w="364"/>
        <w:gridCol w:w="1768"/>
        <w:gridCol w:w="364"/>
        <w:gridCol w:w="2700"/>
        <w:gridCol w:w="900"/>
      </w:tblGrid>
      <w:tr w:rsidR="0014552F" w:rsidRPr="00B22BC3" w:rsidTr="00B842C2">
        <w:trPr>
          <w:trHeight w:val="340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T0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T3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T6</w:t>
            </w:r>
          </w:p>
        </w:tc>
        <w:tc>
          <w:tcPr>
            <w:tcW w:w="3964" w:type="dxa"/>
            <w:gridSpan w:val="3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ΔT6-T0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± SD</w:t>
            </w:r>
          </w:p>
        </w:tc>
        <w:tc>
          <w:tcPr>
            <w:tcW w:w="4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± SD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± SD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difference (95% CI)</w:t>
            </w:r>
          </w:p>
        </w:tc>
        <w:tc>
          <w:tcPr>
            <w:tcW w:w="900" w:type="dxa"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  <w:t>p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 xml:space="preserve">Harris Benedict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[kcal/d]</w:t>
            </w:r>
          </w:p>
        </w:tc>
        <w:tc>
          <w:tcPr>
            <w:tcW w:w="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743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1726 ± 291</w:t>
            </w:r>
          </w:p>
        </w:tc>
        <w:tc>
          <w:tcPr>
            <w:tcW w:w="4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1681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1759 ± 276</w:t>
            </w:r>
          </w:p>
        </w:tc>
        <w:tc>
          <w:tcPr>
            <w:tcW w:w="36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1782 ± 272</w:t>
            </w:r>
          </w:p>
        </w:tc>
        <w:tc>
          <w:tcPr>
            <w:tcW w:w="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2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49 (34, 65)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 xml:space="preserve">0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[kcal/d]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2042 ± 357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1796 ± 283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1756 ± 280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-302 (-393, -212)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 xml:space="preserve">120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[kcal/d]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2125 ± 324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n.a.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1921 ± 264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-229 (-330, -128)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ΔREE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 xml:space="preserve">120-0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[kcal/d]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93 ± 203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n.a.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165 ± 113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71 (-6, 148)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0.07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>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/REE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 xml:space="preserve">Harris Benedict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[%]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119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± 14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102 ± 9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99 ± 10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  <w:t>-20 (-25, -16)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REE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>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/ATH </w:t>
            </w:r>
            <w:r w:rsidRPr="00B22BC3">
              <w:rPr>
                <w:rFonts w:eastAsia="Times New Roman"/>
                <w:color w:val="000000"/>
                <w:sz w:val="22"/>
                <w:szCs w:val="22"/>
                <w:lang w:val="en-US" w:eastAsia="de-DE"/>
              </w:rPr>
              <w:t>[kcal/kg]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30.6 ± 4.3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25.4 ± 2.4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24.8 ± 2.6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-5.5 (-6.9, -4.1)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&lt;0.0001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RQ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 xml:space="preserve">0 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0.71 ± 0.08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0.76 ± 0.06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0.75 ± 0.04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0.04 (0.01, 0.07)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&lt;0.01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RQ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>120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0.80 ± 0.08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n.a.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0.82 ± 0.05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0.02 (-0.01, 0.06)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0.19</w:t>
            </w:r>
          </w:p>
        </w:tc>
      </w:tr>
      <w:tr w:rsidR="0014552F" w:rsidRPr="00B22BC3" w:rsidTr="00B842C2">
        <w:trPr>
          <w:trHeight w:val="340"/>
        </w:trPr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ΔRQ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de-DE"/>
              </w:rPr>
              <w:t>120-0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0.09 ± 0.08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n.a.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0.07 ± 0.05</w:t>
            </w:r>
          </w:p>
        </w:tc>
        <w:tc>
          <w:tcPr>
            <w:tcW w:w="364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-0.02 (-0.05, 0.01)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0.23</w:t>
            </w:r>
          </w:p>
        </w:tc>
      </w:tr>
      <w:tr w:rsidR="0014552F" w:rsidRPr="00B22BC3" w:rsidTr="00B842C2">
        <w:trPr>
          <w:trHeight w:val="340"/>
        </w:trPr>
        <w:tc>
          <w:tcPr>
            <w:tcW w:w="12854" w:type="dxa"/>
            <w:gridSpan w:val="10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sz w:val="18"/>
              </w:rPr>
            </w:pPr>
            <w:r w:rsidRPr="00B22BC3">
              <w:rPr>
                <w:rFonts w:ascii="Arial" w:hAnsi="Arial" w:cs="Arial"/>
                <w:sz w:val="18"/>
              </w:rPr>
              <w:t xml:space="preserve">Data are shown as mean ± SD. Differences between T6 and T0 are shown as mean difference ± 95% CI. P-values were derived from paired T-test. </w:t>
            </w:r>
          </w:p>
          <w:p w:rsidR="0014552F" w:rsidRPr="00B22BC3" w:rsidRDefault="0014552F" w:rsidP="00B842C2">
            <w:pPr>
              <w:rPr>
                <w:rFonts w:ascii="Arial" w:eastAsia="Times New Roman" w:hAnsi="Arial" w:cs="Arial"/>
                <w:sz w:val="20"/>
                <w:szCs w:val="20"/>
                <w:lang w:val="en-US" w:eastAsia="de-DE"/>
              </w:rPr>
            </w:pPr>
            <w:r w:rsidRPr="00B22BC3">
              <w:rPr>
                <w:rFonts w:ascii="Arial" w:hAnsi="Arial" w:cs="Arial"/>
                <w:sz w:val="18"/>
              </w:rPr>
              <w:t>ATM, active tissue mass; CI, confidence interval; n.a., not applicable; REE, resting energy expenditure; RQ, respiratory quotient; SD, standard deviation; T0, baseline visit; T3, visit after three months; T6, visit after six month</w:t>
            </w:r>
          </w:p>
        </w:tc>
      </w:tr>
    </w:tbl>
    <w:p w:rsidR="0014552F" w:rsidRPr="00B22BC3" w:rsidRDefault="0014552F" w:rsidP="0014552F">
      <w:pPr>
        <w:pStyle w:val="Titulek"/>
        <w:keepNext/>
        <w:rPr>
          <w:rFonts w:ascii="Arial" w:hAnsi="Arial" w:cs="Arial"/>
          <w:b/>
          <w:i w:val="0"/>
          <w:color w:val="000000" w:themeColor="text1"/>
          <w:lang w:val="en-US"/>
        </w:rPr>
      </w:pPr>
    </w:p>
    <w:p w:rsidR="0014552F" w:rsidRPr="00B22BC3" w:rsidRDefault="0014552F" w:rsidP="0014552F">
      <w:pPr>
        <w:rPr>
          <w:lang w:val="en-US"/>
        </w:rPr>
      </w:pPr>
    </w:p>
    <w:p w:rsidR="0014552F" w:rsidRPr="00B22BC3" w:rsidRDefault="0014552F" w:rsidP="0014552F">
      <w:pPr>
        <w:tabs>
          <w:tab w:val="left" w:pos="1215"/>
        </w:tabs>
        <w:rPr>
          <w:lang w:val="en-US"/>
        </w:rPr>
        <w:sectPr w:rsidR="0014552F" w:rsidRPr="00B22BC3" w:rsidSect="00134DBE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 w:rsidRPr="00B22BC3">
        <w:rPr>
          <w:lang w:val="en-US"/>
        </w:rPr>
        <w:tab/>
      </w:r>
    </w:p>
    <w:p w:rsidR="0014552F" w:rsidRPr="00B22BC3" w:rsidRDefault="0014552F" w:rsidP="0014552F">
      <w:pPr>
        <w:pStyle w:val="Titulek"/>
        <w:keepNext/>
        <w:rPr>
          <w:rFonts w:ascii="Arial" w:hAnsi="Arial" w:cs="Arial"/>
          <w:b/>
          <w:i w:val="0"/>
          <w:color w:val="auto"/>
          <w:lang w:val="en-US"/>
        </w:rPr>
      </w:pPr>
      <w:r w:rsidRPr="00B22BC3">
        <w:rPr>
          <w:rFonts w:ascii="Arial" w:hAnsi="Arial" w:cs="Arial"/>
          <w:b/>
          <w:i w:val="0"/>
          <w:color w:val="auto"/>
          <w:lang w:val="en-US"/>
        </w:rPr>
        <w:lastRenderedPageBreak/>
        <w:t xml:space="preserve">Supplement Table 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begin"/>
      </w:r>
      <w:r w:rsidRPr="00B22BC3">
        <w:rPr>
          <w:rFonts w:ascii="Arial" w:hAnsi="Arial" w:cs="Arial"/>
          <w:b/>
          <w:i w:val="0"/>
          <w:color w:val="auto"/>
          <w:lang w:val="en-US"/>
        </w:rPr>
        <w:instrText xml:space="preserve"> SEQ Supplement_Table \* ARABIC </w:instrTex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separate"/>
      </w:r>
      <w:r w:rsidRPr="00B22BC3">
        <w:rPr>
          <w:rFonts w:ascii="Arial" w:hAnsi="Arial" w:cs="Arial"/>
          <w:b/>
          <w:i w:val="0"/>
          <w:noProof/>
          <w:color w:val="auto"/>
          <w:lang w:val="en-US"/>
        </w:rPr>
        <w:t>4</w:t>
      </w:r>
      <w:r w:rsidRPr="00B22BC3">
        <w:rPr>
          <w:rFonts w:ascii="Arial" w:hAnsi="Arial" w:cs="Arial"/>
          <w:b/>
          <w:i w:val="0"/>
          <w:color w:val="auto"/>
          <w:lang w:val="en-US"/>
        </w:rPr>
        <w:fldChar w:fldCharType="end"/>
      </w:r>
      <w:r w:rsidRPr="00B22BC3">
        <w:rPr>
          <w:rFonts w:ascii="Arial" w:hAnsi="Arial" w:cs="Arial"/>
          <w:b/>
          <w:i w:val="0"/>
          <w:color w:val="auto"/>
          <w:lang w:val="en-US"/>
        </w:rPr>
        <w:t xml:space="preserve">: </w:t>
      </w:r>
      <w:r w:rsidRPr="00B22BC3">
        <w:rPr>
          <w:rFonts w:ascii="Arial" w:hAnsi="Arial" w:cs="Arial"/>
          <w:i w:val="0"/>
          <w:color w:val="auto"/>
          <w:lang w:val="en-US"/>
        </w:rPr>
        <w:t>Sensitivity Analysis: Outcome indices at baseline (T0) and follow-up visit after 6 months (T6) and the mean differences or median of differences plus 95% CI between these visits in the normal glycemic and hyperglycemic groups in the full data-set</w:t>
      </w:r>
    </w:p>
    <w:tbl>
      <w:tblPr>
        <w:tblW w:w="94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1"/>
        <w:gridCol w:w="1814"/>
        <w:gridCol w:w="1134"/>
        <w:gridCol w:w="681"/>
        <w:gridCol w:w="2891"/>
        <w:gridCol w:w="620"/>
        <w:gridCol w:w="61"/>
      </w:tblGrid>
      <w:tr w:rsidR="0014552F" w:rsidRPr="00B22BC3" w:rsidTr="00B842C2">
        <w:trPr>
          <w:trHeight w:val="56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nil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Normal glycemia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Hyperglycemia</w:t>
            </w:r>
          </w:p>
        </w:tc>
        <w:tc>
          <w:tcPr>
            <w:tcW w:w="3572" w:type="dxa"/>
            <w:gridSpan w:val="3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Adjusted group differences</w:t>
            </w:r>
          </w:p>
        </w:tc>
      </w:tr>
      <w:tr w:rsidR="0014552F" w:rsidRPr="00B22BC3" w:rsidTr="00B842C2">
        <w:trPr>
          <w:trHeight w:val="340"/>
        </w:trPr>
        <w:tc>
          <w:tcPr>
            <w:tcW w:w="2211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201" w:type="dxa"/>
            <w:gridSpan w:val="6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  <w:t>T0 (n=37)</w:t>
            </w:r>
          </w:p>
        </w:tc>
      </w:tr>
      <w:tr w:rsidR="0014552F" w:rsidRPr="00B22BC3" w:rsidTr="00B842C2">
        <w:trPr>
          <w:trHeight w:val="567"/>
        </w:trPr>
        <w:tc>
          <w:tcPr>
            <w:tcW w:w="2211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814" w:type="dxa"/>
            <w:tcBorders>
              <w:top w:val="nil"/>
              <w:left w:val="single" w:sz="12" w:space="0" w:color="auto"/>
              <w:bottom w:val="single" w:sz="12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± SD /</w:t>
            </w:r>
          </w:p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median (IQR)*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12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± SD /</w:t>
            </w:r>
          </w:p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median (IQR)*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difference (95% CI) /</w:t>
            </w:r>
          </w:p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median of difference (95% CI)*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de-DE"/>
              </w:rPr>
              <w:t>p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Insulinogenic index*</w:t>
            </w:r>
          </w:p>
        </w:tc>
        <w:tc>
          <w:tcPr>
            <w:tcW w:w="1814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2.68 (1.46, 4.06)</w:t>
            </w:r>
          </w:p>
        </w:tc>
        <w:tc>
          <w:tcPr>
            <w:tcW w:w="1815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0.96 (0.76, 1.47)</w:t>
            </w:r>
          </w:p>
        </w:tc>
        <w:tc>
          <w:tcPr>
            <w:tcW w:w="289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  <w:t>-1.32 (-2.22, -0.42)</w:t>
            </w:r>
          </w:p>
        </w:tc>
        <w:tc>
          <w:tcPr>
            <w:tcW w:w="681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&lt;0.01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Insulin sensitivity index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3.77 ± 1.89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2.99 ± 1.18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-0.94 (-2.08, 0.20)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0.10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Disposition Index*</w:t>
            </w:r>
          </w:p>
        </w:tc>
        <w:tc>
          <w:tcPr>
            <w:tcW w:w="1814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8.92 (4.94, 16.97)</w:t>
            </w:r>
          </w:p>
        </w:tc>
        <w:tc>
          <w:tcPr>
            <w:tcW w:w="1815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3.04 (1.59, 4.74)</w:t>
            </w:r>
          </w:p>
        </w:tc>
        <w:tc>
          <w:tcPr>
            <w:tcW w:w="289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-5.83 (-11.86, 0.20)</w:t>
            </w:r>
          </w:p>
        </w:tc>
        <w:tc>
          <w:tcPr>
            <w:tcW w:w="681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0.06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HOMA-INS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1.59 ± 1.02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1.96 ± 0.92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0.51 (-0.17, 1.19)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0.14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HOMA-IR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2.64 ± 1.84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3.91 ± 2.34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1.52 (-0.03, 3.07)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0.05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20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T6 (n</w:t>
            </w: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  <w:t>=31)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Insulinogenic index*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1.50 (0.99, 2.26)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1.15 (0.60, 1.55)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-0.45 (-1.30, 0.41)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0.30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Insulin sensitivity index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5.03 ± 2.17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4.56 ± 2.59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-0.49 (-2.51, 1.54)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0.63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Disposition Index*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5.96 (4.80, 8.42)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4.32 (2.96, 6.89)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-1.87 (-4.18, 0.25)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0.11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HOMA-beta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1.18 ± 0.48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1.53 ± 1.18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0.41 (-0.40, 1.21)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0.31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HOMA-IR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2.04 ± 0.81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3.05 ± 2.70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1.09 (-0.72, 2.89)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0.23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20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DE"/>
              </w:rPr>
              <w:t>ΔT6-T0 (n=31)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Normal glycemia</w:t>
            </w:r>
          </w:p>
        </w:tc>
        <w:tc>
          <w:tcPr>
            <w:tcW w:w="3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val="de-DE" w:eastAsia="de-DE"/>
              </w:rPr>
              <w:t>Hyperglycemia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difference (95% CI) /</w:t>
            </w:r>
          </w:p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median of difference (95% CI)*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mean difference (95% CI) /</w:t>
            </w:r>
          </w:p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median of difference (95% CI)*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Insulinogenic index*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-0.85 (-2.59, 4.75)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0.41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-0.02 (-0.16, 0.37)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0.73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Insulin sensitivity index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+0.98 (-0.24, 2.21)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0.10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+1.93 (0.71, 3.15)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&lt;0.01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Disposition Index*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0.67 (-7.18, 21.69)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0.83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1.71 (-0.17, 2.92)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0.21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HOMA-beta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-0.32 (-0.83, 0.20)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0.20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-0.58 (-1.02, -0.15)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0.01</w:t>
            </w:r>
          </w:p>
        </w:tc>
      </w:tr>
      <w:tr w:rsidR="0014552F" w:rsidRPr="00B22BC3" w:rsidTr="00B842C2">
        <w:trPr>
          <w:trHeight w:val="397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HOMA-IR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-0.44 (-1.35, 0.47)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0.31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-1.22 (-2.15, -0.28)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0.01</w:t>
            </w:r>
          </w:p>
        </w:tc>
      </w:tr>
      <w:tr w:rsidR="0014552F" w:rsidRPr="00B22BC3" w:rsidTr="00B842C2">
        <w:trPr>
          <w:gridAfter w:val="1"/>
          <w:wAfter w:w="61" w:type="dxa"/>
          <w:trHeight w:val="397"/>
        </w:trPr>
        <w:tc>
          <w:tcPr>
            <w:tcW w:w="9351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4552F" w:rsidRPr="00B22BC3" w:rsidRDefault="0014552F" w:rsidP="00B842C2">
            <w:pPr>
              <w:rPr>
                <w:rFonts w:ascii="Arial" w:hAnsi="Arial" w:cs="Arial"/>
                <w:sz w:val="18"/>
              </w:rPr>
            </w:pPr>
            <w:r w:rsidRPr="00B22BC3">
              <w:rPr>
                <w:rFonts w:ascii="Arial" w:hAnsi="Arial" w:cs="Arial"/>
                <w:sz w:val="18"/>
              </w:rPr>
              <w:t>Data are shown as mean ± SD. Differences between the normal glycaemic and hyperglycaemic group are shown as age- and sex-adjusted mean difference ± 95% CI. P-values were derived from unpaired T-test.</w:t>
            </w:r>
          </w:p>
          <w:p w:rsidR="0014552F" w:rsidRPr="00B22BC3" w:rsidRDefault="0014552F" w:rsidP="00B842C2">
            <w:pPr>
              <w:rPr>
                <w:rFonts w:ascii="Arial" w:hAnsi="Arial" w:cs="Arial"/>
                <w:sz w:val="18"/>
              </w:rPr>
            </w:pPr>
            <w:r w:rsidRPr="00B22BC3">
              <w:rPr>
                <w:rFonts w:ascii="Arial" w:hAnsi="Arial" w:cs="Arial"/>
                <w:sz w:val="18"/>
              </w:rPr>
              <w:t xml:space="preserve">Differences over time between T6 and T0 were derived from paired T-test </w:t>
            </w:r>
          </w:p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18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18"/>
                <w:lang w:val="en-US" w:eastAsia="de-DE"/>
              </w:rPr>
              <w:t>CI, confidence interval; HOMA-beta, homeostasis model assessment of beta cell function; HOMA-IR, homeostasis model assessment of insulin resistance; SD, standard deviation; T0, baseline visit; T6, visit after six month; ΔT6-T0, change between T6 and T0;</w:t>
            </w:r>
          </w:p>
          <w:p w:rsidR="0014552F" w:rsidRPr="00B22BC3" w:rsidRDefault="0014552F" w:rsidP="00B842C2">
            <w:pPr>
              <w:rPr>
                <w:rFonts w:ascii="Arial" w:eastAsia="Times New Roman" w:hAnsi="Arial" w:cs="Arial"/>
                <w:color w:val="000000"/>
                <w:sz w:val="18"/>
                <w:lang w:val="en-US" w:eastAsia="de-DE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18"/>
                <w:lang w:val="en-US" w:eastAsia="de-DE"/>
              </w:rPr>
              <w:t xml:space="preserve">* skewed distributed variables are shown as median and IQR and median of difference and 95% CI </w:t>
            </w:r>
          </w:p>
          <w:p w:rsidR="0014552F" w:rsidRPr="00B22BC3" w:rsidRDefault="0014552F" w:rsidP="00B842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</w:tbl>
    <w:p w:rsidR="0014552F" w:rsidRPr="00B22BC3" w:rsidRDefault="0014552F" w:rsidP="0014552F">
      <w:pPr>
        <w:pStyle w:val="Titulek"/>
        <w:keepNext/>
        <w:rPr>
          <w:rFonts w:ascii="Arial" w:hAnsi="Arial" w:cs="Arial"/>
          <w:b/>
          <w:i w:val="0"/>
          <w:color w:val="000000" w:themeColor="text1"/>
          <w:sz w:val="12"/>
          <w:lang w:val="en-US"/>
        </w:rPr>
      </w:pPr>
    </w:p>
    <w:p w:rsidR="0014552F" w:rsidRPr="00B22BC3" w:rsidRDefault="0014552F" w:rsidP="0014552F">
      <w:pPr>
        <w:rPr>
          <w:lang w:val="en-US"/>
        </w:rPr>
      </w:pPr>
    </w:p>
    <w:p w:rsidR="0014552F" w:rsidRPr="00B22BC3" w:rsidRDefault="0014552F" w:rsidP="0014552F">
      <w:pPr>
        <w:rPr>
          <w:lang w:val="en-US"/>
        </w:rPr>
      </w:pPr>
    </w:p>
    <w:p w:rsidR="0014552F" w:rsidRPr="00B22BC3" w:rsidRDefault="0014552F" w:rsidP="0014552F">
      <w:pPr>
        <w:rPr>
          <w:lang w:val="en-US"/>
        </w:rPr>
      </w:pPr>
    </w:p>
    <w:p w:rsidR="0014552F" w:rsidRPr="00B22BC3" w:rsidRDefault="0014552F" w:rsidP="0014552F">
      <w:pPr>
        <w:rPr>
          <w:lang w:val="en-US"/>
        </w:rPr>
      </w:pPr>
    </w:p>
    <w:p w:rsidR="0014552F" w:rsidRPr="00B22BC3" w:rsidRDefault="0014552F" w:rsidP="0014552F">
      <w:pPr>
        <w:rPr>
          <w:lang w:val="en-US"/>
        </w:rPr>
      </w:pPr>
    </w:p>
    <w:p w:rsidR="0014552F" w:rsidRPr="00B22BC3" w:rsidRDefault="0014552F" w:rsidP="0014552F">
      <w:pPr>
        <w:rPr>
          <w:rFonts w:ascii="Arial" w:hAnsi="Arial" w:cs="Arial"/>
          <w:bCs/>
          <w:sz w:val="18"/>
          <w:szCs w:val="18"/>
          <w:lang w:val="en-US"/>
        </w:rPr>
      </w:pPr>
      <w:r w:rsidRPr="00B22BC3">
        <w:rPr>
          <w:rFonts w:ascii="Arial" w:hAnsi="Arial" w:cs="Arial"/>
          <w:b/>
          <w:sz w:val="18"/>
          <w:szCs w:val="18"/>
          <w:lang w:val="en-US"/>
        </w:rPr>
        <w:lastRenderedPageBreak/>
        <w:t xml:space="preserve">Supplement Table 5: </w:t>
      </w:r>
      <w:r w:rsidRPr="00B22BC3">
        <w:rPr>
          <w:rFonts w:ascii="Arial" w:hAnsi="Arial" w:cs="Arial"/>
          <w:bCs/>
          <w:sz w:val="18"/>
          <w:szCs w:val="18"/>
          <w:lang w:val="en-US"/>
        </w:rPr>
        <w:t xml:space="preserve">COVID-19 Related Symptoms: Absolute number of symptom occurrences and percentage representation in the study cohort during baseline (T0) and follow-up visits (T3, T6), n = total number of participants. </w:t>
      </w:r>
    </w:p>
    <w:p w:rsidR="0014552F" w:rsidRPr="00B22BC3" w:rsidRDefault="0014552F" w:rsidP="0014552F">
      <w:pPr>
        <w:rPr>
          <w:bCs/>
          <w:sz w:val="18"/>
          <w:szCs w:val="18"/>
        </w:rPr>
      </w:pPr>
    </w:p>
    <w:tbl>
      <w:tblPr>
        <w:tblW w:w="8940" w:type="dxa"/>
        <w:tblLook w:val="04A0" w:firstRow="1" w:lastRow="0" w:firstColumn="1" w:lastColumn="0" w:noHBand="0" w:noVBand="1"/>
      </w:tblPr>
      <w:tblGrid>
        <w:gridCol w:w="3240"/>
        <w:gridCol w:w="2340"/>
        <w:gridCol w:w="1680"/>
        <w:gridCol w:w="1680"/>
      </w:tblGrid>
      <w:tr w:rsidR="0014552F" w:rsidRPr="00B22BC3" w:rsidTr="00B842C2">
        <w:trPr>
          <w:trHeight w:val="68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Symptoms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T0                  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cs-CZ" w:eastAsia="en-US"/>
              </w:rPr>
              <w:t xml:space="preserve">   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          n = 21* 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T3                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cs-CZ" w:eastAsia="en-US"/>
              </w:rPr>
              <w:t xml:space="preserve">  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   n = 37 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T6                     n = 36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Fatigue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19 (90.48 %)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24 (64.86 %)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12 (33.33 %)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Muscle aiches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5 (23.81 %)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6 (16.22 %)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(8.33 %)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Joint pain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 (4.76 %)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6 (16.22 %)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8 (22.22 %)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Muscle weakness/decondition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19 (90.48 %)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17 (45.95 %)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10 (27.78 %)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Fever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(9.52 %)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0 (0.00 %)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0 (0.00 %)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Sweating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4 (19.05 %)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(13.51 %)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(5.56 %)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Wei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cs-CZ" w:eastAsia="en-US"/>
              </w:rPr>
              <w:t>ght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 loss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10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en-US"/>
              </w:rPr>
              <w:t>*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 (66.67 %)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(5.41 %)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(8.33 %)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Reduced oral intake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10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val="en-US" w:eastAsia="en-US"/>
              </w:rPr>
              <w:t>*</w:t>
            </w: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 (66.67 %)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7 (18.92 %)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(13.89 %)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Dyspnea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12 (57.14 %)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19 (51.35 %)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7 (19.44 %)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Cough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7 (33.33 %)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4 (10.81 %)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(8.33 %)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Chest pain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0 (0.00 %)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(13.51 %)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4 (11.11 %)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Palpitation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 (4.76 %)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(13.51 %)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(8.33 %)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Depression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(9.52 %)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(8.11 %)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(13.89 %)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Insomnia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9 (42.86 %)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(13.51 %)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8 (22.22 %)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PTSD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(14.29 %)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0 (0.00 %)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 (2.78 %)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Loss of smell/taste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5 (23.81 %)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(5.41 %)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(5.56 %)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Cefalea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(9.52 %)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4 (10.81 %)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5 (13.89 %)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Cognitive imparement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 (10.00 %)**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6 (16.22 %)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6 (16.67 %)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Diarhoe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0 (0.00 %)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2 (5.41 %)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3 (8.33 %)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Hair loss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4 (19.05 %) </w:t>
            </w:r>
          </w:p>
        </w:tc>
        <w:tc>
          <w:tcPr>
            <w:tcW w:w="1680" w:type="dxa"/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17 (45.95 %)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9 (25.00 %) </w:t>
            </w:r>
          </w:p>
        </w:tc>
      </w:tr>
      <w:tr w:rsidR="0014552F" w:rsidRPr="00B22BC3" w:rsidTr="00B842C2">
        <w:trPr>
          <w:trHeight w:val="38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Skin rash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 (4.76 %)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 xml:space="preserve">1 (2.70 %) 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552F" w:rsidRPr="00B22BC3" w:rsidRDefault="0014552F" w:rsidP="00B842C2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</w:pPr>
            <w:r w:rsidRPr="00B22BC3">
              <w:rPr>
                <w:rFonts w:ascii="Arial" w:eastAsia="Times New Roman" w:hAnsi="Arial" w:cs="Arial"/>
                <w:color w:val="000000"/>
                <w:sz w:val="20"/>
                <w:szCs w:val="22"/>
                <w:lang w:eastAsia="en-US"/>
              </w:rPr>
              <w:t>0 (0.00 %)</w:t>
            </w:r>
          </w:p>
        </w:tc>
      </w:tr>
    </w:tbl>
    <w:p w:rsidR="0014552F" w:rsidRPr="00B22BC3" w:rsidRDefault="0014552F" w:rsidP="0014552F">
      <w:pPr>
        <w:rPr>
          <w:rFonts w:ascii="Arial" w:hAnsi="Arial" w:cs="Arial"/>
          <w:bCs/>
          <w:sz w:val="18"/>
          <w:szCs w:val="18"/>
          <w:lang w:val="en-US"/>
        </w:rPr>
      </w:pPr>
    </w:p>
    <w:p w:rsidR="0014552F" w:rsidRPr="00B22BC3" w:rsidRDefault="0014552F" w:rsidP="0014552F">
      <w:pPr>
        <w:rPr>
          <w:rFonts w:ascii="Arial" w:eastAsia="Times New Roman" w:hAnsi="Arial" w:cs="Arial"/>
          <w:color w:val="000000"/>
          <w:sz w:val="18"/>
          <w:szCs w:val="18"/>
          <w:lang w:val="cs-CZ" w:eastAsia="en-US"/>
        </w:rPr>
      </w:pPr>
      <w:r w:rsidRPr="00B22BC3">
        <w:rPr>
          <w:rFonts w:ascii="Arial" w:eastAsia="Times New Roman" w:hAnsi="Arial" w:cs="Arial"/>
          <w:color w:val="000000"/>
          <w:sz w:val="18"/>
          <w:szCs w:val="18"/>
          <w:lang w:eastAsia="en-US"/>
        </w:rPr>
        <w:t>*</w:t>
      </w:r>
      <w:r w:rsidRPr="00B22BC3">
        <w:rPr>
          <w:rFonts w:ascii="Arial" w:eastAsia="Times New Roman" w:hAnsi="Arial" w:cs="Arial"/>
          <w:color w:val="000000"/>
          <w:sz w:val="18"/>
          <w:szCs w:val="18"/>
          <w:lang w:val="cs-CZ" w:eastAsia="en-US"/>
        </w:rPr>
        <w:t xml:space="preserve"> Only 21 returned questionnaires were available at T0 </w:t>
      </w:r>
    </w:p>
    <w:p w:rsidR="0014552F" w:rsidRPr="00421C3E" w:rsidRDefault="0014552F" w:rsidP="0014552F">
      <w:pPr>
        <w:rPr>
          <w:sz w:val="18"/>
          <w:szCs w:val="18"/>
        </w:rPr>
      </w:pPr>
      <w:r w:rsidRPr="00B22BC3">
        <w:rPr>
          <w:rFonts w:ascii="Arial" w:eastAsia="Times New Roman" w:hAnsi="Arial" w:cs="Arial"/>
          <w:color w:val="000000"/>
          <w:sz w:val="18"/>
          <w:szCs w:val="18"/>
          <w:lang w:eastAsia="en-US"/>
        </w:rPr>
        <w:t>**</w:t>
      </w:r>
      <w:r w:rsidRPr="00B22BC3">
        <w:rPr>
          <w:rFonts w:ascii="Arial" w:hAnsi="Arial" w:cs="Arial"/>
          <w:bCs/>
          <w:sz w:val="18"/>
          <w:szCs w:val="18"/>
          <w:lang w:val="en-US"/>
        </w:rPr>
        <w:t xml:space="preserve"> Only 15 participants answered the question about the symptom at T0 (n = 15).</w:t>
      </w:r>
      <w:r w:rsidRPr="00421C3E">
        <w:rPr>
          <w:rFonts w:ascii="Arial" w:hAnsi="Arial" w:cs="Arial"/>
          <w:bCs/>
          <w:sz w:val="18"/>
          <w:szCs w:val="18"/>
          <w:lang w:val="en-US"/>
        </w:rPr>
        <w:t xml:space="preserve"> </w:t>
      </w:r>
    </w:p>
    <w:p w:rsidR="0014552F" w:rsidRDefault="0014552F" w:rsidP="0014552F"/>
    <w:p w:rsidR="0014552F" w:rsidRDefault="0014552F" w:rsidP="0014552F">
      <w:pPr>
        <w:ind w:firstLine="708"/>
        <w:rPr>
          <w:lang w:val="cs-CZ"/>
        </w:rPr>
      </w:pPr>
    </w:p>
    <w:p w:rsidR="0014552F" w:rsidRDefault="0014552F" w:rsidP="0014552F"/>
    <w:p w:rsidR="00EF483D" w:rsidRDefault="0014552F">
      <w:bookmarkStart w:id="0" w:name="_GoBack"/>
      <w:bookmarkEnd w:id="0"/>
    </w:p>
    <w:sectPr w:rsidR="00EF48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52F"/>
    <w:rsid w:val="0014552F"/>
    <w:rsid w:val="00157FB7"/>
    <w:rsid w:val="007D06A0"/>
    <w:rsid w:val="00A1280A"/>
    <w:rsid w:val="00C5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0ED16-CF15-4052-961D-60CC59889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4552F"/>
    <w:pPr>
      <w:spacing w:after="0" w:line="240" w:lineRule="auto"/>
    </w:pPr>
    <w:rPr>
      <w:rFonts w:ascii="Calibri" w:eastAsia="Calibri" w:hAnsi="Calibri" w:cs="Calibri"/>
      <w:sz w:val="24"/>
      <w:szCs w:val="24"/>
      <w:lang w:val="en-GB" w:eastAsia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14552F"/>
    <w:rPr>
      <w:sz w:val="16"/>
      <w:szCs w:val="16"/>
    </w:rPr>
  </w:style>
  <w:style w:type="paragraph" w:styleId="Titulek">
    <w:name w:val="caption"/>
    <w:basedOn w:val="Normln"/>
    <w:next w:val="Normln"/>
    <w:uiPriority w:val="35"/>
    <w:unhideWhenUsed/>
    <w:qFormat/>
    <w:rsid w:val="0014552F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de-DE" w:eastAsia="en-US"/>
    </w:rPr>
  </w:style>
  <w:style w:type="paragraph" w:styleId="Textkomente">
    <w:name w:val="annotation text"/>
    <w:basedOn w:val="Normln"/>
    <w:link w:val="TextkomenteChar"/>
    <w:uiPriority w:val="99"/>
    <w:unhideWhenUsed/>
    <w:rsid w:val="0014552F"/>
    <w:pPr>
      <w:spacing w:after="160"/>
    </w:pPr>
    <w:rPr>
      <w:rFonts w:asciiTheme="minorHAnsi" w:eastAsiaTheme="minorHAnsi" w:hAnsiTheme="minorHAnsi" w:cstheme="minorBidi"/>
      <w:sz w:val="20"/>
      <w:szCs w:val="20"/>
      <w:lang w:val="de-DE" w:eastAsia="en-US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14552F"/>
    <w:rPr>
      <w:sz w:val="20"/>
      <w:szCs w:val="20"/>
      <w:lang w:val="de-D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4552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4552F"/>
    <w:rPr>
      <w:rFonts w:ascii="Segoe UI" w:eastAsia="Calibri" w:hAnsi="Segoe UI" w:cs="Segoe UI"/>
      <w:sz w:val="18"/>
      <w:szCs w:val="18"/>
      <w:lang w:val="en-GB" w:eastAsia="en-GB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4552F"/>
    <w:pPr>
      <w:spacing w:after="0"/>
    </w:pPr>
    <w:rPr>
      <w:rFonts w:ascii="Calibri" w:eastAsia="Calibri" w:hAnsi="Calibri" w:cs="Calibri"/>
      <w:b/>
      <w:bCs/>
      <w:lang w:val="en-GB" w:eastAsia="en-GB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4552F"/>
    <w:rPr>
      <w:rFonts w:ascii="Calibri" w:eastAsia="Calibri" w:hAnsi="Calibri" w:cs="Calibri"/>
      <w:b/>
      <w:bCs/>
      <w:sz w:val="20"/>
      <w:szCs w:val="20"/>
      <w:lang w:val="en-GB" w:eastAsia="en-GB"/>
    </w:rPr>
  </w:style>
  <w:style w:type="paragraph" w:styleId="Zhlav">
    <w:name w:val="header"/>
    <w:basedOn w:val="Normln"/>
    <w:link w:val="ZhlavChar"/>
    <w:uiPriority w:val="99"/>
    <w:unhideWhenUsed/>
    <w:rsid w:val="0014552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4552F"/>
    <w:rPr>
      <w:rFonts w:ascii="Calibri" w:eastAsia="Calibri" w:hAnsi="Calibri" w:cs="Calibri"/>
      <w:sz w:val="24"/>
      <w:szCs w:val="24"/>
      <w:lang w:val="en-GB" w:eastAsia="en-GB"/>
    </w:rPr>
  </w:style>
  <w:style w:type="paragraph" w:styleId="Zpat">
    <w:name w:val="footer"/>
    <w:basedOn w:val="Normln"/>
    <w:link w:val="ZpatChar"/>
    <w:uiPriority w:val="99"/>
    <w:unhideWhenUsed/>
    <w:rsid w:val="0014552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4552F"/>
    <w:rPr>
      <w:rFonts w:ascii="Calibri" w:eastAsia="Calibri" w:hAnsi="Calibri" w:cs="Calibri"/>
      <w:sz w:val="24"/>
      <w:szCs w:val="24"/>
      <w:lang w:val="en-GB" w:eastAsia="en-GB"/>
    </w:rPr>
  </w:style>
  <w:style w:type="character" w:styleId="Zstupntext">
    <w:name w:val="Placeholder Text"/>
    <w:basedOn w:val="Standardnpsmoodstavce"/>
    <w:uiPriority w:val="99"/>
    <w:semiHidden/>
    <w:rsid w:val="0014552F"/>
    <w:rPr>
      <w:color w:val="808080"/>
    </w:rPr>
  </w:style>
  <w:style w:type="paragraph" w:styleId="Odstavecseseznamem">
    <w:name w:val="List Paragraph"/>
    <w:basedOn w:val="Normln"/>
    <w:uiPriority w:val="34"/>
    <w:qFormat/>
    <w:rsid w:val="00145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1678</Words>
  <Characters>9566</Characters>
  <Application>Microsoft Office Word</Application>
  <DocSecurity>0</DocSecurity>
  <Lines>79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GOJDA Jan MUDr.</dc:creator>
  <cp:keywords/>
  <dc:description/>
  <cp:lastModifiedBy>GOJDA Jan MUDr.</cp:lastModifiedBy>
  <cp:revision>1</cp:revision>
  <dcterms:created xsi:type="dcterms:W3CDTF">2022-08-29T10:33:00Z</dcterms:created>
  <dcterms:modified xsi:type="dcterms:W3CDTF">2022-08-29T10:33:00Z</dcterms:modified>
</cp:coreProperties>
</file>