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4CDE9" w14:textId="77777777" w:rsidR="00D958F9" w:rsidRDefault="00D958F9" w:rsidP="00D958F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0"/>
        </w:rPr>
      </w:pPr>
      <w:r w:rsidRPr="00B00E45">
        <w:rPr>
          <w:rFonts w:ascii="Times New Roman" w:eastAsia="Times New Roman" w:hAnsi="Times New Roman" w:cs="Times New Roman"/>
          <w:b/>
          <w:color w:val="000000"/>
          <w:sz w:val="20"/>
        </w:rPr>
        <w:t>Journal of Cancer Research and Clinical Oncology</w:t>
      </w:r>
    </w:p>
    <w:p w14:paraId="657C57C8" w14:textId="77777777" w:rsidR="00D958F9" w:rsidRDefault="00D958F9" w:rsidP="00D958F9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0"/>
        </w:rPr>
      </w:pPr>
    </w:p>
    <w:p w14:paraId="1B0CAE5C" w14:textId="77777777" w:rsidR="00B80CBE" w:rsidRPr="004711CA" w:rsidRDefault="00B80CBE" w:rsidP="00B80CBE">
      <w:pPr>
        <w:spacing w:line="480" w:lineRule="auto"/>
        <w:rPr>
          <w:rFonts w:eastAsia="Times New Roman" w:cstheme="minorHAnsi"/>
          <w:b/>
          <w:color w:val="000000"/>
          <w:sz w:val="20"/>
        </w:rPr>
      </w:pPr>
      <w:r>
        <w:rPr>
          <w:rFonts w:eastAsia="Times New Roman" w:cstheme="minorHAnsi"/>
          <w:b/>
          <w:color w:val="000000"/>
          <w:sz w:val="20"/>
        </w:rPr>
        <w:t xml:space="preserve">Impact of </w:t>
      </w:r>
      <w:r w:rsidRPr="004711CA">
        <w:rPr>
          <w:rFonts w:eastAsia="Times New Roman" w:cstheme="minorHAnsi"/>
          <w:b/>
          <w:color w:val="000000"/>
          <w:sz w:val="20"/>
        </w:rPr>
        <w:t xml:space="preserve">prior immune checkpoint inhibitor </w:t>
      </w:r>
      <w:r>
        <w:rPr>
          <w:rFonts w:eastAsia="Times New Roman" w:cstheme="minorHAnsi"/>
          <w:b/>
          <w:color w:val="000000"/>
          <w:sz w:val="20"/>
        </w:rPr>
        <w:t xml:space="preserve">and its tumor response on </w:t>
      </w:r>
      <w:r w:rsidRPr="004711CA">
        <w:rPr>
          <w:rFonts w:eastAsia="Times New Roman" w:cstheme="minorHAnsi"/>
          <w:b/>
          <w:color w:val="000000"/>
          <w:sz w:val="20"/>
        </w:rPr>
        <w:t>ramucirumab and docetaxel for advanced non-small cell lung cancer</w:t>
      </w:r>
      <w:r>
        <w:rPr>
          <w:rFonts w:eastAsia="Times New Roman" w:cstheme="minorHAnsi"/>
          <w:b/>
          <w:color w:val="000000"/>
          <w:sz w:val="20"/>
        </w:rPr>
        <w:t>: a multicenter retrospective cohort study</w:t>
      </w:r>
    </w:p>
    <w:p w14:paraId="3BDA4E99" w14:textId="77777777" w:rsidR="00D958F9" w:rsidRPr="00B80CBE" w:rsidRDefault="00D958F9" w:rsidP="00D958F9">
      <w:pPr>
        <w:spacing w:line="480" w:lineRule="auto"/>
        <w:rPr>
          <w:b/>
          <w:color w:val="000000"/>
          <w:sz w:val="20"/>
        </w:rPr>
      </w:pPr>
    </w:p>
    <w:p w14:paraId="41061A20" w14:textId="77777777" w:rsidR="00D958F9" w:rsidRDefault="00D958F9" w:rsidP="00D958F9">
      <w:pPr>
        <w:spacing w:line="480" w:lineRule="auto"/>
        <w:rPr>
          <w:rFonts w:ascii="Times New Roman" w:eastAsia="Times New Roman" w:hAnsi="Times New Roman" w:cs="Times New Roman"/>
          <w:color w:val="000000"/>
          <w:sz w:val="20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0"/>
        </w:rPr>
        <w:t>Satoshi Tanizaki MD</w:t>
      </w: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*1</w:t>
      </w:r>
      <w:r>
        <w:rPr>
          <w:rFonts w:ascii="Times New Roman" w:eastAsia="Times New Roman" w:hAnsi="Times New Roman" w:cs="Times New Roman"/>
          <w:color w:val="000000"/>
          <w:sz w:val="20"/>
        </w:rPr>
        <w:t>, Kinnosuke Matsumoto MD</w:t>
      </w: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*2</w:t>
      </w:r>
      <w:r>
        <w:rPr>
          <w:rFonts w:ascii="Times New Roman" w:eastAsia="Times New Roman" w:hAnsi="Times New Roman" w:cs="Times New Roman"/>
          <w:color w:val="000000"/>
          <w:sz w:val="20"/>
        </w:rPr>
        <w:t>, Akihiro Tamiya MD</w:t>
      </w: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0"/>
        </w:rPr>
        <w:t>, Yoshihiko Taniguchi MD</w:t>
      </w: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0"/>
        </w:rPr>
        <w:t>, Yoshinobu Matsuda MD</w:t>
      </w: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0"/>
        </w:rPr>
        <w:t>, Junji Uchida MD, PhD</w:t>
      </w: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0"/>
        </w:rPr>
        <w:t>, Kiyonobu Ueno MD, PhD</w:t>
      </w: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0"/>
        </w:rPr>
        <w:t>, Hayato Kawachi MD</w:t>
      </w: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  <w:sz w:val="20"/>
        </w:rPr>
        <w:t>, Motohiro Tamiya MD</w:t>
      </w: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  <w:sz w:val="20"/>
        </w:rPr>
        <w:t>, Takafumi Yanase MD</w:t>
      </w: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4</w:t>
      </w:r>
      <w:r>
        <w:rPr>
          <w:rFonts w:ascii="Times New Roman" w:eastAsia="Times New Roman" w:hAnsi="Times New Roman" w:cs="Times New Roman"/>
          <w:color w:val="000000"/>
          <w:sz w:val="20"/>
        </w:rPr>
        <w:t>, Hidekazu Suzuki MD</w:t>
      </w: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4</w:t>
      </w:r>
      <w:r>
        <w:rPr>
          <w:rFonts w:ascii="Times New Roman" w:eastAsia="Times New Roman" w:hAnsi="Times New Roman" w:cs="Times New Roman"/>
          <w:color w:val="000000"/>
          <w:sz w:val="20"/>
        </w:rPr>
        <w:t>, Kyoichi Okishio MD</w:t>
      </w: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 xml:space="preserve">2,5 </w:t>
      </w:r>
    </w:p>
    <w:p w14:paraId="22250F99" w14:textId="77777777" w:rsidR="00D958F9" w:rsidRDefault="00D958F9" w:rsidP="00D958F9">
      <w:pPr>
        <w:spacing w:line="48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*</w:t>
      </w:r>
      <w:r>
        <w:rPr>
          <w:rFonts w:ascii="Times New Roman" w:eastAsia="Times New Roman" w:hAnsi="Times New Roman" w:cs="Times New Roman"/>
          <w:sz w:val="20"/>
        </w:rPr>
        <w:t>These authors contributed equally to this manuscript.</w:t>
      </w:r>
    </w:p>
    <w:p w14:paraId="02D42F7C" w14:textId="77777777" w:rsidR="00D958F9" w:rsidRDefault="00D958F9" w:rsidP="00D958F9">
      <w:pPr>
        <w:spacing w:line="480" w:lineRule="auto"/>
        <w:rPr>
          <w:color w:val="000000"/>
          <w:sz w:val="20"/>
        </w:rPr>
      </w:pPr>
    </w:p>
    <w:p w14:paraId="212E65CA" w14:textId="77777777" w:rsidR="00D958F9" w:rsidRDefault="00D958F9" w:rsidP="00D958F9">
      <w:pPr>
        <w:spacing w:line="480" w:lineRule="auto"/>
        <w:rPr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0"/>
        </w:rPr>
        <w:t>Department of Respiratory Medicine, Osaka General Medical Center, Osaka, Japan</w:t>
      </w:r>
    </w:p>
    <w:p w14:paraId="0C03C3A4" w14:textId="77777777" w:rsidR="00D958F9" w:rsidRDefault="00D958F9" w:rsidP="00D958F9">
      <w:pPr>
        <w:spacing w:line="480" w:lineRule="auto"/>
        <w:rPr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0"/>
        </w:rPr>
        <w:t>Department of Internal Medicine, National Hospital Organization Kinki-Chuo Chest Medical Center, Osaka, Japan</w:t>
      </w:r>
    </w:p>
    <w:p w14:paraId="0775191D" w14:textId="77777777" w:rsidR="00D958F9" w:rsidRDefault="00D958F9" w:rsidP="00D958F9">
      <w:pPr>
        <w:spacing w:line="480" w:lineRule="auto"/>
        <w:rPr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  <w:sz w:val="20"/>
        </w:rPr>
        <w:t>Department of Respiratory Medicine, Osaka International Cancer Institute, Osaka, Japan</w:t>
      </w:r>
    </w:p>
    <w:p w14:paraId="3251194B" w14:textId="77777777" w:rsidR="00D958F9" w:rsidRDefault="00D958F9" w:rsidP="00D958F9">
      <w:pPr>
        <w:spacing w:line="480" w:lineRule="auto"/>
        <w:rPr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4</w:t>
      </w:r>
      <w:r>
        <w:rPr>
          <w:rFonts w:ascii="Times New Roman" w:eastAsia="Times New Roman" w:hAnsi="Times New Roman" w:cs="Times New Roman"/>
          <w:color w:val="000000"/>
          <w:sz w:val="20"/>
        </w:rPr>
        <w:t>Department of Respiratory Medicine, Osaka Prefectural Medical Center for Respiratory and Allergic Disease, Osaka, Japan</w:t>
      </w:r>
    </w:p>
    <w:p w14:paraId="6C442F14" w14:textId="77777777" w:rsidR="00D958F9" w:rsidRDefault="00D958F9" w:rsidP="00D958F9">
      <w:pPr>
        <w:spacing w:line="480" w:lineRule="auto"/>
        <w:rPr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  <w:vertAlign w:val="superscript"/>
        </w:rPr>
        <w:t>5</w:t>
      </w:r>
      <w:r>
        <w:rPr>
          <w:rFonts w:ascii="Times New Roman" w:eastAsia="Times New Roman" w:hAnsi="Times New Roman" w:cs="Times New Roman"/>
          <w:color w:val="000000"/>
          <w:sz w:val="20"/>
        </w:rPr>
        <w:t>Clinical Research Center, National Hospital Organization Kinki-Chuo Chest Medical Center, Osaka, Japan</w:t>
      </w:r>
    </w:p>
    <w:p w14:paraId="0ECF147F" w14:textId="77777777" w:rsidR="00D958F9" w:rsidRDefault="00D958F9" w:rsidP="00D958F9">
      <w:pPr>
        <w:spacing w:line="480" w:lineRule="auto"/>
        <w:rPr>
          <w:color w:val="000000"/>
          <w:sz w:val="20"/>
        </w:rPr>
      </w:pPr>
    </w:p>
    <w:p w14:paraId="3951F3ED" w14:textId="77777777" w:rsidR="00D958F9" w:rsidRDefault="00D958F9" w:rsidP="00D958F9">
      <w:pPr>
        <w:spacing w:line="480" w:lineRule="auto"/>
        <w:rPr>
          <w:color w:val="000000"/>
          <w:sz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</w:rPr>
        <w:t>Corresponding author:</w:t>
      </w:r>
      <w:r>
        <w:rPr>
          <w:rFonts w:ascii="Times New Roman" w:eastAsia="Times New Roman" w:hAnsi="Times New Roman" w:cs="Times New Roman"/>
          <w:color w:val="000000"/>
          <w:sz w:val="20"/>
        </w:rPr>
        <w:t xml:space="preserve"> Akihiro Tamiya, MD</w:t>
      </w:r>
    </w:p>
    <w:p w14:paraId="18078FE2" w14:textId="77777777" w:rsidR="00D958F9" w:rsidRDefault="00D958F9" w:rsidP="00D958F9">
      <w:pPr>
        <w:spacing w:line="480" w:lineRule="auto"/>
        <w:rPr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</w:rPr>
        <w:t>Department of Internal Medicine, National Hospital Organization Kinki-Chuo Chest Medical Center, 1180 Nagasone-cho, Kita-Ku, Sakai City, Osaka, 591-8555, Japan</w:t>
      </w:r>
    </w:p>
    <w:p w14:paraId="7527A132" w14:textId="77777777" w:rsidR="00D958F9" w:rsidRDefault="00D958F9" w:rsidP="00D958F9">
      <w:pPr>
        <w:spacing w:line="480" w:lineRule="auto"/>
        <w:rPr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</w:rPr>
        <w:t>Tel: 072-252-3021, Fax: 072-252-3041</w:t>
      </w:r>
    </w:p>
    <w:p w14:paraId="0C60020A" w14:textId="77777777" w:rsidR="00D958F9" w:rsidRDefault="00D958F9" w:rsidP="00D958F9">
      <w:pPr>
        <w:spacing w:line="480" w:lineRule="auto"/>
        <w:rPr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</w:rPr>
        <w:t>Email: tamiya.akihiro.tz@mail.hosp.go.jp</w:t>
      </w:r>
    </w:p>
    <w:p w14:paraId="7FB49521" w14:textId="77777777" w:rsidR="00D958F9" w:rsidRDefault="00D958F9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9CB2D84" w14:textId="77777777" w:rsidR="00D958F9" w:rsidRDefault="00D958F9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ACF0CBA" w14:textId="4DCA0268" w:rsidR="00BC4D2D" w:rsidRPr="00D65862" w:rsidRDefault="002500CA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b/>
          <w:sz w:val="20"/>
          <w:szCs w:val="20"/>
        </w:rPr>
        <w:t>Supplementary Table 1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 xml:space="preserve"> Front-line treatment of RAM and DOC (n</w:t>
      </w:r>
      <w:r w:rsidR="003256E0" w:rsidRPr="00D6586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>=</w:t>
      </w:r>
      <w:r w:rsidR="003256E0" w:rsidRPr="00D6586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>237)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0"/>
        <w:gridCol w:w="3197"/>
      </w:tblGrid>
      <w:tr w:rsidR="00BC4D2D" w:rsidRPr="00D65862" w14:paraId="782D8FF4" w14:textId="77777777">
        <w:trPr>
          <w:trHeight w:val="454"/>
        </w:trPr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27F830" w14:textId="77777777" w:rsidR="00BC4D2D" w:rsidRPr="00D65862" w:rsidRDefault="00BC4D2D">
            <w:pPr>
              <w:rPr>
                <w:sz w:val="20"/>
                <w:szCs w:val="20"/>
              </w:rPr>
            </w:pPr>
          </w:p>
        </w:tc>
        <w:tc>
          <w:tcPr>
            <w:tcW w:w="3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692141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</w:tr>
      <w:tr w:rsidR="00BC4D2D" w:rsidRPr="00D65862" w14:paraId="50CAB571" w14:textId="77777777">
        <w:trPr>
          <w:trHeight w:val="454"/>
        </w:trPr>
        <w:tc>
          <w:tcPr>
            <w:tcW w:w="5670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6F87F93" w14:textId="77777777" w:rsidR="00BC4D2D" w:rsidRPr="00D65862" w:rsidRDefault="002500CA">
            <w:pPr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Prior ICI+</w:t>
            </w:r>
          </w:p>
        </w:tc>
        <w:tc>
          <w:tcPr>
            <w:tcW w:w="3197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642EEAA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94 (39.7)</w:t>
            </w:r>
          </w:p>
        </w:tc>
      </w:tr>
      <w:tr w:rsidR="00BC4D2D" w:rsidRPr="00D65862" w14:paraId="358D6D0C" w14:textId="77777777">
        <w:trPr>
          <w:trHeight w:val="454"/>
        </w:trPr>
        <w:tc>
          <w:tcPr>
            <w:tcW w:w="5670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B9F870C" w14:textId="77777777" w:rsidR="00BC4D2D" w:rsidRPr="00D65862" w:rsidRDefault="002500CA">
            <w:pPr>
              <w:ind w:firstLine="20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Immunotherapy (monotherapy)</w:t>
            </w:r>
          </w:p>
        </w:tc>
        <w:tc>
          <w:tcPr>
            <w:tcW w:w="319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20C866B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81 (34.2)</w:t>
            </w:r>
          </w:p>
        </w:tc>
      </w:tr>
      <w:tr w:rsidR="00BC4D2D" w:rsidRPr="00D65862" w14:paraId="2A8E96F0" w14:textId="77777777">
        <w:trPr>
          <w:trHeight w:val="454"/>
        </w:trPr>
        <w:tc>
          <w:tcPr>
            <w:tcW w:w="5670" w:type="dxa"/>
            <w:shd w:val="clear" w:color="auto" w:fill="auto"/>
            <w:vAlign w:val="center"/>
          </w:tcPr>
          <w:p w14:paraId="0D9D255B" w14:textId="77777777" w:rsidR="00BC4D2D" w:rsidRPr="00D65862" w:rsidRDefault="002500CA">
            <w:pPr>
              <w:ind w:firstLine="40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Nivolumab</w:t>
            </w:r>
          </w:p>
        </w:tc>
        <w:tc>
          <w:tcPr>
            <w:tcW w:w="3197" w:type="dxa"/>
            <w:shd w:val="clear" w:color="auto" w:fill="auto"/>
            <w:vAlign w:val="center"/>
          </w:tcPr>
          <w:p w14:paraId="60AEBCD1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52 (21.9)</w:t>
            </w:r>
          </w:p>
        </w:tc>
      </w:tr>
      <w:tr w:rsidR="00BC4D2D" w:rsidRPr="00D65862" w14:paraId="3B1506C8" w14:textId="77777777">
        <w:trPr>
          <w:trHeight w:val="454"/>
        </w:trPr>
        <w:tc>
          <w:tcPr>
            <w:tcW w:w="5670" w:type="dxa"/>
            <w:shd w:val="clear" w:color="auto" w:fill="auto"/>
            <w:vAlign w:val="center"/>
          </w:tcPr>
          <w:p w14:paraId="3B413613" w14:textId="77777777" w:rsidR="00BC4D2D" w:rsidRPr="00D65862" w:rsidRDefault="002500CA">
            <w:pPr>
              <w:ind w:firstLine="40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Pembrolizumab</w:t>
            </w:r>
          </w:p>
        </w:tc>
        <w:tc>
          <w:tcPr>
            <w:tcW w:w="3197" w:type="dxa"/>
            <w:shd w:val="clear" w:color="auto" w:fill="auto"/>
            <w:vAlign w:val="center"/>
          </w:tcPr>
          <w:p w14:paraId="4FC45C48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16 (6.8)</w:t>
            </w:r>
          </w:p>
        </w:tc>
      </w:tr>
      <w:tr w:rsidR="00BC4D2D" w:rsidRPr="00D65862" w14:paraId="7F983AA3" w14:textId="77777777">
        <w:trPr>
          <w:trHeight w:val="454"/>
        </w:trPr>
        <w:tc>
          <w:tcPr>
            <w:tcW w:w="5670" w:type="dxa"/>
            <w:shd w:val="clear" w:color="auto" w:fill="auto"/>
            <w:vAlign w:val="center"/>
          </w:tcPr>
          <w:p w14:paraId="30B1EB38" w14:textId="77777777" w:rsidR="00BC4D2D" w:rsidRPr="00D65862" w:rsidRDefault="002500CA">
            <w:pPr>
              <w:ind w:firstLine="40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Atezolizumab</w:t>
            </w:r>
          </w:p>
        </w:tc>
        <w:tc>
          <w:tcPr>
            <w:tcW w:w="3197" w:type="dxa"/>
            <w:shd w:val="clear" w:color="auto" w:fill="auto"/>
            <w:vAlign w:val="center"/>
          </w:tcPr>
          <w:p w14:paraId="34997E8A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10 (4.3)</w:t>
            </w:r>
          </w:p>
        </w:tc>
      </w:tr>
      <w:tr w:rsidR="00BC4D2D" w:rsidRPr="00D65862" w14:paraId="6E637526" w14:textId="77777777">
        <w:trPr>
          <w:trHeight w:val="454"/>
        </w:trPr>
        <w:tc>
          <w:tcPr>
            <w:tcW w:w="5670" w:type="dxa"/>
            <w:shd w:val="clear" w:color="auto" w:fill="auto"/>
            <w:vAlign w:val="center"/>
          </w:tcPr>
          <w:p w14:paraId="0E0E7C80" w14:textId="77777777" w:rsidR="00BC4D2D" w:rsidRPr="00D65862" w:rsidRDefault="002500CA">
            <w:pPr>
              <w:ind w:firstLine="40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Durvalumab</w:t>
            </w:r>
          </w:p>
        </w:tc>
        <w:tc>
          <w:tcPr>
            <w:tcW w:w="3197" w:type="dxa"/>
            <w:shd w:val="clear" w:color="auto" w:fill="auto"/>
            <w:vAlign w:val="center"/>
          </w:tcPr>
          <w:p w14:paraId="5CCAE296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2 (0.8)</w:t>
            </w:r>
          </w:p>
        </w:tc>
      </w:tr>
      <w:tr w:rsidR="00BC4D2D" w:rsidRPr="00D65862" w14:paraId="44832DA8" w14:textId="77777777">
        <w:trPr>
          <w:trHeight w:val="454"/>
        </w:trPr>
        <w:tc>
          <w:tcPr>
            <w:tcW w:w="5670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89218C7" w14:textId="77777777" w:rsidR="00BC4D2D" w:rsidRPr="00D65862" w:rsidRDefault="002500CA">
            <w:pPr>
              <w:ind w:firstLine="40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Avelumab</w:t>
            </w:r>
          </w:p>
        </w:tc>
        <w:tc>
          <w:tcPr>
            <w:tcW w:w="319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7CD92BD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 (0.4)</w:t>
            </w:r>
          </w:p>
        </w:tc>
      </w:tr>
      <w:tr w:rsidR="00BC4D2D" w:rsidRPr="00D65862" w14:paraId="15A45440" w14:textId="77777777">
        <w:trPr>
          <w:trHeight w:val="454"/>
        </w:trPr>
        <w:tc>
          <w:tcPr>
            <w:tcW w:w="5670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77B6D6E" w14:textId="77777777" w:rsidR="00BC4D2D" w:rsidRPr="00D65862" w:rsidRDefault="002500CA">
            <w:pPr>
              <w:ind w:firstLine="10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Chemotherapy plus immunotherapy</w:t>
            </w:r>
          </w:p>
        </w:tc>
        <w:tc>
          <w:tcPr>
            <w:tcW w:w="319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5220846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13 (5.5)</w:t>
            </w:r>
          </w:p>
        </w:tc>
      </w:tr>
      <w:tr w:rsidR="00BC4D2D" w:rsidRPr="00D65862" w14:paraId="112718BA" w14:textId="77777777">
        <w:trPr>
          <w:trHeight w:val="454"/>
        </w:trPr>
        <w:tc>
          <w:tcPr>
            <w:tcW w:w="5670" w:type="dxa"/>
            <w:shd w:val="clear" w:color="auto" w:fill="auto"/>
            <w:vAlign w:val="center"/>
          </w:tcPr>
          <w:p w14:paraId="5C40E787" w14:textId="77777777" w:rsidR="00BC4D2D" w:rsidRPr="00D65862" w:rsidRDefault="002500CA">
            <w:pPr>
              <w:ind w:firstLine="40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Pembrolizumab</w:t>
            </w:r>
          </w:p>
        </w:tc>
        <w:tc>
          <w:tcPr>
            <w:tcW w:w="3197" w:type="dxa"/>
            <w:shd w:val="clear" w:color="auto" w:fill="auto"/>
            <w:vAlign w:val="center"/>
          </w:tcPr>
          <w:p w14:paraId="40FEFC70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9 (3.8)</w:t>
            </w:r>
          </w:p>
        </w:tc>
      </w:tr>
      <w:tr w:rsidR="00BC4D2D" w:rsidRPr="00D65862" w14:paraId="35D0713C" w14:textId="77777777">
        <w:trPr>
          <w:trHeight w:val="454"/>
        </w:trPr>
        <w:tc>
          <w:tcPr>
            <w:tcW w:w="5670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3EC485A" w14:textId="77777777" w:rsidR="00BC4D2D" w:rsidRPr="00D65862" w:rsidRDefault="002500CA">
            <w:pPr>
              <w:ind w:firstLine="40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Atezolizumab</w:t>
            </w:r>
          </w:p>
        </w:tc>
        <w:tc>
          <w:tcPr>
            <w:tcW w:w="319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3AA061B0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4 (1.7)</w:t>
            </w:r>
          </w:p>
        </w:tc>
      </w:tr>
      <w:tr w:rsidR="00BC4D2D" w:rsidRPr="00D65862" w14:paraId="0600D67C" w14:textId="77777777">
        <w:trPr>
          <w:trHeight w:val="454"/>
        </w:trPr>
        <w:tc>
          <w:tcPr>
            <w:tcW w:w="5670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894CB8A" w14:textId="6A556671" w:rsidR="00BC4D2D" w:rsidRPr="00D65862" w:rsidRDefault="002500CA">
            <w:pPr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Prior ICI</w:t>
            </w:r>
            <w:r w:rsidR="003256E0"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−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19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F511E37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143 (60.3)</w:t>
            </w:r>
          </w:p>
        </w:tc>
      </w:tr>
      <w:tr w:rsidR="00BC4D2D" w:rsidRPr="00D65862" w14:paraId="0313C641" w14:textId="77777777">
        <w:trPr>
          <w:trHeight w:val="454"/>
        </w:trPr>
        <w:tc>
          <w:tcPr>
            <w:tcW w:w="5670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93116DB" w14:textId="77777777" w:rsidR="00BC4D2D" w:rsidRPr="00D65862" w:rsidRDefault="002500CA">
            <w:pPr>
              <w:ind w:firstLine="200"/>
              <w:jc w:val="both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Chemotherapy</w:t>
            </w:r>
          </w:p>
        </w:tc>
        <w:tc>
          <w:tcPr>
            <w:tcW w:w="319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B46B829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115 (48.5)</w:t>
            </w:r>
          </w:p>
        </w:tc>
      </w:tr>
      <w:tr w:rsidR="00BC4D2D" w:rsidRPr="00D65862" w14:paraId="5CB277AA" w14:textId="77777777">
        <w:trPr>
          <w:trHeight w:val="454"/>
        </w:trPr>
        <w:tc>
          <w:tcPr>
            <w:tcW w:w="5670" w:type="dxa"/>
            <w:shd w:val="clear" w:color="auto" w:fill="auto"/>
            <w:vAlign w:val="center"/>
          </w:tcPr>
          <w:p w14:paraId="28A9586C" w14:textId="77777777" w:rsidR="00BC4D2D" w:rsidRPr="00D65862" w:rsidRDefault="002500CA">
            <w:pPr>
              <w:ind w:firstLine="400"/>
              <w:jc w:val="both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Platinum doublets</w:t>
            </w:r>
          </w:p>
        </w:tc>
        <w:tc>
          <w:tcPr>
            <w:tcW w:w="3197" w:type="dxa"/>
            <w:shd w:val="clear" w:color="auto" w:fill="auto"/>
            <w:vAlign w:val="center"/>
          </w:tcPr>
          <w:p w14:paraId="03B1F28B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53 (22.4)</w:t>
            </w:r>
          </w:p>
        </w:tc>
      </w:tr>
      <w:tr w:rsidR="00BC4D2D" w:rsidRPr="00D65862" w14:paraId="2596CCE0" w14:textId="77777777">
        <w:trPr>
          <w:trHeight w:val="454"/>
        </w:trPr>
        <w:tc>
          <w:tcPr>
            <w:tcW w:w="5670" w:type="dxa"/>
            <w:shd w:val="clear" w:color="auto" w:fill="auto"/>
            <w:vAlign w:val="center"/>
          </w:tcPr>
          <w:p w14:paraId="45A5A54D" w14:textId="6F1DE56F" w:rsidR="00BC4D2D" w:rsidRPr="00D65862" w:rsidRDefault="002500CA">
            <w:pPr>
              <w:ind w:firstLine="400"/>
              <w:jc w:val="both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Platinum doublets</w:t>
            </w:r>
            <w:r w:rsidR="00E97854"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or monotherapy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plus bevacizumab</w:t>
            </w:r>
          </w:p>
        </w:tc>
        <w:tc>
          <w:tcPr>
            <w:tcW w:w="3197" w:type="dxa"/>
            <w:shd w:val="clear" w:color="auto" w:fill="auto"/>
            <w:vAlign w:val="center"/>
          </w:tcPr>
          <w:p w14:paraId="7EC34E11" w14:textId="55B90185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E861BB"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="00E861BB"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E861BB"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C4D2D" w:rsidRPr="00D65862" w14:paraId="6260854D" w14:textId="77777777">
        <w:trPr>
          <w:trHeight w:val="454"/>
        </w:trPr>
        <w:tc>
          <w:tcPr>
            <w:tcW w:w="5670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53E7A07" w14:textId="77777777" w:rsidR="00BC4D2D" w:rsidRPr="00D65862" w:rsidRDefault="002500CA">
            <w:pPr>
              <w:ind w:firstLine="400"/>
              <w:jc w:val="both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Monotherapy</w:t>
            </w:r>
          </w:p>
        </w:tc>
        <w:tc>
          <w:tcPr>
            <w:tcW w:w="319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8DC3169" w14:textId="0DFD4EED" w:rsidR="00BC4D2D" w:rsidRPr="00D65862" w:rsidRDefault="00E861BB">
            <w:pPr>
              <w:jc w:val="center"/>
              <w:rPr>
                <w:sz w:val="20"/>
                <w:szCs w:val="20"/>
                <w:lang w:val="en-US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 w:rsidR="002500CA"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2500CA"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2500CA"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C4D2D" w:rsidRPr="00D65862" w14:paraId="5B9F8763" w14:textId="77777777">
        <w:trPr>
          <w:trHeight w:val="454"/>
        </w:trPr>
        <w:tc>
          <w:tcPr>
            <w:tcW w:w="5670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BE6B3FD" w14:textId="77777777" w:rsidR="00BC4D2D" w:rsidRPr="00D65862" w:rsidRDefault="002500CA">
            <w:pPr>
              <w:ind w:firstLine="200"/>
              <w:jc w:val="both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EGFR inhibitors</w:t>
            </w:r>
          </w:p>
        </w:tc>
        <w:tc>
          <w:tcPr>
            <w:tcW w:w="319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C93C2A8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28 (11.8)</w:t>
            </w:r>
          </w:p>
        </w:tc>
      </w:tr>
      <w:tr w:rsidR="00BC4D2D" w:rsidRPr="00D65862" w14:paraId="07B5399A" w14:textId="77777777">
        <w:trPr>
          <w:trHeight w:val="454"/>
        </w:trPr>
        <w:tc>
          <w:tcPr>
            <w:tcW w:w="5670" w:type="dxa"/>
            <w:shd w:val="clear" w:color="auto" w:fill="auto"/>
            <w:vAlign w:val="center"/>
          </w:tcPr>
          <w:p w14:paraId="1219D16F" w14:textId="77777777" w:rsidR="00BC4D2D" w:rsidRPr="00D65862" w:rsidRDefault="002500CA">
            <w:pPr>
              <w:ind w:firstLine="400"/>
              <w:jc w:val="both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Erlotinib</w:t>
            </w:r>
          </w:p>
        </w:tc>
        <w:tc>
          <w:tcPr>
            <w:tcW w:w="3197" w:type="dxa"/>
            <w:shd w:val="clear" w:color="auto" w:fill="auto"/>
            <w:vAlign w:val="center"/>
          </w:tcPr>
          <w:p w14:paraId="03845B75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4 (1.7)</w:t>
            </w:r>
          </w:p>
        </w:tc>
      </w:tr>
      <w:tr w:rsidR="00BC4D2D" w:rsidRPr="00D65862" w14:paraId="33041B76" w14:textId="77777777">
        <w:trPr>
          <w:trHeight w:val="454"/>
        </w:trPr>
        <w:tc>
          <w:tcPr>
            <w:tcW w:w="5670" w:type="dxa"/>
            <w:shd w:val="clear" w:color="auto" w:fill="auto"/>
            <w:vAlign w:val="center"/>
          </w:tcPr>
          <w:p w14:paraId="4E6F6EDC" w14:textId="77777777" w:rsidR="00BC4D2D" w:rsidRPr="00D65862" w:rsidRDefault="002500CA">
            <w:pPr>
              <w:ind w:firstLine="400"/>
              <w:jc w:val="both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Afatinib</w:t>
            </w:r>
          </w:p>
        </w:tc>
        <w:tc>
          <w:tcPr>
            <w:tcW w:w="3197" w:type="dxa"/>
            <w:shd w:val="clear" w:color="auto" w:fill="auto"/>
            <w:vAlign w:val="center"/>
          </w:tcPr>
          <w:p w14:paraId="23FCC451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6 (2.5)</w:t>
            </w:r>
          </w:p>
        </w:tc>
      </w:tr>
      <w:tr w:rsidR="00BC4D2D" w:rsidRPr="00D65862" w14:paraId="270C26ED" w14:textId="77777777">
        <w:trPr>
          <w:trHeight w:val="454"/>
        </w:trPr>
        <w:tc>
          <w:tcPr>
            <w:tcW w:w="5670" w:type="dxa"/>
            <w:shd w:val="clear" w:color="auto" w:fill="auto"/>
            <w:vAlign w:val="center"/>
          </w:tcPr>
          <w:p w14:paraId="3F9E5502" w14:textId="77777777" w:rsidR="00BC4D2D" w:rsidRPr="00D65862" w:rsidRDefault="002500CA">
            <w:pPr>
              <w:ind w:firstLine="400"/>
              <w:jc w:val="both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Osimerutinib</w:t>
            </w:r>
          </w:p>
        </w:tc>
        <w:tc>
          <w:tcPr>
            <w:tcW w:w="3197" w:type="dxa"/>
            <w:shd w:val="clear" w:color="auto" w:fill="auto"/>
            <w:vAlign w:val="center"/>
          </w:tcPr>
          <w:p w14:paraId="38301115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17 (7.2)</w:t>
            </w:r>
          </w:p>
        </w:tc>
      </w:tr>
      <w:tr w:rsidR="00BC4D2D" w:rsidRPr="00D65862" w14:paraId="6F00AAF0" w14:textId="77777777">
        <w:trPr>
          <w:trHeight w:val="454"/>
        </w:trPr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3E12D7" w14:textId="77777777" w:rsidR="00BC4D2D" w:rsidRPr="00D65862" w:rsidRDefault="002500CA">
            <w:pPr>
              <w:ind w:firstLine="400"/>
              <w:jc w:val="both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31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57330" w14:textId="77777777" w:rsidR="00BC4D2D" w:rsidRPr="00D65862" w:rsidRDefault="002500CA">
            <w:pPr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 (0.4)</w:t>
            </w:r>
          </w:p>
        </w:tc>
      </w:tr>
    </w:tbl>
    <w:p w14:paraId="07AAA35D" w14:textId="77777777" w:rsidR="00BC4D2D" w:rsidRPr="00D65862" w:rsidRDefault="002500CA">
      <w:pPr>
        <w:rPr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sz w:val="20"/>
          <w:szCs w:val="20"/>
        </w:rPr>
        <w:t>RAM, ramucirumab; DOC, docetaxel; ICI, immune checkpoint inhibitor; EGFR, epidermal growth factor receptor</w:t>
      </w:r>
    </w:p>
    <w:p w14:paraId="3849E919" w14:textId="2F5B1631" w:rsidR="003256E0" w:rsidRPr="00D65862" w:rsidRDefault="003256E0">
      <w:pPr>
        <w:rPr>
          <w:rFonts w:ascii="Times New Roman" w:eastAsia="Times New Roman" w:hAnsi="Times New Roman" w:cs="Times New Roman"/>
          <w:b/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b/>
          <w:sz w:val="20"/>
          <w:szCs w:val="20"/>
        </w:rPr>
        <w:br w:type="page"/>
      </w:r>
    </w:p>
    <w:p w14:paraId="11ABB840" w14:textId="743B8854" w:rsidR="00BC4D2D" w:rsidRPr="00D65862" w:rsidRDefault="002500CA">
      <w:pPr>
        <w:spacing w:line="480" w:lineRule="auto"/>
        <w:rPr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Supplementary Table 2 </w:t>
      </w:r>
      <w:r w:rsidR="001229DF" w:rsidRPr="00D65862">
        <w:rPr>
          <w:rFonts w:ascii="Times New Roman" w:eastAsia="Times New Roman" w:hAnsi="Times New Roman" w:cs="Times New Roman"/>
          <w:bCs/>
          <w:sz w:val="20"/>
          <w:szCs w:val="20"/>
        </w:rPr>
        <w:t>Response to</w:t>
      </w:r>
      <w:r w:rsidR="001229DF" w:rsidRPr="00D65862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>RAM and DOC with and without past ICI</w:t>
      </w:r>
    </w:p>
    <w:tbl>
      <w:tblPr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277"/>
        <w:gridCol w:w="2054"/>
        <w:gridCol w:w="2054"/>
        <w:gridCol w:w="1641"/>
      </w:tblGrid>
      <w:tr w:rsidR="00BC4D2D" w:rsidRPr="00D65862" w14:paraId="25A43EC4" w14:textId="77777777">
        <w:trPr>
          <w:trHeight w:val="456"/>
        </w:trPr>
        <w:tc>
          <w:tcPr>
            <w:tcW w:w="34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3C83B28" w14:textId="77777777" w:rsidR="00BC4D2D" w:rsidRPr="00D65862" w:rsidRDefault="00BC4D2D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3922115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Past ICI</w:t>
            </w:r>
          </w:p>
          <w:p w14:paraId="080BFB46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(N = 123)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EB35B56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No ICI</w:t>
            </w:r>
          </w:p>
          <w:p w14:paraId="51C3C0D7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 = 114)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DC9E6B3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BC4D2D" w:rsidRPr="00D65862" w14:paraId="674B13BC" w14:textId="77777777">
        <w:trPr>
          <w:trHeight w:val="456"/>
        </w:trPr>
        <w:tc>
          <w:tcPr>
            <w:tcW w:w="3419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908A199" w14:textId="77777777" w:rsidR="00BC4D2D" w:rsidRPr="00D65862" w:rsidRDefault="002500CA">
            <w:pPr>
              <w:spacing w:line="480" w:lineRule="auto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Objective response rate, n (%)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B2C2D7E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34 (28.6)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8DA1C7A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24 (21.6)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2836F20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0.225</w:t>
            </w:r>
          </w:p>
        </w:tc>
      </w:tr>
      <w:tr w:rsidR="00BC4D2D" w:rsidRPr="00D65862" w14:paraId="15848132" w14:textId="77777777">
        <w:trPr>
          <w:trHeight w:val="456"/>
        </w:trPr>
        <w:tc>
          <w:tcPr>
            <w:tcW w:w="341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410FD4" w14:textId="77777777" w:rsidR="00BC4D2D" w:rsidRPr="00D65862" w:rsidRDefault="002500CA">
            <w:pPr>
              <w:spacing w:line="480" w:lineRule="auto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Disease control rate, n (%)</w:t>
            </w:r>
          </w:p>
        </w:tc>
        <w:tc>
          <w:tcPr>
            <w:tcW w:w="21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090D82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80 (67.2)</w:t>
            </w:r>
          </w:p>
        </w:tc>
        <w:tc>
          <w:tcPr>
            <w:tcW w:w="21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5817BA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67 (60.4)</w:t>
            </w:r>
          </w:p>
        </w:tc>
        <w:tc>
          <w:tcPr>
            <w:tcW w:w="172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934329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0.279</w:t>
            </w:r>
          </w:p>
        </w:tc>
      </w:tr>
      <w:tr w:rsidR="00BC4D2D" w:rsidRPr="00D65862" w14:paraId="07EDD129" w14:textId="77777777">
        <w:trPr>
          <w:trHeight w:val="456"/>
        </w:trPr>
        <w:tc>
          <w:tcPr>
            <w:tcW w:w="341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5D140A" w14:textId="77777777" w:rsidR="00BC4D2D" w:rsidRPr="00D65862" w:rsidRDefault="002500CA">
            <w:pPr>
              <w:spacing w:line="480" w:lineRule="auto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Best response, n (%)</w:t>
            </w:r>
          </w:p>
        </w:tc>
        <w:tc>
          <w:tcPr>
            <w:tcW w:w="2160" w:type="dxa"/>
            <w:tcBorders>
              <w:left w:val="nil"/>
              <w:right w:val="nil"/>
            </w:tcBorders>
            <w:shd w:val="clear" w:color="auto" w:fill="auto"/>
          </w:tcPr>
          <w:p w14:paraId="68D671F0" w14:textId="77777777" w:rsidR="00BC4D2D" w:rsidRPr="00D65862" w:rsidRDefault="00BC4D2D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left w:val="nil"/>
              <w:right w:val="nil"/>
            </w:tcBorders>
            <w:shd w:val="clear" w:color="auto" w:fill="auto"/>
          </w:tcPr>
          <w:p w14:paraId="05DDE7C5" w14:textId="77777777" w:rsidR="00BC4D2D" w:rsidRPr="00D65862" w:rsidRDefault="00BC4D2D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nil"/>
              <w:right w:val="nil"/>
            </w:tcBorders>
            <w:shd w:val="clear" w:color="auto" w:fill="auto"/>
          </w:tcPr>
          <w:p w14:paraId="2D113367" w14:textId="77777777" w:rsidR="00BC4D2D" w:rsidRPr="00D65862" w:rsidRDefault="00BC4D2D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BC4D2D" w:rsidRPr="00D65862" w14:paraId="0D1D5CFD" w14:textId="77777777">
        <w:trPr>
          <w:trHeight w:val="456"/>
        </w:trPr>
        <w:tc>
          <w:tcPr>
            <w:tcW w:w="341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7DC419" w14:textId="77777777" w:rsidR="00BC4D2D" w:rsidRPr="00D65862" w:rsidRDefault="002500CA">
            <w:pPr>
              <w:spacing w:line="480" w:lineRule="auto"/>
              <w:ind w:firstLine="24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Complete response</w:t>
            </w:r>
          </w:p>
        </w:tc>
        <w:tc>
          <w:tcPr>
            <w:tcW w:w="21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D8C161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1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7F9F53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 (0.9)</w:t>
            </w:r>
          </w:p>
        </w:tc>
        <w:tc>
          <w:tcPr>
            <w:tcW w:w="1722" w:type="dxa"/>
            <w:tcBorders>
              <w:left w:val="nil"/>
              <w:right w:val="nil"/>
            </w:tcBorders>
            <w:shd w:val="clear" w:color="auto" w:fill="auto"/>
          </w:tcPr>
          <w:p w14:paraId="710FFB02" w14:textId="77777777" w:rsidR="00BC4D2D" w:rsidRPr="00D65862" w:rsidRDefault="00BC4D2D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BC4D2D" w:rsidRPr="00D65862" w14:paraId="12B636B9" w14:textId="77777777">
        <w:trPr>
          <w:trHeight w:val="456"/>
        </w:trPr>
        <w:tc>
          <w:tcPr>
            <w:tcW w:w="341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8500B2" w14:textId="77777777" w:rsidR="00BC4D2D" w:rsidRPr="00D65862" w:rsidRDefault="002500CA">
            <w:pPr>
              <w:spacing w:line="480" w:lineRule="auto"/>
              <w:ind w:firstLine="24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Partial response</w:t>
            </w:r>
          </w:p>
        </w:tc>
        <w:tc>
          <w:tcPr>
            <w:tcW w:w="21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787BA4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33 (26.8)</w:t>
            </w:r>
          </w:p>
        </w:tc>
        <w:tc>
          <w:tcPr>
            <w:tcW w:w="21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2C0749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23 (20.2)</w:t>
            </w:r>
          </w:p>
        </w:tc>
        <w:tc>
          <w:tcPr>
            <w:tcW w:w="1722" w:type="dxa"/>
            <w:tcBorders>
              <w:left w:val="nil"/>
              <w:right w:val="nil"/>
            </w:tcBorders>
            <w:shd w:val="clear" w:color="auto" w:fill="auto"/>
          </w:tcPr>
          <w:p w14:paraId="4C206B03" w14:textId="77777777" w:rsidR="00BC4D2D" w:rsidRPr="00D65862" w:rsidRDefault="00BC4D2D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BC4D2D" w:rsidRPr="00D65862" w14:paraId="69D854A1" w14:textId="77777777">
        <w:trPr>
          <w:trHeight w:val="456"/>
        </w:trPr>
        <w:tc>
          <w:tcPr>
            <w:tcW w:w="341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5E0882" w14:textId="77777777" w:rsidR="00BC4D2D" w:rsidRPr="00D65862" w:rsidRDefault="002500CA">
            <w:pPr>
              <w:spacing w:line="480" w:lineRule="auto"/>
              <w:ind w:firstLine="24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Stable disease</w:t>
            </w:r>
          </w:p>
        </w:tc>
        <w:tc>
          <w:tcPr>
            <w:tcW w:w="21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7950FE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46 (37.4)</w:t>
            </w:r>
          </w:p>
        </w:tc>
        <w:tc>
          <w:tcPr>
            <w:tcW w:w="21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252486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43 (37.7)</w:t>
            </w:r>
          </w:p>
        </w:tc>
        <w:tc>
          <w:tcPr>
            <w:tcW w:w="1722" w:type="dxa"/>
            <w:tcBorders>
              <w:left w:val="nil"/>
              <w:right w:val="nil"/>
            </w:tcBorders>
            <w:shd w:val="clear" w:color="auto" w:fill="auto"/>
          </w:tcPr>
          <w:p w14:paraId="31F6F316" w14:textId="77777777" w:rsidR="00BC4D2D" w:rsidRPr="00D65862" w:rsidRDefault="00BC4D2D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BC4D2D" w:rsidRPr="00D65862" w14:paraId="7F679749" w14:textId="77777777">
        <w:trPr>
          <w:trHeight w:val="456"/>
        </w:trPr>
        <w:tc>
          <w:tcPr>
            <w:tcW w:w="341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3382D3" w14:textId="77777777" w:rsidR="00BC4D2D" w:rsidRPr="00D65862" w:rsidRDefault="002500CA">
            <w:pPr>
              <w:spacing w:line="480" w:lineRule="auto"/>
              <w:ind w:firstLine="24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Progressive disease</w:t>
            </w:r>
          </w:p>
        </w:tc>
        <w:tc>
          <w:tcPr>
            <w:tcW w:w="21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2EA66D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39 (31.7)</w:t>
            </w:r>
          </w:p>
        </w:tc>
        <w:tc>
          <w:tcPr>
            <w:tcW w:w="21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B39245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44 (38.6)</w:t>
            </w:r>
          </w:p>
        </w:tc>
        <w:tc>
          <w:tcPr>
            <w:tcW w:w="1722" w:type="dxa"/>
            <w:tcBorders>
              <w:left w:val="nil"/>
              <w:right w:val="nil"/>
            </w:tcBorders>
            <w:shd w:val="clear" w:color="auto" w:fill="auto"/>
          </w:tcPr>
          <w:p w14:paraId="3DFF1F7B" w14:textId="77777777" w:rsidR="00BC4D2D" w:rsidRPr="00D65862" w:rsidRDefault="00BC4D2D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BC4D2D" w:rsidRPr="00D65862" w14:paraId="15F47710" w14:textId="77777777">
        <w:trPr>
          <w:trHeight w:val="456"/>
        </w:trPr>
        <w:tc>
          <w:tcPr>
            <w:tcW w:w="341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423C80D" w14:textId="77777777" w:rsidR="00BC4D2D" w:rsidRPr="00D65862" w:rsidRDefault="002500CA">
            <w:pPr>
              <w:spacing w:line="480" w:lineRule="auto"/>
              <w:ind w:firstLine="24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Not evaluated</w:t>
            </w:r>
          </w:p>
        </w:tc>
        <w:tc>
          <w:tcPr>
            <w:tcW w:w="216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BBE705E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4 (3.3)</w:t>
            </w:r>
          </w:p>
        </w:tc>
        <w:tc>
          <w:tcPr>
            <w:tcW w:w="216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3E9913A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3 (2.6)</w:t>
            </w:r>
          </w:p>
        </w:tc>
        <w:tc>
          <w:tcPr>
            <w:tcW w:w="172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275380E" w14:textId="77777777" w:rsidR="00BC4D2D" w:rsidRPr="00D65862" w:rsidRDefault="00BC4D2D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</w:tbl>
    <w:p w14:paraId="5E884B98" w14:textId="77777777" w:rsidR="00BC4D2D" w:rsidRPr="00D65862" w:rsidRDefault="002500CA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sz w:val="20"/>
          <w:szCs w:val="20"/>
        </w:rPr>
        <w:t>RAM, ramucirumab; DOC, docetaxel ; ICI, immune check inhibitor</w:t>
      </w:r>
    </w:p>
    <w:p w14:paraId="2DC8FB8F" w14:textId="77777777" w:rsidR="00BC4D2D" w:rsidRPr="00D65862" w:rsidRDefault="002500CA">
      <w:pPr>
        <w:spacing w:after="20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231A5987" w14:textId="1B78E3F5" w:rsidR="00BC4D2D" w:rsidRPr="00D65862" w:rsidRDefault="002500CA">
      <w:pPr>
        <w:spacing w:line="480" w:lineRule="auto"/>
        <w:rPr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Supplementary Table 3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 xml:space="preserve"> Univariate and multivariate analyses of OS in all patients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40"/>
        <w:gridCol w:w="1967"/>
        <w:gridCol w:w="1070"/>
        <w:gridCol w:w="1975"/>
        <w:gridCol w:w="1074"/>
      </w:tblGrid>
      <w:tr w:rsidR="00BC4D2D" w:rsidRPr="00D65862" w14:paraId="29079266" w14:textId="77777777">
        <w:trPr>
          <w:trHeight w:val="722"/>
        </w:trPr>
        <w:tc>
          <w:tcPr>
            <w:tcW w:w="303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E94E4F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Factor</w:t>
            </w:r>
          </w:p>
        </w:tc>
        <w:tc>
          <w:tcPr>
            <w:tcW w:w="31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E045E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Univariate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AA518F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Multivariate</w:t>
            </w:r>
          </w:p>
        </w:tc>
      </w:tr>
      <w:tr w:rsidR="00BC4D2D" w:rsidRPr="00D65862" w14:paraId="27354914" w14:textId="77777777">
        <w:trPr>
          <w:trHeight w:val="722"/>
        </w:trPr>
        <w:tc>
          <w:tcPr>
            <w:tcW w:w="303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288166B" w14:textId="77777777" w:rsidR="00BC4D2D" w:rsidRPr="00D65862" w:rsidRDefault="00BC4D2D">
            <w:pPr>
              <w:rPr>
                <w:sz w:val="20"/>
                <w:szCs w:val="20"/>
              </w:rPr>
            </w:pP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0C5A9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BC67A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3A073E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34B5F4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BC4D2D" w:rsidRPr="00D65862" w14:paraId="3743B458" w14:textId="77777777">
        <w:trPr>
          <w:trHeight w:val="722"/>
        </w:trPr>
        <w:tc>
          <w:tcPr>
            <w:tcW w:w="303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414C46" w14:textId="77777777" w:rsidR="00BC4D2D" w:rsidRPr="00D65862" w:rsidRDefault="002500CA">
            <w:pPr>
              <w:spacing w:line="480" w:lineRule="auto"/>
              <w:ind w:firstLine="236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Age (≥ 70 vs. &lt; 70)</w:t>
            </w:r>
          </w:p>
        </w:tc>
        <w:tc>
          <w:tcPr>
            <w:tcW w:w="2050" w:type="dxa"/>
            <w:tcBorders>
              <w:top w:val="single" w:sz="4" w:space="0" w:color="auto"/>
            </w:tcBorders>
            <w:vAlign w:val="center"/>
          </w:tcPr>
          <w:p w14:paraId="5E17E242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1.01 (0.71–1.43)</w:t>
            </w:r>
          </w:p>
        </w:tc>
        <w:tc>
          <w:tcPr>
            <w:tcW w:w="1106" w:type="dxa"/>
            <w:tcBorders>
              <w:top w:val="single" w:sz="4" w:space="0" w:color="auto"/>
            </w:tcBorders>
            <w:vAlign w:val="center"/>
          </w:tcPr>
          <w:p w14:paraId="554FED18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0.950</w:t>
            </w:r>
          </w:p>
        </w:tc>
        <w:tc>
          <w:tcPr>
            <w:tcW w:w="2057" w:type="dxa"/>
            <w:tcBorders>
              <w:top w:val="single" w:sz="4" w:space="0" w:color="auto"/>
            </w:tcBorders>
            <w:vAlign w:val="center"/>
          </w:tcPr>
          <w:p w14:paraId="764799DE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0.87 (0.60–1.27)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vAlign w:val="center"/>
          </w:tcPr>
          <w:p w14:paraId="33E6C5EC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0.460</w:t>
            </w:r>
          </w:p>
        </w:tc>
      </w:tr>
      <w:tr w:rsidR="00BC4D2D" w:rsidRPr="00D65862" w14:paraId="097238AF" w14:textId="77777777">
        <w:trPr>
          <w:trHeight w:val="722"/>
        </w:trPr>
        <w:tc>
          <w:tcPr>
            <w:tcW w:w="3038" w:type="dxa"/>
            <w:shd w:val="clear" w:color="auto" w:fill="auto"/>
            <w:vAlign w:val="center"/>
          </w:tcPr>
          <w:p w14:paraId="3B6A63FE" w14:textId="77777777" w:rsidR="00BC4D2D" w:rsidRPr="00D65862" w:rsidRDefault="002500CA">
            <w:pPr>
              <w:spacing w:line="480" w:lineRule="auto"/>
              <w:rPr>
                <w:sz w:val="20"/>
                <w:szCs w:val="20"/>
              </w:rPr>
            </w:pPr>
            <w:r w:rsidRPr="00D65862">
              <w:rPr>
                <w:rFonts w:ascii="ＭＳ 明朝" w:eastAsia="ＭＳ 明朝" w:hAnsi="ＭＳ 明朝" w:cs="ＭＳ 明朝"/>
                <w:sz w:val="20"/>
                <w:szCs w:val="20"/>
              </w:rPr>
              <w:t xml:space="preserve">　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Sex (male vs. female)</w:t>
            </w:r>
          </w:p>
        </w:tc>
        <w:tc>
          <w:tcPr>
            <w:tcW w:w="2050" w:type="dxa"/>
            <w:vAlign w:val="center"/>
          </w:tcPr>
          <w:p w14:paraId="7B8AE0CF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1.35 (0.96–1.90)</w:t>
            </w:r>
          </w:p>
        </w:tc>
        <w:tc>
          <w:tcPr>
            <w:tcW w:w="1106" w:type="dxa"/>
            <w:vAlign w:val="center"/>
          </w:tcPr>
          <w:p w14:paraId="19DF67BA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2057" w:type="dxa"/>
            <w:vAlign w:val="center"/>
          </w:tcPr>
          <w:p w14:paraId="2A9B0E3B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1.31 (0.83–2.06)</w:t>
            </w:r>
          </w:p>
        </w:tc>
        <w:tc>
          <w:tcPr>
            <w:tcW w:w="1109" w:type="dxa"/>
            <w:vAlign w:val="center"/>
          </w:tcPr>
          <w:p w14:paraId="197DC819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0.247</w:t>
            </w:r>
          </w:p>
        </w:tc>
      </w:tr>
      <w:tr w:rsidR="00BC4D2D" w:rsidRPr="00D65862" w14:paraId="46C9B260" w14:textId="77777777">
        <w:trPr>
          <w:trHeight w:val="722"/>
        </w:trPr>
        <w:tc>
          <w:tcPr>
            <w:tcW w:w="3038" w:type="dxa"/>
            <w:shd w:val="clear" w:color="auto" w:fill="auto"/>
            <w:vAlign w:val="center"/>
          </w:tcPr>
          <w:p w14:paraId="7DF53DA1" w14:textId="77777777" w:rsidR="00BC4D2D" w:rsidRPr="00D65862" w:rsidRDefault="002500CA">
            <w:pPr>
              <w:spacing w:line="480" w:lineRule="auto"/>
              <w:rPr>
                <w:sz w:val="20"/>
                <w:szCs w:val="20"/>
              </w:rPr>
            </w:pPr>
            <w:r w:rsidRPr="00D65862">
              <w:rPr>
                <w:rFonts w:ascii="ＭＳ 明朝" w:eastAsia="ＭＳ 明朝" w:hAnsi="ＭＳ 明朝" w:cs="ＭＳ 明朝"/>
                <w:sz w:val="20"/>
                <w:szCs w:val="20"/>
              </w:rPr>
              <w:t xml:space="preserve">　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Smoking status</w:t>
            </w:r>
          </w:p>
          <w:p w14:paraId="444A4233" w14:textId="77777777" w:rsidR="00BC4D2D" w:rsidRPr="00D65862" w:rsidRDefault="002500CA">
            <w:pPr>
              <w:spacing w:line="480" w:lineRule="auto"/>
              <w:ind w:firstLine="118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(current/former vs. never)</w:t>
            </w:r>
          </w:p>
        </w:tc>
        <w:tc>
          <w:tcPr>
            <w:tcW w:w="2050" w:type="dxa"/>
            <w:vAlign w:val="center"/>
          </w:tcPr>
          <w:p w14:paraId="6FDA69FA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1.57 (1.06–2.34)</w:t>
            </w:r>
          </w:p>
        </w:tc>
        <w:tc>
          <w:tcPr>
            <w:tcW w:w="1106" w:type="dxa"/>
            <w:vAlign w:val="center"/>
          </w:tcPr>
          <w:p w14:paraId="292098A7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2057" w:type="dxa"/>
            <w:vAlign w:val="center"/>
          </w:tcPr>
          <w:p w14:paraId="628D09D2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1.15 (0.66–1.99)</w:t>
            </w:r>
          </w:p>
        </w:tc>
        <w:tc>
          <w:tcPr>
            <w:tcW w:w="1109" w:type="dxa"/>
            <w:vAlign w:val="center"/>
          </w:tcPr>
          <w:p w14:paraId="57BE9E3F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0.621</w:t>
            </w:r>
          </w:p>
        </w:tc>
      </w:tr>
      <w:tr w:rsidR="00BC4D2D" w:rsidRPr="00D65862" w14:paraId="1189CDAE" w14:textId="77777777">
        <w:trPr>
          <w:trHeight w:val="722"/>
        </w:trPr>
        <w:tc>
          <w:tcPr>
            <w:tcW w:w="3038" w:type="dxa"/>
            <w:shd w:val="clear" w:color="auto" w:fill="auto"/>
            <w:vAlign w:val="center"/>
          </w:tcPr>
          <w:p w14:paraId="42CCDE66" w14:textId="77777777" w:rsidR="00BC4D2D" w:rsidRPr="00D65862" w:rsidRDefault="002500CA">
            <w:pPr>
              <w:spacing w:line="480" w:lineRule="auto"/>
              <w:rPr>
                <w:sz w:val="20"/>
                <w:szCs w:val="20"/>
              </w:rPr>
            </w:pPr>
            <w:r w:rsidRPr="00D65862">
              <w:rPr>
                <w:rFonts w:ascii="ＭＳ 明朝" w:eastAsia="ＭＳ 明朝" w:hAnsi="ＭＳ 明朝" w:cs="ＭＳ 明朝"/>
                <w:sz w:val="20"/>
                <w:szCs w:val="20"/>
              </w:rPr>
              <w:t xml:space="preserve">　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ECOG-PS (2–4 vs. 0–1)</w:t>
            </w:r>
          </w:p>
        </w:tc>
        <w:tc>
          <w:tcPr>
            <w:tcW w:w="2050" w:type="dxa"/>
            <w:vAlign w:val="center"/>
          </w:tcPr>
          <w:p w14:paraId="487CBA82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2.37 (1.64–3.42)</w:t>
            </w:r>
          </w:p>
        </w:tc>
        <w:tc>
          <w:tcPr>
            <w:tcW w:w="1106" w:type="dxa"/>
            <w:vAlign w:val="center"/>
          </w:tcPr>
          <w:p w14:paraId="740BE3B1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</w:t>
            </w:r>
          </w:p>
        </w:tc>
        <w:tc>
          <w:tcPr>
            <w:tcW w:w="2057" w:type="dxa"/>
            <w:vAlign w:val="center"/>
          </w:tcPr>
          <w:p w14:paraId="072AEEAC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2.53 (1.68–3.82)</w:t>
            </w:r>
          </w:p>
        </w:tc>
        <w:tc>
          <w:tcPr>
            <w:tcW w:w="1109" w:type="dxa"/>
            <w:vAlign w:val="center"/>
          </w:tcPr>
          <w:p w14:paraId="1512E938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BC4D2D" w:rsidRPr="00D65862" w14:paraId="70A09BE9" w14:textId="77777777">
        <w:trPr>
          <w:trHeight w:val="722"/>
        </w:trPr>
        <w:tc>
          <w:tcPr>
            <w:tcW w:w="3038" w:type="dxa"/>
            <w:shd w:val="clear" w:color="auto" w:fill="auto"/>
            <w:vAlign w:val="center"/>
          </w:tcPr>
          <w:p w14:paraId="6EA458DC" w14:textId="77777777" w:rsidR="00BC4D2D" w:rsidRPr="00D65862" w:rsidRDefault="002500CA">
            <w:pPr>
              <w:spacing w:line="480" w:lineRule="auto"/>
              <w:rPr>
                <w:sz w:val="20"/>
                <w:szCs w:val="20"/>
              </w:rPr>
            </w:pPr>
            <w:r w:rsidRPr="00D65862">
              <w:rPr>
                <w:rFonts w:ascii="ＭＳ 明朝" w:eastAsia="ＭＳ 明朝" w:hAnsi="ＭＳ 明朝" w:cs="ＭＳ 明朝"/>
                <w:sz w:val="20"/>
                <w:szCs w:val="20"/>
              </w:rPr>
              <w:t xml:space="preserve">　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Stage (Ⅳ vs. others)</w:t>
            </w:r>
          </w:p>
        </w:tc>
        <w:tc>
          <w:tcPr>
            <w:tcW w:w="2050" w:type="dxa"/>
            <w:vAlign w:val="center"/>
          </w:tcPr>
          <w:p w14:paraId="31F1E928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0.90 (0.63–1.29)</w:t>
            </w:r>
          </w:p>
        </w:tc>
        <w:tc>
          <w:tcPr>
            <w:tcW w:w="1106" w:type="dxa"/>
            <w:vAlign w:val="center"/>
          </w:tcPr>
          <w:p w14:paraId="288A797A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0.576</w:t>
            </w:r>
          </w:p>
        </w:tc>
        <w:tc>
          <w:tcPr>
            <w:tcW w:w="2057" w:type="dxa"/>
            <w:vAlign w:val="center"/>
          </w:tcPr>
          <w:p w14:paraId="6362FDE8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0.75 (0.51–1.10)</w:t>
            </w:r>
          </w:p>
        </w:tc>
        <w:tc>
          <w:tcPr>
            <w:tcW w:w="1109" w:type="dxa"/>
            <w:vAlign w:val="center"/>
          </w:tcPr>
          <w:p w14:paraId="67B39D26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0.137</w:t>
            </w:r>
          </w:p>
        </w:tc>
      </w:tr>
      <w:tr w:rsidR="00BC4D2D" w:rsidRPr="00D65862" w14:paraId="038122A9" w14:textId="77777777">
        <w:trPr>
          <w:trHeight w:val="722"/>
        </w:trPr>
        <w:tc>
          <w:tcPr>
            <w:tcW w:w="3038" w:type="dxa"/>
            <w:shd w:val="clear" w:color="auto" w:fill="auto"/>
            <w:vAlign w:val="center"/>
          </w:tcPr>
          <w:p w14:paraId="5C8A2311" w14:textId="77777777" w:rsidR="00BC4D2D" w:rsidRPr="00D65862" w:rsidRDefault="002500CA">
            <w:pPr>
              <w:spacing w:line="480" w:lineRule="auto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Histology (non-ad vs. ad)</w:t>
            </w:r>
          </w:p>
        </w:tc>
        <w:tc>
          <w:tcPr>
            <w:tcW w:w="2050" w:type="dxa"/>
            <w:vAlign w:val="center"/>
          </w:tcPr>
          <w:p w14:paraId="3A7032E5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1.32 (0.91–1.92)</w:t>
            </w:r>
          </w:p>
        </w:tc>
        <w:tc>
          <w:tcPr>
            <w:tcW w:w="1106" w:type="dxa"/>
            <w:vAlign w:val="center"/>
          </w:tcPr>
          <w:p w14:paraId="7D5D4E5C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0.140</w:t>
            </w:r>
          </w:p>
        </w:tc>
        <w:tc>
          <w:tcPr>
            <w:tcW w:w="2057" w:type="dxa"/>
            <w:vAlign w:val="center"/>
          </w:tcPr>
          <w:p w14:paraId="7F941116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1.52 (0.98–2.36)</w:t>
            </w:r>
          </w:p>
        </w:tc>
        <w:tc>
          <w:tcPr>
            <w:tcW w:w="1109" w:type="dxa"/>
            <w:vAlign w:val="center"/>
          </w:tcPr>
          <w:p w14:paraId="6E6067F5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0.064</w:t>
            </w:r>
          </w:p>
        </w:tc>
      </w:tr>
      <w:tr w:rsidR="00BC4D2D" w:rsidRPr="00D65862" w14:paraId="1BABF313" w14:textId="77777777">
        <w:trPr>
          <w:trHeight w:val="722"/>
        </w:trPr>
        <w:tc>
          <w:tcPr>
            <w:tcW w:w="3038" w:type="dxa"/>
            <w:shd w:val="clear" w:color="auto" w:fill="auto"/>
            <w:vAlign w:val="center"/>
          </w:tcPr>
          <w:p w14:paraId="0C1B5C3A" w14:textId="77777777" w:rsidR="00BC4D2D" w:rsidRPr="00D65862" w:rsidRDefault="002500CA">
            <w:pPr>
              <w:spacing w:line="480" w:lineRule="auto"/>
              <w:rPr>
                <w:sz w:val="20"/>
                <w:szCs w:val="20"/>
              </w:rPr>
            </w:pPr>
            <w:r w:rsidRPr="00D65862">
              <w:rPr>
                <w:rFonts w:ascii="ＭＳ 明朝" w:eastAsia="ＭＳ 明朝" w:hAnsi="ＭＳ 明朝" w:cs="ＭＳ 明朝"/>
                <w:sz w:val="20"/>
                <w:szCs w:val="20"/>
              </w:rPr>
              <w:t xml:space="preserve">　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EGFR mutation (no vs. yes)</w:t>
            </w:r>
          </w:p>
        </w:tc>
        <w:tc>
          <w:tcPr>
            <w:tcW w:w="2050" w:type="dxa"/>
            <w:vAlign w:val="center"/>
          </w:tcPr>
          <w:p w14:paraId="10ADE4B4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1.24 (0.85–1.80)</w:t>
            </w:r>
          </w:p>
        </w:tc>
        <w:tc>
          <w:tcPr>
            <w:tcW w:w="1106" w:type="dxa"/>
            <w:vAlign w:val="center"/>
          </w:tcPr>
          <w:p w14:paraId="7A2B99BD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0.257</w:t>
            </w:r>
          </w:p>
        </w:tc>
        <w:tc>
          <w:tcPr>
            <w:tcW w:w="2057" w:type="dxa"/>
            <w:vAlign w:val="center"/>
          </w:tcPr>
          <w:p w14:paraId="75B5EB62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1.12 (0.66–1.89)</w:t>
            </w:r>
          </w:p>
        </w:tc>
        <w:tc>
          <w:tcPr>
            <w:tcW w:w="1109" w:type="dxa"/>
            <w:vAlign w:val="center"/>
          </w:tcPr>
          <w:p w14:paraId="5F13F507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0.676</w:t>
            </w:r>
          </w:p>
        </w:tc>
      </w:tr>
      <w:tr w:rsidR="00BC4D2D" w:rsidRPr="00D65862" w14:paraId="3A45307D" w14:textId="77777777">
        <w:trPr>
          <w:trHeight w:val="722"/>
        </w:trPr>
        <w:tc>
          <w:tcPr>
            <w:tcW w:w="3038" w:type="dxa"/>
            <w:shd w:val="clear" w:color="auto" w:fill="auto"/>
            <w:vAlign w:val="center"/>
          </w:tcPr>
          <w:p w14:paraId="2E98D81A" w14:textId="77777777" w:rsidR="00BC4D2D" w:rsidRPr="00D65862" w:rsidRDefault="002500CA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5862">
              <w:rPr>
                <w:rFonts w:ascii="ＭＳ 明朝" w:eastAsia="ＭＳ 明朝" w:hAnsi="ＭＳ 明朝" w:cs="ＭＳ 明朝"/>
                <w:sz w:val="20"/>
                <w:szCs w:val="20"/>
              </w:rPr>
              <w:t xml:space="preserve">　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No of prior treatments</w:t>
            </w:r>
          </w:p>
          <w:p w14:paraId="38A719C3" w14:textId="77777777" w:rsidR="00BC4D2D" w:rsidRPr="00D65862" w:rsidRDefault="002500CA">
            <w:pPr>
              <w:spacing w:line="480" w:lineRule="auto"/>
              <w:ind w:firstLine="240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(≥ 3 vs. 1–2)</w:t>
            </w:r>
          </w:p>
        </w:tc>
        <w:tc>
          <w:tcPr>
            <w:tcW w:w="2050" w:type="dxa"/>
            <w:vAlign w:val="center"/>
          </w:tcPr>
          <w:p w14:paraId="7D943024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0.93 (0.67–1.29)</w:t>
            </w:r>
          </w:p>
        </w:tc>
        <w:tc>
          <w:tcPr>
            <w:tcW w:w="1106" w:type="dxa"/>
            <w:vAlign w:val="center"/>
          </w:tcPr>
          <w:p w14:paraId="3907E145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0.661</w:t>
            </w:r>
          </w:p>
        </w:tc>
        <w:tc>
          <w:tcPr>
            <w:tcW w:w="2057" w:type="dxa"/>
            <w:vAlign w:val="center"/>
          </w:tcPr>
          <w:p w14:paraId="7E59E835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0.82 (0.54–1.23)</w:t>
            </w:r>
          </w:p>
        </w:tc>
        <w:tc>
          <w:tcPr>
            <w:tcW w:w="1109" w:type="dxa"/>
            <w:vAlign w:val="center"/>
          </w:tcPr>
          <w:p w14:paraId="5A2E38C8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0.341</w:t>
            </w:r>
          </w:p>
        </w:tc>
      </w:tr>
      <w:tr w:rsidR="00BC4D2D" w:rsidRPr="00D65862" w14:paraId="4D926B01" w14:textId="77777777">
        <w:trPr>
          <w:trHeight w:val="722"/>
        </w:trPr>
        <w:tc>
          <w:tcPr>
            <w:tcW w:w="30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621177" w14:textId="77777777" w:rsidR="00BC4D2D" w:rsidRPr="00D65862" w:rsidRDefault="002500CA">
            <w:pPr>
              <w:spacing w:line="480" w:lineRule="auto"/>
              <w:rPr>
                <w:sz w:val="20"/>
                <w:szCs w:val="20"/>
              </w:rPr>
            </w:pPr>
            <w:r w:rsidRPr="00D65862">
              <w:rPr>
                <w:rFonts w:ascii="ＭＳ 明朝" w:eastAsia="ＭＳ 明朝" w:hAnsi="ＭＳ 明朝" w:cs="ＭＳ 明朝"/>
                <w:sz w:val="20"/>
                <w:szCs w:val="20"/>
              </w:rPr>
              <w:t xml:space="preserve">　</w:t>
            </w: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Prior ICI (yes vs. no)</w:t>
            </w:r>
          </w:p>
        </w:tc>
        <w:tc>
          <w:tcPr>
            <w:tcW w:w="2050" w:type="dxa"/>
            <w:tcBorders>
              <w:bottom w:val="single" w:sz="4" w:space="0" w:color="auto"/>
            </w:tcBorders>
            <w:vAlign w:val="center"/>
          </w:tcPr>
          <w:p w14:paraId="4C44C4D7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1.19 (0.86–1.66)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vAlign w:val="center"/>
          </w:tcPr>
          <w:p w14:paraId="0540584E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0.300</w:t>
            </w:r>
          </w:p>
        </w:tc>
        <w:tc>
          <w:tcPr>
            <w:tcW w:w="2057" w:type="dxa"/>
            <w:tcBorders>
              <w:bottom w:val="single" w:sz="4" w:space="0" w:color="auto"/>
            </w:tcBorders>
            <w:vAlign w:val="center"/>
          </w:tcPr>
          <w:p w14:paraId="108866E7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1.00 (0.68–1.46)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vAlign w:val="center"/>
          </w:tcPr>
          <w:p w14:paraId="5BE07918" w14:textId="77777777" w:rsidR="00BC4D2D" w:rsidRPr="00D65862" w:rsidRDefault="002500CA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65862">
              <w:rPr>
                <w:rFonts w:ascii="Times New Roman" w:eastAsia="Times New Roman" w:hAnsi="Times New Roman" w:cs="Times New Roman"/>
                <w:sz w:val="20"/>
                <w:szCs w:val="20"/>
              </w:rPr>
              <w:t>1.000</w:t>
            </w:r>
          </w:p>
        </w:tc>
      </w:tr>
    </w:tbl>
    <w:p w14:paraId="051FE4AD" w14:textId="77777777" w:rsidR="00BC4D2D" w:rsidRPr="00D65862" w:rsidRDefault="002500CA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sz w:val="20"/>
          <w:szCs w:val="20"/>
        </w:rPr>
        <w:t>OS, overall survival; ECOG-PS, Eastern Cooperative Oncology Group Performance Status; EGFR, epidermal growth factor receptor; ICI, immune checkpoint inhibitors</w:t>
      </w:r>
    </w:p>
    <w:p w14:paraId="3394761F" w14:textId="77777777" w:rsidR="00BC4D2D" w:rsidRPr="00D65862" w:rsidRDefault="002500CA">
      <w:pPr>
        <w:spacing w:after="20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0C140155" w14:textId="7683C017" w:rsidR="00F81C2B" w:rsidRPr="00D65862" w:rsidRDefault="00F81C2B" w:rsidP="00F81C2B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lastRenderedPageBreak/>
        <w:t>Figure legends</w:t>
      </w:r>
    </w:p>
    <w:p w14:paraId="18EE539A" w14:textId="0C4388F2" w:rsidR="00F81C2B" w:rsidRPr="00D65862" w:rsidRDefault="00F81C2B" w:rsidP="00F81C2B">
      <w:pPr>
        <w:spacing w:line="480" w:lineRule="auto"/>
        <w:rPr>
          <w:b/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b/>
          <w:sz w:val="20"/>
          <w:szCs w:val="20"/>
        </w:rPr>
        <w:t>Supplementary Fi</w:t>
      </w:r>
      <w:r w:rsidR="0020313C" w:rsidRPr="00D65862">
        <w:rPr>
          <w:rFonts w:ascii="Times New Roman" w:eastAsia="Times New Roman" w:hAnsi="Times New Roman" w:cs="Times New Roman"/>
          <w:b/>
          <w:sz w:val="20"/>
          <w:szCs w:val="20"/>
        </w:rPr>
        <w:t>g.</w:t>
      </w:r>
      <w:r w:rsidRPr="00D65862">
        <w:rPr>
          <w:rFonts w:ascii="Times New Roman" w:eastAsia="Times New Roman" w:hAnsi="Times New Roman" w:cs="Times New Roman"/>
          <w:b/>
          <w:sz w:val="20"/>
          <w:szCs w:val="20"/>
        </w:rPr>
        <w:t xml:space="preserve"> 1</w:t>
      </w:r>
    </w:p>
    <w:p w14:paraId="759860BD" w14:textId="15C3548E" w:rsidR="00D65862" w:rsidRPr="00D65862" w:rsidRDefault="00D65862" w:rsidP="00D65862">
      <w:pPr>
        <w:spacing w:line="480" w:lineRule="auto"/>
        <w:rPr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sz w:val="20"/>
          <w:szCs w:val="20"/>
        </w:rPr>
        <w:t>Kaplan</w:t>
      </w:r>
      <w:r w:rsidRPr="00D65862">
        <w:rPr>
          <w:rFonts w:ascii="Symbol" w:eastAsia="Symbol" w:hAnsi="Symbol" w:cs="Symbol"/>
          <w:sz w:val="20"/>
          <w:szCs w:val="20"/>
        </w:rPr>
        <w:t>-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 xml:space="preserve">Meier curves of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>S compared between the groups with and without prior treatment</w:t>
      </w:r>
      <w:r w:rsidR="005354F8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 xml:space="preserve"> including ICI, CTx, BEV, and TKI in patients with NSCLC who </w:t>
      </w:r>
      <w:r w:rsidR="005354F8" w:rsidRPr="00D65862">
        <w:rPr>
          <w:rFonts w:ascii="Times New Roman" w:eastAsia="Times New Roman" w:hAnsi="Times New Roman" w:cs="Times New Roman"/>
          <w:sz w:val="20"/>
          <w:szCs w:val="20"/>
        </w:rPr>
        <w:t>rec</w:t>
      </w:r>
      <w:r w:rsidR="005354F8">
        <w:rPr>
          <w:rFonts w:ascii="Times New Roman" w:eastAsia="Times New Roman" w:hAnsi="Times New Roman" w:cs="Times New Roman"/>
          <w:sz w:val="20"/>
          <w:szCs w:val="20"/>
        </w:rPr>
        <w:t>ei</w:t>
      </w:r>
      <w:r w:rsidR="005354F8" w:rsidRPr="00D65862">
        <w:rPr>
          <w:rFonts w:ascii="Times New Roman" w:eastAsia="Times New Roman" w:hAnsi="Times New Roman" w:cs="Times New Roman"/>
          <w:sz w:val="20"/>
          <w:szCs w:val="20"/>
        </w:rPr>
        <w:t xml:space="preserve">ved 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>RAM and DOC.</w:t>
      </w:r>
    </w:p>
    <w:p w14:paraId="71C424FF" w14:textId="1F90C38A" w:rsidR="00D65862" w:rsidRPr="00D65862" w:rsidRDefault="00D65862" w:rsidP="00D65862">
      <w:pPr>
        <w:spacing w:line="48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 xml:space="preserve">S, </w:t>
      </w:r>
      <w:r>
        <w:rPr>
          <w:rFonts w:ascii="Times New Roman" w:eastAsia="Times New Roman" w:hAnsi="Times New Roman" w:cs="Times New Roman"/>
          <w:sz w:val="20"/>
          <w:szCs w:val="20"/>
        </w:rPr>
        <w:t>overall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 xml:space="preserve"> survival; ICI, immune checkpoint inhibitor; CTx, cytotoxic agents; BEV, bevacizumab; TKI, tyrosine kinase inhibitor</w:t>
      </w:r>
      <w:r w:rsidRPr="00D65862">
        <w:rPr>
          <w:rFonts w:ascii="Times New Roman" w:eastAsia="Times New Roman" w:hAnsi="Times New Roman" w:cs="Times New Roman" w:hint="eastAsia"/>
          <w:bCs/>
          <w:sz w:val="20"/>
          <w:szCs w:val="20"/>
        </w:rPr>
        <w:t>;</w:t>
      </w:r>
      <w:r w:rsidRPr="00D65862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>NSCLC, non-small cell lung cancer; RAM, ramucirumab; DOC, docetaxel; CI, confidence interval</w:t>
      </w:r>
    </w:p>
    <w:p w14:paraId="43997498" w14:textId="77777777" w:rsidR="00F81C2B" w:rsidRPr="00D65862" w:rsidRDefault="00F81C2B" w:rsidP="00F81C2B">
      <w:pPr>
        <w:spacing w:line="480" w:lineRule="auto"/>
        <w:rPr>
          <w:sz w:val="20"/>
          <w:szCs w:val="20"/>
        </w:rPr>
      </w:pPr>
    </w:p>
    <w:p w14:paraId="711AB399" w14:textId="20CBC1F6" w:rsidR="00F81C2B" w:rsidRPr="00D65862" w:rsidRDefault="00F81C2B" w:rsidP="00F81C2B">
      <w:pPr>
        <w:spacing w:line="480" w:lineRule="auto"/>
        <w:rPr>
          <w:b/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b/>
          <w:sz w:val="20"/>
          <w:szCs w:val="20"/>
        </w:rPr>
        <w:t>Supplementary Fi</w:t>
      </w:r>
      <w:r w:rsidR="0020313C" w:rsidRPr="00D65862">
        <w:rPr>
          <w:rFonts w:ascii="Times New Roman" w:eastAsia="Times New Roman" w:hAnsi="Times New Roman" w:cs="Times New Roman"/>
          <w:b/>
          <w:sz w:val="20"/>
          <w:szCs w:val="20"/>
        </w:rPr>
        <w:t>g.</w:t>
      </w:r>
      <w:r w:rsidRPr="00D65862">
        <w:rPr>
          <w:rFonts w:ascii="Times New Roman" w:eastAsia="Times New Roman" w:hAnsi="Times New Roman" w:cs="Times New Roman"/>
          <w:b/>
          <w:sz w:val="20"/>
          <w:szCs w:val="20"/>
        </w:rPr>
        <w:t xml:space="preserve"> 2</w:t>
      </w:r>
    </w:p>
    <w:p w14:paraId="2868E041" w14:textId="018F9758" w:rsidR="00F81C2B" w:rsidRPr="00D65862" w:rsidRDefault="00F81C2B" w:rsidP="00F81C2B">
      <w:pPr>
        <w:spacing w:line="480" w:lineRule="auto"/>
        <w:rPr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sz w:val="20"/>
          <w:szCs w:val="20"/>
        </w:rPr>
        <w:t>Kaplan</w:t>
      </w:r>
      <w:r w:rsidR="005D66E8" w:rsidRPr="00D65862">
        <w:rPr>
          <w:rFonts w:ascii="Symbol" w:eastAsia="Symbol" w:hAnsi="Symbol" w:cs="Symbol"/>
          <w:sz w:val="20"/>
          <w:szCs w:val="20"/>
        </w:rPr>
        <w:t>-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>Meier curves of PFS and OS compared between the past ICI and no ICI groups</w:t>
      </w:r>
      <w:r w:rsidR="00D65862">
        <w:rPr>
          <w:rFonts w:ascii="Times New Roman" w:eastAsia="Times New Roman" w:hAnsi="Times New Roman" w:cs="Times New Roman"/>
          <w:sz w:val="20"/>
          <w:szCs w:val="20"/>
        </w:rPr>
        <w:t xml:space="preserve"> in</w:t>
      </w:r>
      <w:r w:rsidRPr="00D65862">
        <w:rPr>
          <w:rFonts w:ascii="Times New Roman" w:eastAsia="Times New Roman" w:hAnsi="Times New Roman" w:cs="Times New Roman"/>
          <w:sz w:val="20"/>
          <w:szCs w:val="20"/>
        </w:rPr>
        <w:t xml:space="preserve"> patients with NSCLC</w:t>
      </w:r>
      <w:r w:rsidR="00D6586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65862" w:rsidRPr="00D65862">
        <w:rPr>
          <w:rFonts w:ascii="Times New Roman" w:eastAsia="Times New Roman" w:hAnsi="Times New Roman" w:cs="Times New Roman"/>
          <w:sz w:val="20"/>
          <w:szCs w:val="20"/>
        </w:rPr>
        <w:t xml:space="preserve">who </w:t>
      </w:r>
      <w:r w:rsidR="005354F8" w:rsidRPr="00D65862">
        <w:rPr>
          <w:rFonts w:ascii="Times New Roman" w:eastAsia="Times New Roman" w:hAnsi="Times New Roman" w:cs="Times New Roman"/>
          <w:sz w:val="20"/>
          <w:szCs w:val="20"/>
        </w:rPr>
        <w:t>rec</w:t>
      </w:r>
      <w:r w:rsidR="005354F8">
        <w:rPr>
          <w:rFonts w:ascii="Times New Roman" w:eastAsia="Times New Roman" w:hAnsi="Times New Roman" w:cs="Times New Roman"/>
          <w:sz w:val="20"/>
          <w:szCs w:val="20"/>
        </w:rPr>
        <w:t>ei</w:t>
      </w:r>
      <w:r w:rsidR="005354F8" w:rsidRPr="00D65862">
        <w:rPr>
          <w:rFonts w:ascii="Times New Roman" w:eastAsia="Times New Roman" w:hAnsi="Times New Roman" w:cs="Times New Roman"/>
          <w:sz w:val="20"/>
          <w:szCs w:val="20"/>
        </w:rPr>
        <w:t xml:space="preserve">ved </w:t>
      </w:r>
      <w:r w:rsidR="00D65862" w:rsidRPr="00D65862">
        <w:rPr>
          <w:rFonts w:ascii="Times New Roman" w:eastAsia="Times New Roman" w:hAnsi="Times New Roman" w:cs="Times New Roman"/>
          <w:sz w:val="20"/>
          <w:szCs w:val="20"/>
        </w:rPr>
        <w:t>RAM and DOC.</w:t>
      </w:r>
    </w:p>
    <w:p w14:paraId="7CA67548" w14:textId="7E861892" w:rsidR="00F81C2B" w:rsidRPr="00D65862" w:rsidRDefault="00F81C2B">
      <w:pPr>
        <w:spacing w:line="480" w:lineRule="auto"/>
        <w:rPr>
          <w:sz w:val="20"/>
          <w:szCs w:val="20"/>
        </w:rPr>
      </w:pPr>
      <w:r w:rsidRPr="00D65862">
        <w:rPr>
          <w:rFonts w:ascii="Times New Roman" w:eastAsia="Times New Roman" w:hAnsi="Times New Roman" w:cs="Times New Roman"/>
          <w:sz w:val="20"/>
          <w:szCs w:val="20"/>
        </w:rPr>
        <w:t>PFS, progression-free survival; OS, overall survival; ICI, immune checkpoint inhibitor; NSCLC, non-small cell lung cancer; RAM, ramucirumab; DOC, docetaxel; CI, confidence interval</w:t>
      </w:r>
    </w:p>
    <w:sectPr w:rsidR="00F81C2B" w:rsidRPr="00D65862">
      <w:type w:val="continuous"/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clean"/>
  <w:defaultTabStop w:val="960"/>
  <w:drawingGridHorizontalSpacing w:val="221"/>
  <w:drawingGridVerticalSpacing w:val="387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QwNDIwNjS2NDI3NDVQ0lEKTi0uzszPAykwrAUAShJtjiwAAAA="/>
  </w:docVars>
  <w:rsids>
    <w:rsidRoot w:val="00BC4D2D"/>
    <w:rsid w:val="00045441"/>
    <w:rsid w:val="001229DF"/>
    <w:rsid w:val="0020313C"/>
    <w:rsid w:val="002270F6"/>
    <w:rsid w:val="002500CA"/>
    <w:rsid w:val="0029243C"/>
    <w:rsid w:val="003256E0"/>
    <w:rsid w:val="003E1854"/>
    <w:rsid w:val="005354F8"/>
    <w:rsid w:val="005D66E8"/>
    <w:rsid w:val="00701109"/>
    <w:rsid w:val="00796A4B"/>
    <w:rsid w:val="00831204"/>
    <w:rsid w:val="00B71D9B"/>
    <w:rsid w:val="00B80CBE"/>
    <w:rsid w:val="00BC4D2D"/>
    <w:rsid w:val="00D65862"/>
    <w:rsid w:val="00D958F9"/>
    <w:rsid w:val="00E861BB"/>
    <w:rsid w:val="00E97854"/>
    <w:rsid w:val="00ED58CA"/>
    <w:rsid w:val="00F8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1DB871A"/>
  <w15:docId w15:val="{AEC93306-18F0-4DA3-BCD2-42E3EB90B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Smart Link" w:semiHidden="1" w:unhideWhenUsed="1"/>
  </w:latentStyles>
  <w:style w:type="paragraph" w:default="1" w:styleId="a">
    <w:name w:val="Normal"/>
    <w:qFormat/>
    <w:rPr>
      <w:sz w:val="22"/>
      <w:lang w:val=""/>
    </w:rPr>
  </w:style>
  <w:style w:type="paragraph" w:styleId="1">
    <w:name w:val="heading 1"/>
    <w:basedOn w:val="a"/>
    <w:qFormat/>
    <w:pPr>
      <w:keepNext/>
      <w:outlineLvl w:val="0"/>
    </w:pPr>
    <w:rPr>
      <w:rFonts w:ascii="游ゴシック Light" w:eastAsia="游ゴシック Light" w:hAnsi="游ゴシック Light" w:cs="游ゴシック Light"/>
    </w:rPr>
  </w:style>
  <w:style w:type="paragraph" w:styleId="2">
    <w:name w:val="heading 2"/>
    <w:basedOn w:val="a"/>
    <w:qFormat/>
    <w:pPr>
      <w:keepNext/>
      <w:outlineLvl w:val="1"/>
    </w:pPr>
    <w:rPr>
      <w:rFonts w:ascii="游ゴシック Light" w:eastAsia="游ゴシック Light" w:hAnsi="游ゴシック Light" w:cs="游ゴシック Light"/>
    </w:rPr>
  </w:style>
  <w:style w:type="paragraph" w:styleId="3">
    <w:name w:val="heading 3"/>
    <w:basedOn w:val="a"/>
    <w:qFormat/>
    <w:pPr>
      <w:keepNext/>
      <w:ind w:left="400"/>
      <w:outlineLvl w:val="2"/>
    </w:pPr>
    <w:rPr>
      <w:rFonts w:ascii="游ゴシック Light" w:eastAsia="游ゴシック Light" w:hAnsi="游ゴシック Light" w:cs="游ゴシック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0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0">
    <w:name w:val="toc 3"/>
    <w:basedOn w:val="a"/>
    <w:pPr>
      <w:spacing w:line="360" w:lineRule="auto"/>
    </w:pPr>
    <w:rPr>
      <w:rFonts w:ascii="Calibri" w:eastAsia="Calibri" w:hAnsi="Calibri" w:cs="Calibri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styleId="a7">
    <w:name w:val="Emphasis"/>
    <w:basedOn w:val="a0"/>
    <w:qFormat/>
    <w:rPr>
      <w:i/>
    </w:rPr>
  </w:style>
  <w:style w:type="paragraph" w:styleId="a8">
    <w:name w:val="No Spacing"/>
    <w:rPr>
      <w:rFonts w:ascii="ＭＳ Ｐゴシック" w:eastAsia="ＭＳ Ｐゴシック" w:hAnsi="ＭＳ Ｐゴシック" w:cs="ＭＳ Ｐゴシック"/>
    </w:rPr>
  </w:style>
  <w:style w:type="paragraph" w:customStyle="1" w:styleId="TableList">
    <w:name w:val="Table List"/>
    <w:basedOn w:val="a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after="160" w:line="360" w:lineRule="auto"/>
      <w:ind w:left="400"/>
    </w:pPr>
    <w:rPr>
      <w:rFonts w:ascii="Calibri" w:eastAsia="Calibri" w:hAnsi="Calibri" w:cs="Calibri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a9">
    <w:name w:val="foot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hd w:val="clear" w:color="auto" w:fill="FFF5ED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  <w:jc w:val="both"/>
    </w:pPr>
    <w:rPr>
      <w:rFonts w:ascii="Calibri" w:eastAsia="Calibri" w:hAnsi="Calibri" w:cs="Calibri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1">
    <w:name w:val="List 2"/>
    <w:basedOn w:val="a"/>
    <w:pPr>
      <w:spacing w:line="360" w:lineRule="auto"/>
      <w:ind w:left="800" w:hanging="400"/>
      <w:jc w:val="both"/>
    </w:pPr>
    <w:rPr>
      <w:rFonts w:ascii="Calibri" w:eastAsia="Calibri" w:hAnsi="Calibri" w:cs="Calibri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aa">
    <w:name w:val="endnote text"/>
    <w:basedOn w:val="a"/>
    <w:rPr>
      <w:rFonts w:ascii="Calibri" w:eastAsia="Calibri" w:hAnsi="Calibri" w:cs="Calibri"/>
    </w:rPr>
  </w:style>
  <w:style w:type="paragraph" w:styleId="ab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</w:rPr>
  </w:style>
  <w:style w:type="paragraph" w:customStyle="1" w:styleId="Authors">
    <w:name w:val="Authors"/>
    <w:basedOn w:val="a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c">
    <w:name w:val="Hyperlink"/>
    <w:basedOn w:val="a0"/>
    <w:rPr>
      <w:color w:val="0563C1"/>
    </w:rPr>
  </w:style>
  <w:style w:type="character" w:customStyle="1" w:styleId="Region">
    <w:name w:val="Region"/>
    <w:basedOn w:val="a0"/>
    <w:rPr>
      <w:shd w:val="clear" w:color="auto" w:fill="D8E9EE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d">
    <w:name w:val="Normal Indent"/>
    <w:basedOn w:val="a"/>
    <w:qFormat/>
    <w:pPr>
      <w:ind w:firstLine="48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e">
    <w:name w:val="Balloon Text"/>
    <w:basedOn w:val="a"/>
    <w:rPr>
      <w:rFonts w:ascii="Calibri" w:eastAsia="Calibri" w:hAnsi="Calibri" w:cs="Calibri"/>
      <w:color w:val="000000"/>
      <w:sz w:val="16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">
    <w:name w:val="List"/>
    <w:basedOn w:val="a"/>
    <w:pPr>
      <w:spacing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1">
    <w:name w:val="List 3"/>
    <w:basedOn w:val="a"/>
    <w:pPr>
      <w:spacing w:line="360" w:lineRule="auto"/>
      <w:ind w:left="1200" w:hanging="400"/>
      <w:jc w:val="both"/>
    </w:pPr>
    <w:rPr>
      <w:rFonts w:ascii="Calibri" w:eastAsia="Calibri" w:hAnsi="Calibri" w:cs="Calibri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0">
    <w:name w:val="Subtitle"/>
    <w:basedOn w:val="a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</w:rPr>
  </w:style>
  <w:style w:type="paragraph" w:customStyle="1" w:styleId="TableHead">
    <w:name w:val="Table Head"/>
    <w:basedOn w:val="a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  <w:jc w:val="both"/>
    </w:pPr>
    <w:rPr>
      <w:rFonts w:ascii="Calibri" w:eastAsia="Calibri" w:hAnsi="Calibri" w:cs="Calibri"/>
    </w:rPr>
  </w:style>
  <w:style w:type="paragraph" w:customStyle="1" w:styleId="TableBody">
    <w:name w:val="Table Body"/>
    <w:basedOn w:val="a"/>
    <w:pPr>
      <w:spacing w:after="160" w:line="396" w:lineRule="auto"/>
    </w:pPr>
    <w:rPr>
      <w:rFonts w:ascii="Calibri" w:eastAsia="Calibri" w:hAnsi="Calibri" w:cs="Calibri"/>
      <w:sz w:val="20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</w:rPr>
  </w:style>
  <w:style w:type="paragraph" w:styleId="af1">
    <w:name w:val="annotation text"/>
    <w:basedOn w:val="a"/>
    <w:link w:val="af2"/>
    <w:rPr>
      <w:rFonts w:ascii="Calibri" w:eastAsia="Calibri" w:hAnsi="Calibri" w:cs="Calibri"/>
      <w:sz w:val="20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3">
    <w:name w:val="caption"/>
    <w:basedOn w:val="a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hd w:val="clear" w:color="auto" w:fill="FFF5ED"/>
    </w:rPr>
  </w:style>
  <w:style w:type="paragraph" w:customStyle="1" w:styleId="List1">
    <w:name w:val="List 1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customStyle="1" w:styleId="List9">
    <w:name w:val="List 9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styleId="af4">
    <w:name w:val="annotation subject"/>
    <w:basedOn w:val="af1"/>
    <w:next w:val="af1"/>
    <w:link w:val="af5"/>
    <w:uiPriority w:val="99"/>
    <w:rsid w:val="00045441"/>
    <w:rPr>
      <w:rFonts w:asciiTheme="minorHAnsi" w:eastAsiaTheme="minorEastAsia" w:hAnsiTheme="minorHAnsi" w:cstheme="minorBidi"/>
      <w:b/>
      <w:bCs/>
      <w:szCs w:val="20"/>
    </w:rPr>
  </w:style>
  <w:style w:type="character" w:customStyle="1" w:styleId="af2">
    <w:name w:val="コメント文字列 (文字)"/>
    <w:basedOn w:val="a0"/>
    <w:link w:val="af1"/>
    <w:rsid w:val="00045441"/>
    <w:rPr>
      <w:rFonts w:ascii="Calibri" w:eastAsia="Calibri" w:hAnsi="Calibri" w:cs="Calibri"/>
      <w:sz w:val="20"/>
      <w:lang w:val=""/>
    </w:rPr>
  </w:style>
  <w:style w:type="character" w:customStyle="1" w:styleId="af5">
    <w:name w:val="コメント内容 (文字)"/>
    <w:basedOn w:val="af2"/>
    <w:link w:val="af4"/>
    <w:uiPriority w:val="99"/>
    <w:rsid w:val="00045441"/>
    <w:rPr>
      <w:rFonts w:ascii="Calibri" w:eastAsia="Calibri" w:hAnsi="Calibri" w:cs="Calibri"/>
      <w:b/>
      <w:bCs/>
      <w:sz w:val="20"/>
      <w:szCs w:val="20"/>
      <w:lang w:val=""/>
    </w:rPr>
  </w:style>
  <w:style w:type="paragraph" w:styleId="af6">
    <w:name w:val="Revision"/>
    <w:hidden/>
    <w:uiPriority w:val="99"/>
    <w:rsid w:val="001229DF"/>
    <w:rPr>
      <w:sz w:val="22"/>
      <w:lang w:val="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游ゴシック Light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642</Words>
  <Characters>3666</Characters>
  <Application>Microsoft Office Word</Application>
  <DocSecurity>0</DocSecurity>
  <Lines>30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Summa</dc:creator>
  <cp:lastModifiedBy>錦之介 松本</cp:lastModifiedBy>
  <cp:revision>2</cp:revision>
  <dcterms:created xsi:type="dcterms:W3CDTF">2022-10-25T15:40:00Z</dcterms:created>
  <dcterms:modified xsi:type="dcterms:W3CDTF">2022-10-25T15:40:00Z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406</vt:lpwstr>
  </property>
  <property fmtid="{D5CDD505-2E9C-101B-9397-08002B2CF9AE}" pid="16" name="Merops references count">
    <vt:lpwstr>0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4</vt:lpwstr>
  </property>
  <property fmtid="{D5CDD505-2E9C-101B-9397-08002B2CF9AE}" pid="20" name="Merops figures count">
    <vt:lpwstr>0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*</vt:lpwstr>
  </property>
  <property fmtid="{D5CDD505-2E9C-101B-9397-08002B2CF9AE}" pid="26" name="Merops Standard Set modified">
    <vt:lpwstr>*</vt:lpwstr>
  </property>
  <property fmtid="{D5CDD505-2E9C-101B-9397-08002B2CF9AE}" pid="27" name="Merops client version">
    <vt:lpwstr>*</vt:lpwstr>
  </property>
  <property fmtid="{D5CDD505-2E9C-101B-9397-08002B2CF9AE}" pid="28" name="Merops input file path">
    <vt:lpwstr>*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>*</vt:lpwstr>
  </property>
  <property fmtid="{D5CDD505-2E9C-101B-9397-08002B2CF9AE}" pid="31" name="Merops processed date">
    <vt:lpwstr>2022/10/05 05:09:38 AM</vt:lpwstr>
  </property>
  <property fmtid="{D5CDD505-2E9C-101B-9397-08002B2CF9AE}" pid="32" name="Merops WorldCat links count">
    <vt:lpwstr>0</vt:lpwstr>
  </property>
  <property fmtid="{D5CDD505-2E9C-101B-9397-08002B2CF9AE}" pid="33" name="Merops Scopus links count">
    <vt:lpwstr>0</vt:lpwstr>
  </property>
  <property fmtid="{D5CDD505-2E9C-101B-9397-08002B2CF9AE}" pid="34" name="Merops comment count">
    <vt:lpwstr>0</vt:lpwstr>
  </property>
  <property fmtid="{D5CDD505-2E9C-101B-9397-08002B2CF9AE}" pid="35" name="Merops change count">
    <vt:lpwstr>3</vt:lpwstr>
  </property>
  <property fmtid="{D5CDD505-2E9C-101B-9397-08002B2CF9AE}" pid="36" name="GrammarlyDocumentId">
    <vt:lpwstr>e81479559d8a8843b72e3d2235574e19eea73a82d86d4f2fec6f9f19b4401755</vt:lpwstr>
  </property>
</Properties>
</file>