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8CDB8" w14:textId="77777777" w:rsidR="005317EC" w:rsidRDefault="005317EC" w:rsidP="005317EC">
      <w:r>
        <w:rPr>
          <w:b/>
          <w:bCs/>
        </w:rPr>
        <w:t>Supplementary Figure 1.</w:t>
      </w:r>
      <w:r>
        <w:t xml:space="preserve"> Sample </w:t>
      </w:r>
      <w:proofErr w:type="spellStart"/>
      <w:r>
        <w:t>clusterization</w:t>
      </w:r>
      <w:proofErr w:type="spellEnd"/>
      <w:r>
        <w:t>. Pearson correlation of all samples based on TREs expression.</w:t>
      </w:r>
    </w:p>
    <w:p w14:paraId="1558DD5E" w14:textId="77777777" w:rsidR="005317EC" w:rsidRDefault="005317EC" w:rsidP="005317EC"/>
    <w:p w14:paraId="0D312A9B" w14:textId="77777777" w:rsidR="005317EC" w:rsidRDefault="005317EC" w:rsidP="005317EC">
      <w:r>
        <w:rPr>
          <w:b/>
          <w:bCs/>
        </w:rPr>
        <w:t>Supplementary Figure 2.</w:t>
      </w:r>
      <w:r>
        <w:t xml:space="preserve"> Statistically significant (FDR &lt; 0.05) differentially expressed TREs of male versus female comparisons based on chromosome type, autosomal or sex chromosome, in </w:t>
      </w:r>
      <w:r>
        <w:rPr>
          <w:b/>
          <w:bCs/>
        </w:rPr>
        <w:t>A.</w:t>
      </w:r>
      <w:r>
        <w:t xml:space="preserve"> healthy atria, </w:t>
      </w:r>
      <w:r>
        <w:rPr>
          <w:b/>
          <w:bCs/>
        </w:rPr>
        <w:t>B.</w:t>
      </w:r>
      <w:r>
        <w:t xml:space="preserve"> healthy ventricles, </w:t>
      </w:r>
      <w:r>
        <w:rPr>
          <w:b/>
          <w:bCs/>
        </w:rPr>
        <w:t>C.</w:t>
      </w:r>
      <w:r>
        <w:t xml:space="preserve"> failing atria, and </w:t>
      </w:r>
      <w:r>
        <w:rPr>
          <w:b/>
          <w:bCs/>
        </w:rPr>
        <w:t>D.</w:t>
      </w:r>
      <w:r>
        <w:t xml:space="preserve"> failing ventricles. </w:t>
      </w:r>
    </w:p>
    <w:p w14:paraId="323C2C6A" w14:textId="77777777" w:rsidR="005317EC" w:rsidRDefault="005317EC" w:rsidP="005317EC"/>
    <w:p w14:paraId="4980A983" w14:textId="77777777" w:rsidR="005317EC" w:rsidRDefault="005317EC" w:rsidP="005317EC">
      <w:r>
        <w:rPr>
          <w:b/>
          <w:bCs/>
        </w:rPr>
        <w:t>Supplementary Figure 3.</w:t>
      </w:r>
      <w:r>
        <w:t xml:space="preserve"> Comparison of TREs differentially expressed (FDR &lt; 0.05) between healthy and failing states for </w:t>
      </w:r>
      <w:r>
        <w:rPr>
          <w:b/>
          <w:bCs/>
        </w:rPr>
        <w:t>A.</w:t>
      </w:r>
      <w:r>
        <w:t xml:space="preserve"> male atria, </w:t>
      </w:r>
      <w:r>
        <w:rPr>
          <w:b/>
          <w:bCs/>
        </w:rPr>
        <w:t>B.</w:t>
      </w:r>
      <w:r>
        <w:t xml:space="preserve"> female atria, </w:t>
      </w:r>
      <w:r>
        <w:rPr>
          <w:b/>
          <w:bCs/>
        </w:rPr>
        <w:t>C.</w:t>
      </w:r>
      <w:r>
        <w:t xml:space="preserve"> male ventricles, and </w:t>
      </w:r>
      <w:r>
        <w:rPr>
          <w:b/>
          <w:bCs/>
        </w:rPr>
        <w:t>D.</w:t>
      </w:r>
      <w:r>
        <w:t xml:space="preserve"> female ventricles.</w:t>
      </w:r>
    </w:p>
    <w:p w14:paraId="67F3D99C" w14:textId="77777777" w:rsidR="005317EC" w:rsidRDefault="005317EC" w:rsidP="005317EC"/>
    <w:p w14:paraId="10F01968" w14:textId="77777777" w:rsidR="005317EC" w:rsidRDefault="005317EC" w:rsidP="005317EC">
      <w:r>
        <w:rPr>
          <w:b/>
          <w:bCs/>
        </w:rPr>
        <w:t>Supplementary Figure 4.</w:t>
      </w:r>
      <w:r>
        <w:t xml:space="preserve"> Relative activity of alternative promoters for genes with consistently detected promoter switching. Each subpanel shows stacked </w:t>
      </w:r>
      <w:proofErr w:type="spellStart"/>
      <w:r>
        <w:t>barplots</w:t>
      </w:r>
      <w:proofErr w:type="spellEnd"/>
      <w:r>
        <w:t xml:space="preserve"> for one of 35 genes illustrated in Figure 4A. Bar segments correspond to the relative contribution of different promoters to the total gene expression. Bold denotes the test groups with the gene differential promoter usage results passing FDR &lt; 0.05. The total mean counts per million for each subset of samples are shown on the right of each plot.</w:t>
      </w:r>
    </w:p>
    <w:p w14:paraId="660B5530" w14:textId="77777777" w:rsidR="005317EC" w:rsidRDefault="005317EC" w:rsidP="005317EC"/>
    <w:p w14:paraId="5BD00B4C" w14:textId="77777777" w:rsidR="005317EC" w:rsidRDefault="005317EC" w:rsidP="005317EC">
      <w:r>
        <w:rPr>
          <w:b/>
          <w:bCs/>
        </w:rPr>
        <w:t>Supplementary Figure 5.</w:t>
      </w:r>
      <w:r>
        <w:t xml:space="preserve"> Examples of correlation analysis between age and expression for GATA4 (top panel), TBX20 (middle panel), and RERE (bottom panel). Each dot represents an individual sample. Each panel includes regression equations and coefficients. </w:t>
      </w:r>
    </w:p>
    <w:p w14:paraId="574E3BEC" w14:textId="77777777" w:rsidR="005317EC" w:rsidRDefault="005317EC" w:rsidP="005317EC"/>
    <w:p w14:paraId="6F5DBA5A" w14:textId="77777777" w:rsidR="005317EC" w:rsidRDefault="005317EC" w:rsidP="005317EC">
      <w:r>
        <w:rPr>
          <w:b/>
          <w:bCs/>
        </w:rPr>
        <w:t>Supplementary Figure 6.</w:t>
      </w:r>
      <w:r>
        <w:t xml:space="preserve"> Relative activity of alternative promoters (at the top) and relative expression of alternative isoforms (at the bottom) for </w:t>
      </w:r>
      <w:r>
        <w:rPr>
          <w:i/>
          <w:iCs/>
        </w:rPr>
        <w:t>UCKL1, CDH2</w:t>
      </w:r>
      <w:r>
        <w:t xml:space="preserve"> and </w:t>
      </w:r>
      <w:r>
        <w:rPr>
          <w:i/>
          <w:iCs/>
        </w:rPr>
        <w:t>HAND2</w:t>
      </w:r>
      <w:r>
        <w:t xml:space="preserve">. </w:t>
      </w:r>
      <w:r>
        <w:rPr>
          <w:b/>
          <w:bCs/>
        </w:rPr>
        <w:t>A.</w:t>
      </w:r>
      <w:r>
        <w:t xml:space="preserve"> Stacked </w:t>
      </w:r>
      <w:proofErr w:type="spellStart"/>
      <w:r>
        <w:t>barplots</w:t>
      </w:r>
      <w:proofErr w:type="spellEnd"/>
      <w:r>
        <w:t xml:space="preserve"> for </w:t>
      </w:r>
      <w:r>
        <w:rPr>
          <w:i/>
          <w:iCs/>
        </w:rPr>
        <w:t>UCKL1</w:t>
      </w:r>
      <w:r>
        <w:t xml:space="preserve"> illustrated in Figure 6D. Bar segments correspond to the relative contribution of different promoters (detected by CAGE) or isoforms (detected by RNA-Seq) to the total gene </w:t>
      </w:r>
      <w:r>
        <w:lastRenderedPageBreak/>
        <w:t xml:space="preserve">expression. The total mean counts per million (or transcripts per million) for each subset of samples are shown on the right of each plot. </w:t>
      </w:r>
      <w:r>
        <w:rPr>
          <w:b/>
          <w:bCs/>
        </w:rPr>
        <w:t>B.</w:t>
      </w:r>
      <w:r>
        <w:t xml:space="preserve"> Stacked </w:t>
      </w:r>
      <w:proofErr w:type="spellStart"/>
      <w:r>
        <w:t>barplots</w:t>
      </w:r>
      <w:proofErr w:type="spellEnd"/>
      <w:r>
        <w:t xml:space="preserve"> for </w:t>
      </w:r>
      <w:r>
        <w:rPr>
          <w:i/>
          <w:iCs/>
        </w:rPr>
        <w:t>CDH2</w:t>
      </w:r>
      <w:r>
        <w:t xml:space="preserve"> illustrated in Figure 6E, plot composition as in (</w:t>
      </w:r>
      <w:r>
        <w:rPr>
          <w:b/>
          <w:bCs/>
        </w:rPr>
        <w:t>A</w:t>
      </w:r>
      <w:r>
        <w:t xml:space="preserve">). </w:t>
      </w:r>
      <w:r>
        <w:rPr>
          <w:b/>
          <w:bCs/>
        </w:rPr>
        <w:t>C</w:t>
      </w:r>
      <w:r>
        <w:t xml:space="preserve">. Stacked </w:t>
      </w:r>
      <w:proofErr w:type="spellStart"/>
      <w:r>
        <w:t>barplots</w:t>
      </w:r>
      <w:proofErr w:type="spellEnd"/>
      <w:r>
        <w:t xml:space="preserve"> for </w:t>
      </w:r>
      <w:r>
        <w:rPr>
          <w:i/>
          <w:iCs/>
        </w:rPr>
        <w:t>HAND2</w:t>
      </w:r>
      <w:r>
        <w:t xml:space="preserve"> illustrated in Figure 6F, plot composition as in (</w:t>
      </w:r>
      <w:r>
        <w:rPr>
          <w:b/>
          <w:bCs/>
        </w:rPr>
        <w:t>A</w:t>
      </w:r>
      <w:r>
        <w:t>).</w:t>
      </w:r>
    </w:p>
    <w:p w14:paraId="79C304EE" w14:textId="77777777" w:rsidR="005317EC" w:rsidRDefault="005317EC" w:rsidP="005317EC"/>
    <w:p w14:paraId="49A11094" w14:textId="77777777" w:rsidR="005317EC" w:rsidRDefault="005317EC" w:rsidP="005317EC">
      <w:r>
        <w:rPr>
          <w:b/>
          <w:bCs/>
        </w:rPr>
        <w:t>Supplementary Figure 7.</w:t>
      </w:r>
      <w:r>
        <w:t xml:space="preserve"> Gene-level transcript abundance estimates agree between RNA-seq and CAGE. Heatmap shows the pairwise Pearson correlation coefficients between log</w:t>
      </w:r>
      <w:r>
        <w:rPr>
          <w:vertAlign w:val="subscript"/>
        </w:rPr>
        <w:t>2</w:t>
      </w:r>
      <w:r>
        <w:t xml:space="preserve"> CAGE and RNA-Seq gene counts using 10682 lncRNA and protein-coding genes having at least 2 counts per million in each experiment.</w:t>
      </w:r>
    </w:p>
    <w:p w14:paraId="45694561" w14:textId="77777777" w:rsidR="00AE377D" w:rsidRDefault="00AE377D"/>
    <w:sectPr w:rsidR="00AE37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7EC"/>
    <w:rsid w:val="005317EC"/>
    <w:rsid w:val="00AE3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0DE1F"/>
  <w15:chartTrackingRefBased/>
  <w15:docId w15:val="{E79812AC-F696-4C3D-B062-50782C4AB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7EC"/>
    <w:pPr>
      <w:suppressAutoHyphens/>
      <w:spacing w:after="0" w:line="480" w:lineRule="auto"/>
    </w:pPr>
    <w:rPr>
      <w:rFonts w:ascii="Arial" w:hAnsi="Arial" w:cs="Arial"/>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2022-11-11T15:12:00Z</dcterms:created>
  <dcterms:modified xsi:type="dcterms:W3CDTF">2022-11-11T15:13:00Z</dcterms:modified>
</cp:coreProperties>
</file>