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A09D" w14:textId="77777777" w:rsidR="005321FB" w:rsidRDefault="00672EF0" w:rsidP="00037518">
      <w:pPr>
        <w:spacing w:line="360" w:lineRule="auto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Supplementary Figure 1</w:t>
      </w:r>
      <w:r>
        <w:rPr>
          <w:rFonts w:ascii="Arial" w:eastAsia="Arial Unicode MS" w:hAnsi="Arial" w:cs="Arial" w:hint="eastAsia"/>
          <w:sz w:val="24"/>
        </w:rPr>
        <w:t xml:space="preserve"> </w:t>
      </w:r>
    </w:p>
    <w:p w14:paraId="72BD72C9" w14:textId="77777777" w:rsidR="005321FB" w:rsidRDefault="00672EF0" w:rsidP="00037518">
      <w:pPr>
        <w:spacing w:line="360" w:lineRule="auto"/>
        <w:rPr>
          <w:rStyle w:val="fontstyle21"/>
          <w:rFonts w:ascii="Arial" w:hAnsi="Arial" w:cs="Arial"/>
          <w:color w:val="000000" w:themeColor="text1"/>
          <w:sz w:val="24"/>
          <w:szCs w:val="24"/>
        </w:rPr>
      </w:pPr>
      <w:r w:rsidRPr="005E77FC">
        <w:rPr>
          <w:rFonts w:ascii="Arial" w:eastAsia="Arial Unicode MS" w:hAnsi="Arial" w:cs="Arial" w:hint="eastAsia"/>
          <w:b/>
          <w:sz w:val="24"/>
        </w:rPr>
        <w:t xml:space="preserve">(A) </w:t>
      </w:r>
      <w:r>
        <w:rPr>
          <w:rFonts w:ascii="Arial" w:eastAsia="Arial Unicode MS" w:hAnsi="Arial" w:cs="Arial"/>
          <w:sz w:val="24"/>
        </w:rPr>
        <w:t>The expression level of PRPF19 in pan-cancer</w:t>
      </w:r>
      <w:r w:rsidR="00730064">
        <w:rPr>
          <w:rFonts w:ascii="Arial" w:eastAsia="Arial Unicode MS" w:hAnsi="Arial" w:cs="Arial"/>
          <w:sz w:val="24"/>
        </w:rPr>
        <w:t>s</w:t>
      </w:r>
      <w:r>
        <w:rPr>
          <w:rFonts w:ascii="Arial" w:eastAsia="Arial Unicode MS" w:hAnsi="Arial" w:cs="Arial"/>
          <w:sz w:val="24"/>
        </w:rPr>
        <w:t xml:space="preserve"> according to the data from CPTAC datasets. </w:t>
      </w:r>
      <w:r w:rsidRPr="005E77FC">
        <w:rPr>
          <w:rStyle w:val="fontstyle21"/>
          <w:rFonts w:ascii="Arial" w:hAnsi="Arial" w:cs="Arial"/>
          <w:b/>
          <w:color w:val="auto"/>
          <w:sz w:val="24"/>
          <w:szCs w:val="24"/>
        </w:rPr>
        <w:t>(B)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 The mRNA expression of PRPF19 in normal</w:t>
      </w:r>
      <w:r w:rsidR="00AC2A8E">
        <w:rPr>
          <w:rStyle w:val="fontstyle21"/>
          <w:rFonts w:ascii="Arial" w:hAnsi="Arial" w:cs="Arial"/>
          <w:color w:val="auto"/>
          <w:sz w:val="24"/>
          <w:szCs w:val="24"/>
        </w:rPr>
        <w:t xml:space="preserve"> (N)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 and CRC tissues</w:t>
      </w:r>
      <w:r w:rsidR="00AC2A8E">
        <w:rPr>
          <w:rStyle w:val="fontstyle21"/>
          <w:rFonts w:ascii="Arial" w:hAnsi="Arial" w:cs="Arial"/>
          <w:color w:val="auto"/>
          <w:sz w:val="24"/>
          <w:szCs w:val="24"/>
        </w:rPr>
        <w:t xml:space="preserve"> (T)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 was evaluated </w:t>
      </w:r>
      <w:r>
        <w:rPr>
          <w:rFonts w:ascii="Arial" w:eastAsia="Arial Unicode MS" w:hAnsi="Arial" w:cs="Arial"/>
          <w:sz w:val="24"/>
        </w:rPr>
        <w:t xml:space="preserve">in both </w:t>
      </w:r>
      <w:r w:rsidR="007E2416">
        <w:rPr>
          <w:rFonts w:ascii="Arial" w:eastAsia="Arial Unicode MS" w:hAnsi="Arial" w:cs="Arial"/>
          <w:sz w:val="24"/>
        </w:rPr>
        <w:t xml:space="preserve">colorectal cancer </w:t>
      </w:r>
      <w:r>
        <w:rPr>
          <w:rFonts w:ascii="Arial" w:eastAsia="Arial Unicode MS" w:hAnsi="Arial" w:cs="Arial"/>
          <w:sz w:val="24"/>
        </w:rPr>
        <w:t xml:space="preserve">and </w:t>
      </w:r>
      <w:hyperlink r:id="rId6" w:history="1">
        <w:r w:rsidR="007E2416">
          <w:rPr>
            <w:rFonts w:ascii="Arial" w:eastAsia="Arial Unicode MS" w:hAnsi="Arial" w:cs="Arial"/>
            <w:sz w:val="24"/>
          </w:rPr>
          <w:t>rectal cancer</w:t>
        </w:r>
      </w:hyperlink>
      <w:r w:rsidR="007E2416">
        <w:rPr>
          <w:rFonts w:ascii="Arial" w:eastAsia="Arial Unicode MS" w:hAnsi="Arial" w:cs="Arial"/>
          <w:sz w:val="24"/>
        </w:rPr>
        <w:t xml:space="preserve"> 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>according to the data from TCGA.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 xml:space="preserve"> </w:t>
      </w:r>
      <w:r w:rsidRPr="005E77FC">
        <w:rPr>
          <w:rStyle w:val="fontstyle21"/>
          <w:rFonts w:ascii="Arial" w:hAnsi="Arial" w:cs="Arial"/>
          <w:b/>
          <w:color w:val="auto"/>
          <w:sz w:val="24"/>
          <w:szCs w:val="24"/>
        </w:rPr>
        <w:t>(</w:t>
      </w:r>
      <w:r w:rsidRPr="005E77FC">
        <w:rPr>
          <w:rStyle w:val="fontstyle21"/>
          <w:rFonts w:ascii="Arial" w:hAnsi="Arial" w:cs="Arial" w:hint="eastAsia"/>
          <w:b/>
          <w:color w:val="auto"/>
          <w:sz w:val="24"/>
          <w:szCs w:val="24"/>
        </w:rPr>
        <w:t>C</w:t>
      </w:r>
      <w:r w:rsidRPr="005E77FC">
        <w:rPr>
          <w:rStyle w:val="fontstyle21"/>
          <w:rFonts w:ascii="Arial" w:hAnsi="Arial" w:cs="Arial"/>
          <w:b/>
          <w:color w:val="auto"/>
          <w:sz w:val="24"/>
          <w:szCs w:val="24"/>
        </w:rPr>
        <w:t>)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 xml:space="preserve"> </w:t>
      </w:r>
      <w:bookmarkStart w:id="0" w:name="OLE_LINK1"/>
      <w:r>
        <w:rPr>
          <w:rStyle w:val="fontstyle21"/>
          <w:rFonts w:ascii="Arial" w:hAnsi="Arial" w:cs="Arial"/>
          <w:color w:val="000000" w:themeColor="text1"/>
          <w:sz w:val="24"/>
          <w:szCs w:val="24"/>
        </w:rPr>
        <w:t>Immunoblots</w:t>
      </w:r>
      <w:bookmarkEnd w:id="0"/>
      <w:r>
        <w:rPr>
          <w:rStyle w:val="fontstyle21"/>
          <w:rFonts w:ascii="Arial" w:hAnsi="Arial" w:cs="Arial"/>
          <w:color w:val="000000" w:themeColor="text1"/>
          <w:sz w:val="24"/>
          <w:szCs w:val="24"/>
        </w:rPr>
        <w:t xml:space="preserve"> of PRPF19 expression in normal colon epithelial cell line FHC and </w:t>
      </w:r>
      <w:r>
        <w:rPr>
          <w:rStyle w:val="fontstyle21"/>
          <w:rFonts w:ascii="Arial" w:hAnsi="Arial" w:cs="Arial" w:hint="eastAsia"/>
          <w:color w:val="000000" w:themeColor="text1"/>
          <w:sz w:val="24"/>
          <w:szCs w:val="24"/>
        </w:rPr>
        <w:t>seven</w:t>
      </w:r>
      <w:r>
        <w:rPr>
          <w:rStyle w:val="fontstyle21"/>
          <w:rFonts w:ascii="Arial" w:hAnsi="Arial" w:cs="Arial"/>
          <w:color w:val="000000" w:themeColor="text1"/>
          <w:sz w:val="24"/>
          <w:szCs w:val="24"/>
        </w:rPr>
        <w:t xml:space="preserve"> CRC cell lines</w:t>
      </w:r>
      <w:r>
        <w:rPr>
          <w:rStyle w:val="fontstyle21"/>
          <w:rFonts w:ascii="Arial" w:hAnsi="Arial" w:cs="Arial" w:hint="eastAsia"/>
          <w:color w:val="000000" w:themeColor="text1"/>
          <w:sz w:val="24"/>
          <w:szCs w:val="24"/>
        </w:rPr>
        <w:t>.</w:t>
      </w:r>
    </w:p>
    <w:p w14:paraId="68E97B5C" w14:textId="77777777" w:rsidR="005321FB" w:rsidRDefault="005321FB" w:rsidP="00037518">
      <w:pPr>
        <w:spacing w:line="360" w:lineRule="auto"/>
        <w:rPr>
          <w:rStyle w:val="fontstyle21"/>
          <w:rFonts w:ascii="Arial" w:hAnsi="Arial" w:cs="Arial"/>
          <w:color w:val="000000" w:themeColor="text1"/>
          <w:sz w:val="24"/>
          <w:szCs w:val="24"/>
        </w:rPr>
      </w:pPr>
    </w:p>
    <w:p w14:paraId="602E5974" w14:textId="77777777" w:rsidR="005321FB" w:rsidRDefault="00672EF0" w:rsidP="00037518">
      <w:pPr>
        <w:spacing w:line="360" w:lineRule="auto"/>
        <w:rPr>
          <w:rStyle w:val="fontstyle21"/>
          <w:rFonts w:ascii="Arial" w:hAnsi="Arial" w:cs="Arial"/>
          <w:b/>
          <w:bCs/>
          <w:color w:val="4074BA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 xml:space="preserve">Supplementary Figure </w:t>
      </w:r>
      <w:r>
        <w:rPr>
          <w:rFonts w:ascii="Arial" w:eastAsia="Arial Unicode MS" w:hAnsi="Arial" w:cs="Arial" w:hint="eastAsia"/>
          <w:b/>
          <w:bCs/>
          <w:sz w:val="24"/>
        </w:rPr>
        <w:t>2</w:t>
      </w:r>
    </w:p>
    <w:p w14:paraId="6D2A9998" w14:textId="43C0C826" w:rsidR="005321FB" w:rsidRDefault="00672EF0" w:rsidP="00037518">
      <w:pPr>
        <w:spacing w:line="360" w:lineRule="auto"/>
        <w:rPr>
          <w:rStyle w:val="fontstyle21"/>
          <w:rFonts w:ascii="Arial" w:eastAsia="宋体" w:hAnsi="Arial" w:cs="Arial"/>
          <w:color w:val="auto"/>
          <w:sz w:val="24"/>
          <w:szCs w:val="24"/>
        </w:rPr>
      </w:pPr>
      <w:r>
        <w:rPr>
          <w:rStyle w:val="fontstyle21"/>
          <w:rFonts w:ascii="Arial" w:eastAsia="宋体" w:hAnsi="Arial" w:cs="Arial"/>
          <w:b/>
          <w:bCs/>
          <w:color w:val="auto"/>
          <w:sz w:val="24"/>
          <w:szCs w:val="24"/>
        </w:rPr>
        <w:t>(</w:t>
      </w:r>
      <w:r>
        <w:rPr>
          <w:rStyle w:val="fontstyle21"/>
          <w:rFonts w:ascii="Arial" w:eastAsia="宋体" w:hAnsi="Arial" w:cs="Arial" w:hint="eastAsia"/>
          <w:b/>
          <w:bCs/>
          <w:color w:val="auto"/>
          <w:sz w:val="24"/>
          <w:szCs w:val="24"/>
        </w:rPr>
        <w:t>A-D</w:t>
      </w:r>
      <w:r>
        <w:rPr>
          <w:rStyle w:val="fontstyle21"/>
          <w:rFonts w:ascii="Arial" w:eastAsia="宋体" w:hAnsi="Arial" w:cs="Arial"/>
          <w:b/>
          <w:bCs/>
          <w:color w:val="auto"/>
          <w:sz w:val="24"/>
          <w:szCs w:val="24"/>
        </w:rPr>
        <w:t>)</w:t>
      </w:r>
      <w:r>
        <w:rPr>
          <w:rStyle w:val="fontstyle21"/>
          <w:rFonts w:ascii="Arial" w:eastAsia="宋体" w:hAnsi="Arial" w:cs="Arial"/>
          <w:color w:val="auto"/>
          <w:sz w:val="24"/>
          <w:szCs w:val="24"/>
        </w:rPr>
        <w:t xml:space="preserve"> Kaplan–Meier survival analysis of the association between PRPF19 expression and </w:t>
      </w:r>
      <w:r w:rsidR="00B1431B">
        <w:rPr>
          <w:rStyle w:val="fontstyle21"/>
          <w:rFonts w:ascii="Arial" w:eastAsia="宋体" w:hAnsi="Arial" w:cs="Arial"/>
          <w:color w:val="auto"/>
          <w:sz w:val="24"/>
          <w:szCs w:val="24"/>
        </w:rPr>
        <w:t xml:space="preserve">the 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>D</w:t>
      </w:r>
      <w:r>
        <w:rPr>
          <w:rStyle w:val="fontstyle21"/>
          <w:rFonts w:ascii="Arial" w:eastAsia="宋体" w:hAnsi="Arial" w:cs="Arial"/>
          <w:color w:val="auto"/>
          <w:sz w:val="24"/>
          <w:szCs w:val="24"/>
        </w:rPr>
        <w:t>FS or OS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 xml:space="preserve"> rate</w:t>
      </w:r>
      <w:r>
        <w:rPr>
          <w:rStyle w:val="fontstyle21"/>
          <w:rFonts w:ascii="Arial" w:eastAsia="宋体" w:hAnsi="Arial" w:cs="Arial"/>
          <w:color w:val="auto"/>
          <w:sz w:val="24"/>
          <w:szCs w:val="24"/>
        </w:rPr>
        <w:t xml:space="preserve"> of CRC patients 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>in stage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>Ⅰ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>-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>Ⅱ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 xml:space="preserve"> (A-B) and stage 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>Ⅲ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>-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>Ⅳ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 xml:space="preserve"> (C-D), respectively</w:t>
      </w:r>
      <w:r>
        <w:rPr>
          <w:rStyle w:val="fontstyle21"/>
          <w:rFonts w:ascii="Arial" w:eastAsia="宋体" w:hAnsi="Arial" w:cs="Arial"/>
          <w:color w:val="auto"/>
          <w:sz w:val="24"/>
          <w:szCs w:val="24"/>
        </w:rPr>
        <w:t>.</w:t>
      </w:r>
    </w:p>
    <w:p w14:paraId="16534FFC" w14:textId="77777777" w:rsidR="005321FB" w:rsidRDefault="005321FB" w:rsidP="00037518">
      <w:pPr>
        <w:spacing w:line="360" w:lineRule="auto"/>
        <w:rPr>
          <w:rStyle w:val="fontstyle21"/>
          <w:rFonts w:ascii="Arial" w:eastAsia="宋体" w:hAnsi="Arial" w:cs="Arial"/>
          <w:color w:val="auto"/>
          <w:sz w:val="24"/>
          <w:szCs w:val="24"/>
        </w:rPr>
      </w:pPr>
    </w:p>
    <w:p w14:paraId="15304274" w14:textId="77777777" w:rsidR="005321FB" w:rsidRDefault="00672EF0" w:rsidP="00037518">
      <w:pPr>
        <w:spacing w:line="360" w:lineRule="auto"/>
        <w:rPr>
          <w:rStyle w:val="fontstyle21"/>
          <w:rFonts w:ascii="Arial" w:hAnsi="Arial" w:cs="Arial"/>
          <w:b/>
          <w:bCs/>
          <w:color w:val="4074BA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 xml:space="preserve">Supplementary Figure </w:t>
      </w:r>
      <w:r>
        <w:rPr>
          <w:rFonts w:ascii="Arial" w:eastAsia="Arial Unicode MS" w:hAnsi="Arial" w:cs="Arial" w:hint="eastAsia"/>
          <w:b/>
          <w:bCs/>
          <w:sz w:val="24"/>
        </w:rPr>
        <w:t>3</w:t>
      </w:r>
    </w:p>
    <w:p w14:paraId="77720FB0" w14:textId="3DA5A625" w:rsidR="005321FB" w:rsidRPr="00C21C09" w:rsidRDefault="00672EF0" w:rsidP="00037518">
      <w:pPr>
        <w:spacing w:line="360" w:lineRule="auto"/>
        <w:rPr>
          <w:rStyle w:val="fontstyle21"/>
          <w:rFonts w:ascii="Arial" w:hAnsi="Arial" w:cs="Arial"/>
          <w:color w:val="FF0000"/>
          <w:sz w:val="24"/>
          <w:szCs w:val="24"/>
        </w:rPr>
      </w:pPr>
      <w:r>
        <w:rPr>
          <w:rStyle w:val="fontstyle21"/>
          <w:rFonts w:ascii="Arial" w:eastAsia="宋体" w:hAnsi="Arial" w:cs="Arial"/>
          <w:b/>
          <w:bCs/>
          <w:color w:val="auto"/>
          <w:sz w:val="24"/>
          <w:szCs w:val="24"/>
        </w:rPr>
        <w:t>(</w:t>
      </w:r>
      <w:r>
        <w:rPr>
          <w:rStyle w:val="fontstyle21"/>
          <w:rFonts w:ascii="Arial" w:eastAsia="宋体" w:hAnsi="Arial" w:cs="Arial" w:hint="eastAsia"/>
          <w:b/>
          <w:bCs/>
          <w:color w:val="auto"/>
          <w:sz w:val="24"/>
          <w:szCs w:val="24"/>
        </w:rPr>
        <w:t>A-B</w:t>
      </w:r>
      <w:r>
        <w:rPr>
          <w:rStyle w:val="fontstyle21"/>
          <w:rFonts w:ascii="Arial" w:eastAsia="宋体" w:hAnsi="Arial" w:cs="Arial"/>
          <w:b/>
          <w:bCs/>
          <w:color w:val="auto"/>
          <w:sz w:val="24"/>
          <w:szCs w:val="24"/>
        </w:rPr>
        <w:t>)</w:t>
      </w:r>
      <w:r>
        <w:rPr>
          <w:rStyle w:val="fontstyle21"/>
          <w:rFonts w:ascii="Arial" w:eastAsia="宋体" w:hAnsi="Arial" w:cs="Arial" w:hint="eastAsia"/>
          <w:b/>
          <w:bCs/>
          <w:color w:val="auto"/>
          <w:sz w:val="24"/>
          <w:szCs w:val="24"/>
        </w:rPr>
        <w:t xml:space="preserve"> 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Kaplan–Meier curves showing the 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>D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>FS and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 xml:space="preserve"> 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OS </w:t>
      </w:r>
      <w:r w:rsidR="006B1BC7">
        <w:rPr>
          <w:rStyle w:val="fontstyle21"/>
          <w:rFonts w:ascii="Arial" w:hAnsi="Arial" w:cs="Arial"/>
          <w:color w:val="auto"/>
          <w:sz w:val="24"/>
          <w:szCs w:val="24"/>
        </w:rPr>
        <w:t xml:space="preserve">rate 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based on the expression of MYL9 in CRC tissues from </w:t>
      </w:r>
      <w:r w:rsidR="00BA685C" w:rsidRPr="00C21C09">
        <w:rPr>
          <w:rStyle w:val="fontstyle21"/>
          <w:rFonts w:ascii="Arial" w:hAnsi="Arial" w:cs="Arial" w:hint="eastAsia"/>
          <w:color w:val="auto"/>
          <w:sz w:val="24"/>
          <w:szCs w:val="24"/>
        </w:rPr>
        <w:t>GEPIA</w:t>
      </w:r>
      <w:r w:rsidR="00C21C09">
        <w:rPr>
          <w:rStyle w:val="fontstyle21"/>
          <w:rFonts w:ascii="Arial" w:hAnsi="Arial" w:cs="Arial"/>
          <w:color w:val="auto"/>
          <w:sz w:val="24"/>
          <w:szCs w:val="24"/>
        </w:rPr>
        <w:t xml:space="preserve"> </w:t>
      </w:r>
      <w:r w:rsidRPr="00C21C09">
        <w:rPr>
          <w:rStyle w:val="fontstyle21"/>
          <w:rFonts w:ascii="Arial" w:hAnsi="Arial" w:cs="Arial"/>
          <w:color w:val="auto"/>
          <w:sz w:val="24"/>
          <w:szCs w:val="24"/>
        </w:rPr>
        <w:t>database</w:t>
      </w:r>
      <w:r w:rsidR="00C21C09">
        <w:rPr>
          <w:rStyle w:val="fontstyle21"/>
          <w:rFonts w:ascii="Arial" w:hAnsi="Arial" w:cs="Arial"/>
          <w:color w:val="auto"/>
          <w:sz w:val="24"/>
          <w:szCs w:val="24"/>
        </w:rPr>
        <w:t xml:space="preserve"> (</w:t>
      </w:r>
      <w:r w:rsidR="00C21C09" w:rsidRPr="00C21C09">
        <w:rPr>
          <w:rStyle w:val="fontstyle21"/>
          <w:rFonts w:ascii="Arial" w:hAnsi="Arial" w:cs="Arial"/>
          <w:color w:val="auto"/>
          <w:sz w:val="24"/>
          <w:szCs w:val="24"/>
        </w:rPr>
        <w:t>http://gepia.cancer-pku.cn/)</w:t>
      </w:r>
      <w:r w:rsidR="00BF56ED" w:rsidRPr="00C21C09">
        <w:rPr>
          <w:rStyle w:val="fontstyle21"/>
          <w:rFonts w:ascii="Arial" w:hAnsi="Arial" w:cs="Arial"/>
          <w:color w:val="auto"/>
          <w:sz w:val="24"/>
          <w:szCs w:val="24"/>
        </w:rPr>
        <w:t>.</w:t>
      </w:r>
    </w:p>
    <w:p w14:paraId="6DD0D1F0" w14:textId="77777777" w:rsidR="005321FB" w:rsidRDefault="005321FB" w:rsidP="00037518">
      <w:pPr>
        <w:spacing w:line="360" w:lineRule="auto"/>
        <w:rPr>
          <w:rFonts w:ascii="Arial" w:eastAsia="Arial Unicode MS" w:hAnsi="Arial" w:cs="Arial"/>
          <w:b/>
          <w:bCs/>
          <w:sz w:val="24"/>
        </w:rPr>
      </w:pPr>
    </w:p>
    <w:p w14:paraId="7F12DFE4" w14:textId="77777777" w:rsidR="005321FB" w:rsidRDefault="00672EF0" w:rsidP="00037518">
      <w:pPr>
        <w:spacing w:line="360" w:lineRule="auto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Supplementary Figure</w:t>
      </w:r>
      <w:r>
        <w:rPr>
          <w:rFonts w:ascii="Arial" w:eastAsia="Arial Unicode MS" w:hAnsi="Arial" w:cs="Arial" w:hint="eastAsia"/>
          <w:b/>
          <w:bCs/>
          <w:sz w:val="24"/>
        </w:rPr>
        <w:t xml:space="preserve"> 4</w:t>
      </w:r>
    </w:p>
    <w:p w14:paraId="122429D6" w14:textId="77777777" w:rsidR="005321FB" w:rsidRDefault="00672EF0" w:rsidP="00037518">
      <w:pPr>
        <w:spacing w:line="360" w:lineRule="auto"/>
        <w:rPr>
          <w:rStyle w:val="fontstyle21"/>
          <w:rFonts w:ascii="Arial" w:hAnsi="Arial" w:cs="Arial"/>
          <w:color w:val="4074BA"/>
          <w:sz w:val="24"/>
          <w:szCs w:val="24"/>
        </w:rPr>
      </w:pPr>
      <w:r>
        <w:rPr>
          <w:rStyle w:val="fontstyle21"/>
          <w:rFonts w:ascii="Arial" w:eastAsia="宋体" w:hAnsi="Arial" w:cs="Arial"/>
          <w:b/>
          <w:bCs/>
          <w:color w:val="auto"/>
          <w:sz w:val="24"/>
          <w:szCs w:val="24"/>
        </w:rPr>
        <w:t>(</w:t>
      </w:r>
      <w:r>
        <w:rPr>
          <w:rStyle w:val="fontstyle21"/>
          <w:rFonts w:ascii="Arial" w:eastAsia="宋体" w:hAnsi="Arial" w:cs="Arial" w:hint="eastAsia"/>
          <w:b/>
          <w:bCs/>
          <w:color w:val="auto"/>
          <w:sz w:val="24"/>
          <w:szCs w:val="24"/>
        </w:rPr>
        <w:t>A</w:t>
      </w:r>
      <w:r>
        <w:rPr>
          <w:rStyle w:val="fontstyle21"/>
          <w:rFonts w:ascii="Arial" w:eastAsia="宋体" w:hAnsi="Arial" w:cs="Arial"/>
          <w:b/>
          <w:bCs/>
          <w:color w:val="auto"/>
          <w:sz w:val="24"/>
          <w:szCs w:val="24"/>
        </w:rPr>
        <w:t>)</w:t>
      </w:r>
      <w:r>
        <w:rPr>
          <w:rStyle w:val="fontstyle21"/>
          <w:rFonts w:ascii="Arial" w:eastAsia="宋体" w:hAnsi="Arial" w:cs="Arial"/>
          <w:color w:val="auto"/>
          <w:sz w:val="24"/>
          <w:szCs w:val="24"/>
        </w:rPr>
        <w:t xml:space="preserve"> 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>HCT116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 cells were treated with MG132 for 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>5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 h before being collected. Cell lysates </w:t>
      </w:r>
      <w:r>
        <w:rPr>
          <w:rStyle w:val="fontstyle21"/>
          <w:rFonts w:ascii="Arial" w:eastAsia="宋体" w:hAnsi="Arial" w:cs="Arial" w:hint="eastAsia"/>
          <w:color w:val="auto"/>
          <w:sz w:val="24"/>
          <w:szCs w:val="24"/>
        </w:rPr>
        <w:t xml:space="preserve">were 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>immunoprecipitated with anti-IgG, anti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>-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>MYL9, or anti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>-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PRPF19 followed by 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>i</w:t>
      </w:r>
      <w:r>
        <w:rPr>
          <w:rStyle w:val="fontstyle21"/>
          <w:rFonts w:ascii="Arial" w:hAnsi="Arial" w:cs="Arial"/>
          <w:color w:val="000000" w:themeColor="text1"/>
          <w:sz w:val="24"/>
          <w:szCs w:val="24"/>
        </w:rPr>
        <w:t>mmunoblots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. </w:t>
      </w:r>
      <w:r>
        <w:rPr>
          <w:rStyle w:val="fontstyle21"/>
          <w:rFonts w:ascii="Arial" w:hAnsi="Arial" w:cs="Arial" w:hint="eastAsia"/>
          <w:b/>
          <w:color w:val="auto"/>
          <w:sz w:val="24"/>
          <w:szCs w:val="24"/>
        </w:rPr>
        <w:t>(B-C</w:t>
      </w:r>
      <w:r>
        <w:rPr>
          <w:rStyle w:val="fontstyle21"/>
          <w:rFonts w:ascii="Arial" w:hAnsi="Arial" w:cs="Arial"/>
          <w:b/>
          <w:color w:val="auto"/>
          <w:sz w:val="24"/>
          <w:szCs w:val="24"/>
        </w:rPr>
        <w:t>)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 The mRNA (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>B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) and protein 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>(C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>)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 xml:space="preserve"> 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>expression level of MYL9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 xml:space="preserve"> in the indicated stable cell lines. 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***, </w:t>
      </w:r>
      <w:r>
        <w:rPr>
          <w:rStyle w:val="fontstyle21"/>
          <w:rFonts w:ascii="Arial" w:hAnsi="Arial" w:cs="Arial"/>
          <w:i/>
          <w:color w:val="auto"/>
          <w:sz w:val="24"/>
          <w:szCs w:val="24"/>
        </w:rPr>
        <w:t>p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>&lt;0.001</w:t>
      </w:r>
      <w:r>
        <w:rPr>
          <w:rStyle w:val="fontstyle21"/>
          <w:rFonts w:ascii="Arial" w:hAnsi="Arial" w:cs="Arial" w:hint="eastAsia"/>
          <w:color w:val="auto"/>
          <w:sz w:val="24"/>
          <w:szCs w:val="24"/>
        </w:rPr>
        <w:t xml:space="preserve"> 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based on Student’s </w:t>
      </w:r>
      <w:r w:rsidRPr="00BF56ED">
        <w:rPr>
          <w:rStyle w:val="fontstyle21"/>
          <w:rFonts w:ascii="Arial" w:hAnsi="Arial" w:cs="Arial"/>
          <w:i/>
          <w:color w:val="auto"/>
          <w:sz w:val="24"/>
          <w:szCs w:val="24"/>
        </w:rPr>
        <w:t>t</w:t>
      </w:r>
      <w:r w:rsidR="00BF56ED">
        <w:rPr>
          <w:rStyle w:val="fontstyle21"/>
          <w:rFonts w:ascii="Arial" w:hAnsi="Arial" w:cs="Arial"/>
          <w:color w:val="auto"/>
          <w:sz w:val="24"/>
          <w:szCs w:val="24"/>
        </w:rPr>
        <w:t>-</w:t>
      </w:r>
      <w:r>
        <w:rPr>
          <w:rStyle w:val="fontstyle21"/>
          <w:rFonts w:ascii="Arial" w:hAnsi="Arial" w:cs="Arial"/>
          <w:color w:val="auto"/>
          <w:sz w:val="24"/>
          <w:szCs w:val="24"/>
        </w:rPr>
        <w:t xml:space="preserve">test. </w:t>
      </w:r>
    </w:p>
    <w:p w14:paraId="1065C1E6" w14:textId="77777777" w:rsidR="005321FB" w:rsidRDefault="00672EF0" w:rsidP="00037518">
      <w:pPr>
        <w:tabs>
          <w:tab w:val="left" w:pos="5876"/>
        </w:tabs>
        <w:spacing w:line="360" w:lineRule="auto"/>
        <w:rPr>
          <w:rStyle w:val="fontstyle21"/>
          <w:rFonts w:ascii="Arial" w:hAnsi="Arial" w:cs="Arial"/>
          <w:color w:val="4074BA"/>
          <w:sz w:val="24"/>
          <w:szCs w:val="24"/>
        </w:rPr>
      </w:pPr>
      <w:r>
        <w:rPr>
          <w:rStyle w:val="fontstyle21"/>
          <w:rFonts w:ascii="Arial" w:hAnsi="Arial" w:cs="Arial" w:hint="eastAsia"/>
          <w:color w:val="4074BA"/>
          <w:sz w:val="24"/>
          <w:szCs w:val="24"/>
        </w:rPr>
        <w:tab/>
      </w:r>
    </w:p>
    <w:sectPr w:rsidR="0053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4190" w14:textId="77777777" w:rsidR="0010059A" w:rsidRDefault="0010059A" w:rsidP="00730064">
      <w:r>
        <w:separator/>
      </w:r>
    </w:p>
  </w:endnote>
  <w:endnote w:type="continuationSeparator" w:id="0">
    <w:p w14:paraId="304A7940" w14:textId="77777777" w:rsidR="0010059A" w:rsidRDefault="0010059A" w:rsidP="007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Std-L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FCD6" w14:textId="77777777" w:rsidR="0010059A" w:rsidRDefault="0010059A" w:rsidP="00730064">
      <w:r>
        <w:separator/>
      </w:r>
    </w:p>
  </w:footnote>
  <w:footnote w:type="continuationSeparator" w:id="0">
    <w:p w14:paraId="7B291A46" w14:textId="77777777" w:rsidR="0010059A" w:rsidRDefault="0010059A" w:rsidP="0073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0YWVhODNkNmRlZTBlMzhlYjBhNzU3ZDZmZmU2Y2IifQ=="/>
  </w:docVars>
  <w:rsids>
    <w:rsidRoot w:val="005321FB"/>
    <w:rsid w:val="00037518"/>
    <w:rsid w:val="000C49DF"/>
    <w:rsid w:val="0010059A"/>
    <w:rsid w:val="00484AB2"/>
    <w:rsid w:val="005321FB"/>
    <w:rsid w:val="005E77FC"/>
    <w:rsid w:val="00633F17"/>
    <w:rsid w:val="00672EF0"/>
    <w:rsid w:val="006B1BC7"/>
    <w:rsid w:val="00730064"/>
    <w:rsid w:val="007E2416"/>
    <w:rsid w:val="00A87366"/>
    <w:rsid w:val="00AC2A8E"/>
    <w:rsid w:val="00B1431B"/>
    <w:rsid w:val="00BA685C"/>
    <w:rsid w:val="00BC0098"/>
    <w:rsid w:val="00BF56ED"/>
    <w:rsid w:val="00C21C09"/>
    <w:rsid w:val="055400C9"/>
    <w:rsid w:val="06125500"/>
    <w:rsid w:val="1312127D"/>
    <w:rsid w:val="194B7296"/>
    <w:rsid w:val="1AB534FD"/>
    <w:rsid w:val="1FFB0F80"/>
    <w:rsid w:val="29F617FE"/>
    <w:rsid w:val="2E334A71"/>
    <w:rsid w:val="345866FE"/>
    <w:rsid w:val="34CF0132"/>
    <w:rsid w:val="395D7F20"/>
    <w:rsid w:val="3C6F136A"/>
    <w:rsid w:val="42701998"/>
    <w:rsid w:val="43141BA2"/>
    <w:rsid w:val="45B85B30"/>
    <w:rsid w:val="46B35EC3"/>
    <w:rsid w:val="4AC45A57"/>
    <w:rsid w:val="4EB64BD7"/>
    <w:rsid w:val="51AC22C1"/>
    <w:rsid w:val="5A07278A"/>
    <w:rsid w:val="660E5E36"/>
    <w:rsid w:val="68037776"/>
    <w:rsid w:val="6AC321A4"/>
    <w:rsid w:val="7AAE1EB5"/>
    <w:rsid w:val="7EB6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B4D12"/>
  <w15:docId w15:val="{1A266B70-66A7-439B-9C24-ADA1D539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qFormat/>
    <w:rPr>
      <w:rFonts w:ascii="HelveticaNeueLTStd-Lt" w:hAnsi="HelveticaNeueLTStd-Lt" w:hint="default"/>
      <w:color w:val="242021"/>
      <w:sz w:val="14"/>
      <w:szCs w:val="14"/>
    </w:rPr>
  </w:style>
  <w:style w:type="paragraph" w:styleId="a3">
    <w:name w:val="header"/>
    <w:basedOn w:val="a"/>
    <w:link w:val="a4"/>
    <w:rsid w:val="00730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0064"/>
    <w:rPr>
      <w:kern w:val="2"/>
      <w:sz w:val="18"/>
      <w:szCs w:val="18"/>
    </w:rPr>
  </w:style>
  <w:style w:type="paragraph" w:styleId="a5">
    <w:name w:val="footer"/>
    <w:basedOn w:val="a"/>
    <w:link w:val="a6"/>
    <w:rsid w:val="00730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00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14</cp:revision>
  <dcterms:created xsi:type="dcterms:W3CDTF">2022-09-30T02:35:00Z</dcterms:created>
  <dcterms:modified xsi:type="dcterms:W3CDTF">2022-10-23T15:54:00Z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CE1F0975F62849E2BC2D91CB89E69957</vt:lpwstr>
  </property>
</Properties>
</file>