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EAD3A" w14:textId="77777777" w:rsidR="00D77EF6" w:rsidRPr="00F84659" w:rsidRDefault="00D77EF6" w:rsidP="00D77EF6">
      <w:pPr>
        <w:jc w:val="center"/>
      </w:pPr>
      <w:r w:rsidRPr="00F84659">
        <w:t>Assessing the Future Carbon Budget through the Lens of Policy-Driven Acidification and Temperature Targets</w:t>
      </w:r>
    </w:p>
    <w:p w14:paraId="5C083946" w14:textId="77777777" w:rsidR="00D77EF6" w:rsidRPr="00F84659" w:rsidRDefault="00D77EF6" w:rsidP="00D77EF6">
      <w:pPr>
        <w:jc w:val="center"/>
        <w:rPr>
          <w:vertAlign w:val="superscript"/>
        </w:rPr>
      </w:pPr>
      <w:r w:rsidRPr="00F84659">
        <w:t>Sandy Avrutin*</w:t>
      </w:r>
      <w:r w:rsidRPr="00F84659">
        <w:rPr>
          <w:vertAlign w:val="superscript"/>
        </w:rPr>
        <w:t>1</w:t>
      </w:r>
      <w:r w:rsidRPr="00F84659">
        <w:t>, Philip Goodwin</w:t>
      </w:r>
      <w:r>
        <w:rPr>
          <w:vertAlign w:val="superscript"/>
        </w:rPr>
        <w:t>1</w:t>
      </w:r>
      <w:r>
        <w:t xml:space="preserve"> ORCID: </w:t>
      </w:r>
      <w:r w:rsidRPr="006613CF">
        <w:t>0000-0002-2575-8948</w:t>
      </w:r>
      <w:r w:rsidRPr="00F84659">
        <w:t xml:space="preserve">, </w:t>
      </w:r>
      <w:r>
        <w:br/>
      </w:r>
      <w:r w:rsidRPr="00F84659">
        <w:t>Thomas H.G. Ezard</w:t>
      </w:r>
      <w:r w:rsidRPr="00F84659">
        <w:rPr>
          <w:vertAlign w:val="superscript"/>
        </w:rPr>
        <w:t>1</w:t>
      </w:r>
      <w:r>
        <w:t xml:space="preserve"> ORCID: </w:t>
      </w:r>
      <w:r w:rsidRPr="006613CF">
        <w:t>0000-0001-8305-6605</w:t>
      </w:r>
    </w:p>
    <w:p w14:paraId="428A1CE7" w14:textId="77777777" w:rsidR="00D77EF6" w:rsidRPr="00F84659" w:rsidRDefault="00D77EF6" w:rsidP="00D77EF6">
      <w:pPr>
        <w:ind w:left="720"/>
        <w:jc w:val="center"/>
      </w:pPr>
      <w:r w:rsidRPr="00F84659">
        <w:rPr>
          <w:vertAlign w:val="superscript"/>
        </w:rPr>
        <w:t>1</w:t>
      </w:r>
      <w:r w:rsidRPr="00F84659">
        <w:rPr>
          <w:rFonts w:ascii="Helvetica" w:eastAsia="Times New Roman" w:hAnsi="Helvetica" w:cs="Times New Roman"/>
          <w:color w:val="464646"/>
          <w:vertAlign w:val="superscript"/>
          <w:lang w:eastAsia="en-GB"/>
        </w:rPr>
        <w:t xml:space="preserve"> </w:t>
      </w:r>
      <w:r w:rsidRPr="00F84659">
        <w:t>School of Ocean and Earth Science, University of Southampton, Southampton SO14 3ZH, UK</w:t>
      </w:r>
    </w:p>
    <w:p w14:paraId="4783A807" w14:textId="3FC05D5C" w:rsidR="00D77EF6" w:rsidRDefault="00D77EF6" w:rsidP="00D77EF6">
      <w:pPr>
        <w:ind w:left="720"/>
        <w:jc w:val="center"/>
        <w:rPr>
          <w:rStyle w:val="Hyperlink"/>
        </w:rPr>
      </w:pPr>
      <w:hyperlink r:id="rId8" w:history="1">
        <w:r w:rsidRPr="00ED362A">
          <w:rPr>
            <w:rStyle w:val="Hyperlink"/>
          </w:rPr>
          <w:t>*a.l.avrutin@soton.ac.uk</w:t>
        </w:r>
      </w:hyperlink>
    </w:p>
    <w:p w14:paraId="20DBDFD8" w14:textId="440B3B46" w:rsidR="006944CF" w:rsidRPr="00F84659" w:rsidRDefault="006848DA" w:rsidP="006944CF">
      <w:pPr>
        <w:jc w:val="center"/>
      </w:pPr>
      <w:r>
        <w:t>F</w:t>
      </w:r>
      <w:r w:rsidR="006944CF" w:rsidRPr="00F84659">
        <w:t xml:space="preserve">or submission to Climatic Change </w:t>
      </w:r>
    </w:p>
    <w:p w14:paraId="51CA6B96" w14:textId="77777777" w:rsidR="006944CF" w:rsidRDefault="006944CF" w:rsidP="00D77EF6">
      <w:pPr>
        <w:ind w:left="720"/>
        <w:jc w:val="center"/>
      </w:pPr>
    </w:p>
    <w:p w14:paraId="3FBC8F70" w14:textId="78D0A631" w:rsidR="00F349A6" w:rsidRDefault="00F349A6" w:rsidP="00F349A6">
      <w:r w:rsidRPr="00E55F64">
        <w:t xml:space="preserve">Supplementary 1 </w:t>
      </w:r>
      <w:r w:rsidR="000E1A9E">
        <w:t>–</w:t>
      </w:r>
      <w:r w:rsidRPr="00E55F64">
        <w:t xml:space="preserve"> </w:t>
      </w:r>
      <w:r w:rsidR="00B27514">
        <w:t>Adjusting Mitigation Pathways Algorithm</w:t>
      </w:r>
      <w:bookmarkStart w:id="0" w:name="_GoBack"/>
      <w:bookmarkEnd w:id="0"/>
    </w:p>
    <w:p w14:paraId="690C8EE2" w14:textId="0D15E679" w:rsidR="000E1A9E" w:rsidRPr="00E55F64" w:rsidRDefault="000E1A9E" w:rsidP="00F349A6">
      <w:r>
        <w:t>This is an in-depth description of the rationale and equations used in the Adjusting Mitigations Pathways (AMP) algorithm to achieve carbon pathways towards a specified acidification target.</w:t>
      </w:r>
    </w:p>
    <w:p w14:paraId="7BE7AD50" w14:textId="5BA8F84E" w:rsidR="00AC0FC2" w:rsidRPr="00E55F64" w:rsidRDefault="00F349A6" w:rsidP="00F349A6">
      <w:pPr>
        <w:spacing w:before="200" w:after="200"/>
      </w:pPr>
      <w:r w:rsidRPr="00E55F64">
        <w:t>Surface ocean pH is closely tied to atmospheric CO</w:t>
      </w:r>
      <w:r w:rsidRPr="00E55F64">
        <w:rPr>
          <w:vertAlign w:val="subscript"/>
        </w:rPr>
        <w:t>2</w:t>
      </w:r>
      <w:r w:rsidRPr="00E55F64">
        <w:t xml:space="preserve"> levels, since there is an approximate annual timescale for CO</w:t>
      </w:r>
      <w:r w:rsidRPr="00E55F64">
        <w:rPr>
          <w:vertAlign w:val="subscript"/>
        </w:rPr>
        <w:t>2</w:t>
      </w:r>
      <w:r w:rsidRPr="00E55F64">
        <w:t xml:space="preserve"> exchanges between the atmosphere and surface ocean mixed layer and seawater pH reduces with ocean CO</w:t>
      </w:r>
      <w:r w:rsidRPr="00E55F64">
        <w:rPr>
          <w:vertAlign w:val="subscript"/>
        </w:rPr>
        <w:t>2</w:t>
      </w:r>
      <w:r w:rsidRPr="00E55F64">
        <w:t xml:space="preserve"> uptake due to carbonate chemistry equations </w:t>
      </w:r>
      <w:sdt>
        <w:sdtPr>
          <w:rPr>
            <w:color w:val="000000"/>
          </w:rPr>
          <w:tag w:val="MENDELEY_CITATION_v3_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"/>
          <w:id w:val="97456383"/>
          <w:placeholder>
            <w:docPart w:val="3FC5F2FC97364AD6ACFEA63997686A39"/>
          </w:placeholder>
        </w:sdtPr>
        <w:sdtEndPr/>
        <w:sdtContent>
          <w:r w:rsidR="00BD49C1" w:rsidRPr="00E55F64">
            <w:rPr>
              <w:rFonts w:eastAsia="Times New Roman"/>
            </w:rPr>
            <w:t>(Zeebe &amp; Wolf-Gladrow, 2001)</w:t>
          </w:r>
        </w:sdtContent>
      </w:sdt>
      <w:r w:rsidRPr="00E55F64">
        <w:t>.  Thus, any given minimum surface ocean pH target can be accurately expressed as the maximum atmospheric CO</w:t>
      </w:r>
      <w:r w:rsidRPr="00E55F64">
        <w:rPr>
          <w:vertAlign w:val="subscript"/>
        </w:rPr>
        <w:t>2</w:t>
      </w:r>
      <w:r w:rsidRPr="00E55F64">
        <w:t xml:space="preserve"> level that corresponds to that surface ocean pH level. Because CO</w:t>
      </w:r>
      <w:r w:rsidRPr="00E55F64">
        <w:rPr>
          <w:vertAlign w:val="subscript"/>
        </w:rPr>
        <w:t>2</w:t>
      </w:r>
      <w:r w:rsidRPr="00E55F64">
        <w:t xml:space="preserve"> is easier to measure than ocean pH, the ocean acidification (minimum pH) target in the scenario algorithm is expressed as a maximum atmospheric CO</w:t>
      </w:r>
      <w:r w:rsidRPr="00E55F64">
        <w:rPr>
          <w:vertAlign w:val="subscript"/>
        </w:rPr>
        <w:t>2</w:t>
      </w:r>
      <w:r w:rsidRPr="00E55F64">
        <w:t xml:space="preserve"> level, corresponding to that ocean surface pH value. To do this, we assume that the atmospheric fraction of emitted CO2 (the amount of total emissions that remain in the atmosphere, </w:t>
      </w:r>
      <w:r w:rsidRPr="00E55F64">
        <w:rPr>
          <w:rFonts w:ascii="Times New Roman" w:eastAsia="Times New Roman" w:hAnsi="Times New Roman" w:cs="Times New Roman"/>
          <w:i/>
        </w:rPr>
        <w:t>ΔCO</w:t>
      </w:r>
      <w:r w:rsidRPr="00E55F64">
        <w:rPr>
          <w:rFonts w:ascii="Times New Roman" w:eastAsia="Times New Roman" w:hAnsi="Times New Roman" w:cs="Times New Roman"/>
          <w:i/>
          <w:vertAlign w:val="subscript"/>
        </w:rPr>
        <w:t>2.atmos</w:t>
      </w:r>
      <w:r w:rsidRPr="00E55F64">
        <w:rPr>
          <w:rFonts w:ascii="Times New Roman" w:eastAsia="Times New Roman" w:hAnsi="Times New Roman" w:cs="Times New Roman"/>
          <w:i/>
        </w:rPr>
        <w:t>/I</w:t>
      </w:r>
      <w:r w:rsidRPr="00E55F64">
        <w:rPr>
          <w:rFonts w:ascii="Times New Roman" w:eastAsia="Times New Roman" w:hAnsi="Times New Roman" w:cs="Times New Roman"/>
          <w:i/>
          <w:vertAlign w:val="subscript"/>
        </w:rPr>
        <w:t>em</w:t>
      </w:r>
      <w:r w:rsidRPr="00E55F64">
        <w:t xml:space="preserve">), remains roughly constant over the assessment period (10 years) </w:t>
      </w:r>
      <w:sdt>
        <w:sdtPr>
          <w:rPr>
            <w:color w:val="000000"/>
          </w:rPr>
          <w:tag w:val="MENDELEY_CITATION_v3_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"/>
          <w:id w:val="1022975284"/>
          <w:placeholder>
            <w:docPart w:val="3FC5F2FC97364AD6ACFEA63997686A39"/>
          </w:placeholder>
        </w:sdtPr>
        <w:sdtEndPr/>
        <w:sdtContent>
          <w:r w:rsidR="00BD49C1" w:rsidRPr="00E55F64">
            <w:rPr>
              <w:color w:val="000000"/>
            </w:rPr>
            <w:t>(Friedlingstein et al., 2006)</w:t>
          </w:r>
        </w:sdtContent>
      </w:sdt>
      <w:r w:rsidRPr="00E55F64">
        <w:t xml:space="preserve">. </w:t>
      </w:r>
    </w:p>
    <w:p w14:paraId="4CA72CAE" w14:textId="77777777" w:rsidR="00F349A6" w:rsidRPr="00E55F64" w:rsidRDefault="00F349A6" w:rsidP="00F349A6">
      <w:pPr>
        <w:spacing w:before="200" w:after="200"/>
      </w:pPr>
      <w:r w:rsidRPr="00E55F64">
        <w:t>We begin by deriving the historic atmospheric fraction of CO</w:t>
      </w:r>
      <w:r w:rsidRPr="00E55F64">
        <w:rPr>
          <w:vertAlign w:val="subscript"/>
        </w:rPr>
        <w:t>2</w:t>
      </w:r>
      <w:r w:rsidRPr="00E55F64">
        <w:t xml:space="preserve"> from observations of the last three years compared to the 2009 to 2012 reference period:</w:t>
      </w:r>
    </w:p>
    <w:p w14:paraId="4469EDFF" w14:textId="77777777" w:rsidR="00F349A6" w:rsidRPr="00E55F64" w:rsidRDefault="00B27514" w:rsidP="00F349A6">
      <w:pPr>
        <w:spacing w:before="200" w:after="200"/>
        <w:jc w:val="center"/>
      </w:pPr>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ΔC</m:t>
                    </m:r>
                    <m:sSub>
                      <m:sSubPr>
                        <m:ctrlPr>
                          <w:rPr>
                            <w:rFonts w:ascii="Cambria Math" w:hAnsi="Cambria Math"/>
                          </w:rPr>
                        </m:ctrlPr>
                      </m:sSubPr>
                      <m:e>
                        <m:r>
                          <w:rPr>
                            <w:rFonts w:ascii="Cambria Math" w:hAnsi="Cambria Math"/>
                          </w:rPr>
                          <m:t>O</m:t>
                        </m:r>
                      </m:e>
                      <m:sub>
                        <m:r>
                          <w:rPr>
                            <w:rFonts w:ascii="Cambria Math" w:hAnsi="Cambria Math"/>
                          </w:rPr>
                          <m:t>2.atmos</m:t>
                        </m:r>
                      </m:sub>
                    </m:sSub>
                  </m:num>
                  <m:den>
                    <m:r>
                      <w:rPr>
                        <w:rFonts w:ascii="Cambria Math" w:hAnsi="Cambria Math"/>
                      </w:rPr>
                      <m:t>Δ</m:t>
                    </m:r>
                    <m:sSub>
                      <m:sSubPr>
                        <m:ctrlPr>
                          <w:rPr>
                            <w:rFonts w:ascii="Cambria Math" w:hAnsi="Cambria Math"/>
                          </w:rPr>
                        </m:ctrlPr>
                      </m:sSubPr>
                      <m:e>
                        <m:r>
                          <w:rPr>
                            <w:rFonts w:ascii="Cambria Math" w:hAnsi="Cambria Math"/>
                          </w:rPr>
                          <m:t>I</m:t>
                        </m:r>
                      </m:e>
                      <m:sub>
                        <m:r>
                          <w:rPr>
                            <w:rFonts w:ascii="Cambria Math" w:hAnsi="Cambria Math"/>
                          </w:rPr>
                          <m:t>em</m:t>
                        </m:r>
                      </m:sub>
                    </m:sSub>
                  </m:den>
                </m:f>
              </m:e>
            </m:d>
          </m:e>
          <m:sub>
            <m:r>
              <w:rPr>
                <w:rFonts w:ascii="Cambria Math" w:hAnsi="Cambria Math"/>
              </w:rPr>
              <m:t>obs</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n</m:t>
            </m:r>
          </m:sub>
        </m:sSub>
        <m:r>
          <w:rPr>
            <w:rFonts w:ascii="Cambria Math" w:hAnsi="Cambria Math"/>
          </w:rPr>
          <m:t>)=</m:t>
        </m:r>
        <m:f>
          <m:fPr>
            <m:ctrlPr>
              <w:rPr>
                <w:rFonts w:ascii="Cambria Math" w:hAnsi="Cambria Math"/>
                <w:shd w:val="clear" w:color="auto" w:fill="E4E8EE"/>
              </w:rPr>
            </m:ctrlPr>
          </m:fPr>
          <m:num>
            <m:r>
              <w:rPr>
                <w:rFonts w:ascii="Cambria Math" w:hAnsi="Cambria Math"/>
                <w:shd w:val="clear" w:color="auto" w:fill="E4E8EE"/>
              </w:rPr>
              <m:t>C</m:t>
            </m:r>
            <m:sSub>
              <m:sSubPr>
                <m:ctrlPr>
                  <w:rPr>
                    <w:rFonts w:ascii="Cambria Math" w:hAnsi="Cambria Math"/>
                    <w:shd w:val="clear" w:color="auto" w:fill="E4E8EE"/>
                  </w:rPr>
                </m:ctrlPr>
              </m:sSubPr>
              <m:e>
                <m:r>
                  <w:rPr>
                    <w:rFonts w:ascii="Cambria Math" w:hAnsi="Cambria Math"/>
                    <w:shd w:val="clear" w:color="auto" w:fill="E4E8EE"/>
                  </w:rPr>
                  <m:t>O</m:t>
                </m:r>
              </m:e>
              <m:sub>
                <m:r>
                  <w:rPr>
                    <w:rFonts w:ascii="Cambria Math" w:hAnsi="Cambria Math"/>
                    <w:shd w:val="clear" w:color="auto" w:fill="E4E8EE"/>
                  </w:rPr>
                  <m:t>2</m:t>
                </m:r>
              </m:sub>
            </m:sSub>
            <m:r>
              <w:rPr>
                <w:rFonts w:ascii="Cambria Math" w:hAnsi="Cambria Math"/>
                <w:shd w:val="clear" w:color="auto" w:fill="E4E8EE"/>
              </w:rPr>
              <m:t>(</m:t>
            </m:r>
            <m:sSub>
              <m:sSubPr>
                <m:ctrlPr>
                  <w:rPr>
                    <w:rFonts w:ascii="Cambria Math" w:hAnsi="Cambria Math"/>
                    <w:shd w:val="clear" w:color="auto" w:fill="E4E8EE"/>
                  </w:rPr>
                </m:ctrlPr>
              </m:sSubPr>
              <m:e>
                <m:r>
                  <w:rPr>
                    <w:rFonts w:ascii="Cambria Math" w:hAnsi="Cambria Math"/>
                    <w:shd w:val="clear" w:color="auto" w:fill="E4E8EE"/>
                  </w:rPr>
                  <m:t>t</m:t>
                </m:r>
              </m:e>
              <m:sub>
                <m:r>
                  <w:rPr>
                    <w:rFonts w:ascii="Cambria Math" w:hAnsi="Cambria Math"/>
                    <w:shd w:val="clear" w:color="auto" w:fill="E4E8EE"/>
                  </w:rPr>
                  <m:t>n</m:t>
                </m:r>
              </m:sub>
            </m:sSub>
            <m:r>
              <w:rPr>
                <w:rFonts w:ascii="Cambria Math" w:hAnsi="Cambria Math"/>
                <w:shd w:val="clear" w:color="auto" w:fill="E4E8EE"/>
              </w:rPr>
              <m:t>-3→</m:t>
            </m:r>
            <m:sSub>
              <m:sSubPr>
                <m:ctrlPr>
                  <w:rPr>
                    <w:rFonts w:ascii="Cambria Math" w:hAnsi="Cambria Math"/>
                    <w:shd w:val="clear" w:color="auto" w:fill="E4E8EE"/>
                  </w:rPr>
                </m:ctrlPr>
              </m:sSubPr>
              <m:e>
                <m:r>
                  <w:rPr>
                    <w:rFonts w:ascii="Cambria Math" w:hAnsi="Cambria Math"/>
                    <w:shd w:val="clear" w:color="auto" w:fill="E4E8EE"/>
                  </w:rPr>
                  <m:t>t</m:t>
                </m:r>
              </m:e>
              <m:sub>
                <m:r>
                  <w:rPr>
                    <w:rFonts w:ascii="Cambria Math" w:hAnsi="Cambria Math"/>
                    <w:shd w:val="clear" w:color="auto" w:fill="E4E8EE"/>
                  </w:rPr>
                  <m:t>n</m:t>
                </m:r>
              </m:sub>
            </m:sSub>
            <m:r>
              <w:rPr>
                <w:rFonts w:ascii="Cambria Math" w:hAnsi="Cambria Math"/>
                <w:shd w:val="clear" w:color="auto" w:fill="E4E8EE"/>
              </w:rPr>
              <m:t>-1)-C</m:t>
            </m:r>
            <m:sSub>
              <m:sSubPr>
                <m:ctrlPr>
                  <w:rPr>
                    <w:rFonts w:ascii="Cambria Math" w:hAnsi="Cambria Math"/>
                    <w:shd w:val="clear" w:color="auto" w:fill="E4E8EE"/>
                  </w:rPr>
                </m:ctrlPr>
              </m:sSubPr>
              <m:e>
                <m:r>
                  <w:rPr>
                    <w:rFonts w:ascii="Cambria Math" w:hAnsi="Cambria Math"/>
                    <w:shd w:val="clear" w:color="auto" w:fill="E4E8EE"/>
                  </w:rPr>
                  <m:t>O</m:t>
                </m:r>
              </m:e>
              <m:sub>
                <m:r>
                  <w:rPr>
                    <w:rFonts w:ascii="Cambria Math" w:hAnsi="Cambria Math"/>
                    <w:shd w:val="clear" w:color="auto" w:fill="E4E8EE"/>
                  </w:rPr>
                  <m:t>2</m:t>
                </m:r>
              </m:sub>
            </m:sSub>
            <m:r>
              <w:rPr>
                <w:rFonts w:ascii="Cambria Math" w:hAnsi="Cambria Math"/>
                <w:shd w:val="clear" w:color="auto" w:fill="E4E8EE"/>
              </w:rPr>
              <m:t>(2009-2012)</m:t>
            </m:r>
          </m:num>
          <m:den>
            <m:sSub>
              <m:sSubPr>
                <m:ctrlPr>
                  <w:rPr>
                    <w:rFonts w:ascii="Cambria Math" w:hAnsi="Cambria Math"/>
                    <w:shd w:val="clear" w:color="auto" w:fill="E4E8EE"/>
                  </w:rPr>
                </m:ctrlPr>
              </m:sSubPr>
              <m:e>
                <m:r>
                  <w:rPr>
                    <w:rFonts w:ascii="Cambria Math" w:hAnsi="Cambria Math"/>
                    <w:shd w:val="clear" w:color="auto" w:fill="E4E8EE"/>
                  </w:rPr>
                  <m:t>I</m:t>
                </m:r>
              </m:e>
              <m:sub>
                <m:r>
                  <w:rPr>
                    <w:rFonts w:ascii="Cambria Math" w:hAnsi="Cambria Math"/>
                    <w:shd w:val="clear" w:color="auto" w:fill="E4E8EE"/>
                  </w:rPr>
                  <m:t>em</m:t>
                </m:r>
              </m:sub>
            </m:sSub>
            <m:r>
              <w:rPr>
                <w:rFonts w:ascii="Cambria Math" w:hAnsi="Cambria Math"/>
                <w:shd w:val="clear" w:color="auto" w:fill="E4E8EE"/>
              </w:rPr>
              <m:t>(</m:t>
            </m:r>
            <m:sSub>
              <m:sSubPr>
                <m:ctrlPr>
                  <w:rPr>
                    <w:rFonts w:ascii="Cambria Math" w:hAnsi="Cambria Math"/>
                    <w:shd w:val="clear" w:color="auto" w:fill="E4E8EE"/>
                  </w:rPr>
                </m:ctrlPr>
              </m:sSubPr>
              <m:e>
                <m:r>
                  <w:rPr>
                    <w:rFonts w:ascii="Cambria Math" w:hAnsi="Cambria Math"/>
                    <w:shd w:val="clear" w:color="auto" w:fill="E4E8EE"/>
                  </w:rPr>
                  <m:t>t</m:t>
                </m:r>
              </m:e>
              <m:sub>
                <m:r>
                  <w:rPr>
                    <w:rFonts w:ascii="Cambria Math" w:hAnsi="Cambria Math"/>
                    <w:shd w:val="clear" w:color="auto" w:fill="E4E8EE"/>
                  </w:rPr>
                  <m:t>n</m:t>
                </m:r>
              </m:sub>
            </m:sSub>
            <m:r>
              <w:rPr>
                <w:rFonts w:ascii="Cambria Math" w:hAnsi="Cambria Math"/>
                <w:shd w:val="clear" w:color="auto" w:fill="E4E8EE"/>
              </w:rPr>
              <m:t>-2)-</m:t>
            </m:r>
            <m:sSub>
              <m:sSubPr>
                <m:ctrlPr>
                  <w:rPr>
                    <w:rFonts w:ascii="Cambria Math" w:hAnsi="Cambria Math"/>
                    <w:shd w:val="clear" w:color="auto" w:fill="E4E8EE"/>
                  </w:rPr>
                </m:ctrlPr>
              </m:sSubPr>
              <m:e>
                <m:r>
                  <w:rPr>
                    <w:rFonts w:ascii="Cambria Math" w:hAnsi="Cambria Math"/>
                    <w:shd w:val="clear" w:color="auto" w:fill="E4E8EE"/>
                  </w:rPr>
                  <m:t>I</m:t>
                </m:r>
              </m:e>
              <m:sub>
                <m:r>
                  <w:rPr>
                    <w:rFonts w:ascii="Cambria Math" w:hAnsi="Cambria Math"/>
                    <w:shd w:val="clear" w:color="auto" w:fill="E4E8EE"/>
                  </w:rPr>
                  <m:t>em</m:t>
                </m:r>
              </m:sub>
            </m:sSub>
            <m:r>
              <w:rPr>
                <w:rFonts w:ascii="Cambria Math" w:hAnsi="Cambria Math"/>
                <w:shd w:val="clear" w:color="auto" w:fill="E4E8EE"/>
              </w:rPr>
              <m:t>(2010)</m:t>
            </m:r>
          </m:den>
        </m:f>
      </m:oMath>
      <w:r w:rsidR="00F349A6" w:rsidRPr="00E55F64">
        <w:tab/>
      </w:r>
      <w:r w:rsidR="00F349A6" w:rsidRPr="00E55F64">
        <w:tab/>
      </w:r>
      <w:r w:rsidR="00F349A6" w:rsidRPr="00E55F64">
        <w:tab/>
        <w:t>(5)</w:t>
      </w:r>
    </w:p>
    <w:p w14:paraId="2EDC20DC" w14:textId="77777777" w:rsidR="00F349A6" w:rsidRPr="00E55F64" w:rsidRDefault="00F349A6" w:rsidP="00F349A6">
      <w:pPr>
        <w:spacing w:before="200" w:after="200"/>
      </w:pPr>
    </w:p>
    <w:p w14:paraId="4DE56DDD" w14:textId="77777777" w:rsidR="00F349A6" w:rsidRPr="00E55F64" w:rsidRDefault="00F349A6" w:rsidP="00F349A6">
      <w:pPr>
        <w:spacing w:before="200" w:after="200"/>
      </w:pPr>
      <w:r w:rsidRPr="00E55F64">
        <w:t>Note  that  this  takes  the  observation  period  to  end  one  year  before  the  time  when  the  emissions  rate is  altered,  to  allow  some  time  for  policy  discussion  and  implementation  (Goodwin  et  al.,  2018).   The remaining allowable carbon emissions, I</w:t>
      </w:r>
      <w:r w:rsidRPr="00E55F64">
        <w:rPr>
          <w:vertAlign w:val="subscript"/>
        </w:rPr>
        <w:t>remaining</w:t>
      </w:r>
      <w:r w:rsidRPr="00E55F64">
        <w:t>, is then given by</w:t>
      </w:r>
    </w:p>
    <w:p w14:paraId="75B49E3C" w14:textId="77777777" w:rsidR="00F349A6" w:rsidRPr="00E55F64" w:rsidRDefault="00B27514" w:rsidP="00F349A6">
      <w:pPr>
        <w:spacing w:before="200" w:after="200"/>
        <w:jc w:val="center"/>
      </w:pPr>
      <m:oMath>
        <m:sSub>
          <m:sSubPr>
            <m:ctrlPr>
              <w:rPr>
                <w:rFonts w:ascii="Cambria Math" w:hAnsi="Cambria Math"/>
              </w:rPr>
            </m:ctrlPr>
          </m:sSubPr>
          <m:e>
            <m:r>
              <w:rPr>
                <w:rFonts w:ascii="Cambria Math" w:hAnsi="Cambria Math"/>
              </w:rPr>
              <m:t>I</m:t>
            </m:r>
          </m:e>
          <m:sub>
            <m:r>
              <w:rPr>
                <w:rFonts w:ascii="Cambria Math" w:hAnsi="Cambria Math"/>
              </w:rPr>
              <m:t>remaining</m:t>
            </m:r>
          </m:sub>
        </m:sSub>
        <m:r>
          <w:rPr>
            <w:rFonts w:ascii="Cambria Math" w:hAnsi="Cambria Math"/>
          </w:rPr>
          <m:t>=</m:t>
        </m:r>
        <m:f>
          <m:fPr>
            <m:ctrlPr>
              <w:rPr>
                <w:rFonts w:ascii="Cambria Math" w:hAnsi="Cambria Math"/>
              </w:rPr>
            </m:ctrlPr>
          </m:fPr>
          <m:num>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2.atmos</m:t>
                </m:r>
              </m:sub>
            </m:sSub>
            <m:r>
              <w:rPr>
                <w:rFonts w:ascii="Cambria Math" w:hAnsi="Cambria Math"/>
              </w:rPr>
              <m:t>(target) - ΔC</m:t>
            </m:r>
            <m:sSub>
              <m:sSubPr>
                <m:ctrlPr>
                  <w:rPr>
                    <w:rFonts w:ascii="Cambria Math" w:hAnsi="Cambria Math"/>
                  </w:rPr>
                </m:ctrlPr>
              </m:sSubPr>
              <m:e>
                <m:r>
                  <w:rPr>
                    <w:rFonts w:ascii="Cambria Math" w:hAnsi="Cambria Math"/>
                  </w:rPr>
                  <m:t>O</m:t>
                </m:r>
              </m:e>
              <m:sub>
                <m:r>
                  <w:rPr>
                    <w:rFonts w:ascii="Cambria Math" w:hAnsi="Cambria Math"/>
                  </w:rPr>
                  <m:t>2.atmos</m:t>
                </m:r>
              </m:sub>
            </m:sSub>
            <m:r>
              <w:rPr>
                <w:rFonts w:ascii="Cambria Math" w:hAnsi="Cambria Math"/>
              </w:rPr>
              <m:t>(t)</m:t>
            </m:r>
          </m:num>
          <m:den>
            <m:r>
              <w:rPr>
                <w:rFonts w:ascii="Cambria Math" w:hAnsi="Cambria Math"/>
              </w:rPr>
              <m:t>Δ</m:t>
            </m:r>
            <m:sSub>
              <m:sSubPr>
                <m:ctrlPr>
                  <w:rPr>
                    <w:rFonts w:ascii="Cambria Math" w:hAnsi="Cambria Math"/>
                  </w:rPr>
                </m:ctrlPr>
              </m:sSubPr>
              <m:e>
                <m:r>
                  <w:rPr>
                    <w:rFonts w:ascii="Cambria Math" w:hAnsi="Cambria Math"/>
                  </w:rPr>
                  <m:t>I</m:t>
                </m:r>
              </m:e>
              <m:sub>
                <m:r>
                  <w:rPr>
                    <w:rFonts w:ascii="Cambria Math" w:hAnsi="Cambria Math"/>
                  </w:rPr>
                  <m:t>em</m:t>
                </m:r>
              </m:sub>
            </m:sSub>
          </m:den>
        </m:f>
        <m:r>
          <w:rPr>
            <w:rFonts w:ascii="Cambria Math" w:hAnsi="Cambria Math"/>
          </w:rPr>
          <m:t>-ΔC</m:t>
        </m:r>
        <m:sSub>
          <m:sSubPr>
            <m:ctrlPr>
              <w:rPr>
                <w:rFonts w:ascii="Cambria Math" w:hAnsi="Cambria Math"/>
              </w:rPr>
            </m:ctrlPr>
          </m:sSubPr>
          <m:e>
            <m:r>
              <w:rPr>
                <w:rFonts w:ascii="Cambria Math" w:hAnsi="Cambria Math"/>
              </w:rPr>
              <m:t>O</m:t>
            </m:r>
          </m:e>
          <m:sub>
            <m:r>
              <w:rPr>
                <w:rFonts w:ascii="Cambria Math" w:hAnsi="Cambria Math"/>
              </w:rPr>
              <m:t>2.atmos</m:t>
            </m:r>
          </m:sub>
        </m:sSub>
      </m:oMath>
      <w:r w:rsidR="00F349A6" w:rsidRPr="00E55F64">
        <w:tab/>
      </w:r>
      <w:r w:rsidR="00F349A6" w:rsidRPr="00E55F64">
        <w:tab/>
        <w:t>(6)</w:t>
      </w:r>
    </w:p>
    <w:p w14:paraId="2D2753AB" w14:textId="77777777" w:rsidR="00F349A6" w:rsidRPr="00E55F64" w:rsidRDefault="00F349A6" w:rsidP="00F349A6">
      <w:pPr>
        <w:spacing w:before="200" w:after="200"/>
      </w:pPr>
      <w:r w:rsidRPr="00E55F64">
        <w:t>Where</w:t>
      </w:r>
      <w:r w:rsidRPr="00E55F64">
        <w:rPr>
          <w:rFonts w:ascii="Times New Roman" w:eastAsia="Times New Roman" w:hAnsi="Times New Roman" w:cs="Times New Roman"/>
        </w:rPr>
        <w:t xml:space="preserve"> </w:t>
      </w:r>
      <w:r w:rsidRPr="00E55F64">
        <w:rPr>
          <w:rFonts w:ascii="MS Gothic" w:eastAsia="MS Gothic" w:hAnsi="MS Gothic" w:cs="MS Gothic" w:hint="eastAsia"/>
          <w:i/>
        </w:rPr>
        <w:t>∆</w:t>
      </w:r>
      <w:r w:rsidRPr="00E55F64">
        <w:rPr>
          <w:rFonts w:ascii="Gungsuh" w:eastAsia="Gungsuh" w:hAnsi="Gungsuh" w:cs="Gungsuh"/>
          <w:i/>
        </w:rPr>
        <w:t>CO</w:t>
      </w:r>
      <w:r w:rsidRPr="00E55F64">
        <w:rPr>
          <w:rFonts w:ascii="Times New Roman" w:eastAsia="Times New Roman" w:hAnsi="Times New Roman" w:cs="Times New Roman"/>
          <w:i/>
          <w:vertAlign w:val="subscript"/>
        </w:rPr>
        <w:t>2.atmos</w:t>
      </w:r>
      <w:r w:rsidRPr="00E55F64">
        <w:rPr>
          <w:rFonts w:ascii="Times New Roman" w:eastAsia="Times New Roman" w:hAnsi="Times New Roman" w:cs="Times New Roman"/>
          <w:i/>
        </w:rPr>
        <w:t>(target)</w:t>
      </w:r>
      <w:r w:rsidRPr="00E55F64">
        <w:t xml:space="preserve"> is the change in CO</w:t>
      </w:r>
      <w:r w:rsidRPr="00E55F64">
        <w:rPr>
          <w:vertAlign w:val="subscript"/>
        </w:rPr>
        <w:t>2</w:t>
      </w:r>
      <w:r w:rsidRPr="00E55F64">
        <w:rPr>
          <w:rFonts w:eastAsia="Arial Unicode MS"/>
        </w:rPr>
        <w:t xml:space="preserve"> associated with the target ∆pH, and is calculated using the relationship between atmospheric CO</w:t>
      </w:r>
      <w:r w:rsidRPr="00E55F64">
        <w:rPr>
          <w:vertAlign w:val="subscript"/>
        </w:rPr>
        <w:t>2</w:t>
      </w:r>
      <w:r w:rsidRPr="00E55F64">
        <w:t xml:space="preserve"> and surface ocean pH:</w:t>
      </w:r>
    </w:p>
    <w:p w14:paraId="58C181F0" w14:textId="77777777" w:rsidR="00F349A6" w:rsidRPr="00E55F64" w:rsidRDefault="00F349A6" w:rsidP="00F349A6">
      <w:pPr>
        <w:spacing w:before="200" w:after="200"/>
        <w:jc w:val="center"/>
      </w:pPr>
      <m:oMath>
        <m:r>
          <w:rPr>
            <w:rFonts w:ascii="Cambria Math" w:hAnsi="Cambria Math"/>
            <w:shd w:val="clear" w:color="auto" w:fill="E4E8EE"/>
          </w:rPr>
          <m:t>∆pH=</m:t>
        </m:r>
        <m:sSub>
          <m:sSubPr>
            <m:ctrlPr>
              <w:rPr>
                <w:rFonts w:ascii="Cambria Math" w:hAnsi="Cambria Math"/>
                <w:shd w:val="clear" w:color="auto" w:fill="E4E8EE"/>
              </w:rPr>
            </m:ctrlPr>
          </m:sSubPr>
          <m:e>
            <m:r>
              <w:rPr>
                <w:rFonts w:ascii="Cambria Math" w:hAnsi="Cambria Math"/>
                <w:shd w:val="clear" w:color="auto" w:fill="E4E8EE"/>
              </w:rPr>
              <m:t>c</m:t>
            </m:r>
          </m:e>
          <m:sub>
            <m:r>
              <w:rPr>
                <w:rFonts w:ascii="Cambria Math" w:hAnsi="Cambria Math"/>
                <w:shd w:val="clear" w:color="auto" w:fill="E4E8EE"/>
              </w:rPr>
              <m:t>pH1</m:t>
            </m:r>
          </m:sub>
        </m:sSub>
        <m:r>
          <w:rPr>
            <w:rFonts w:ascii="Cambria Math" w:hAnsi="Cambria Math"/>
            <w:shd w:val="clear" w:color="auto" w:fill="E4E8EE"/>
          </w:rPr>
          <m:t>∆ lnC</m:t>
        </m:r>
        <m:sSub>
          <m:sSubPr>
            <m:ctrlPr>
              <w:rPr>
                <w:rFonts w:ascii="Cambria Math" w:hAnsi="Cambria Math"/>
                <w:shd w:val="clear" w:color="auto" w:fill="E4E8EE"/>
              </w:rPr>
            </m:ctrlPr>
          </m:sSubPr>
          <m:e>
            <m:r>
              <w:rPr>
                <w:rFonts w:ascii="Cambria Math" w:hAnsi="Cambria Math"/>
                <w:shd w:val="clear" w:color="auto" w:fill="E4E8EE"/>
              </w:rPr>
              <m:t>O</m:t>
            </m:r>
          </m:e>
          <m:sub>
            <m:r>
              <w:rPr>
                <w:rFonts w:ascii="Cambria Math" w:hAnsi="Cambria Math"/>
                <w:shd w:val="clear" w:color="auto" w:fill="E4E8EE"/>
              </w:rPr>
              <m:t>2</m:t>
            </m:r>
          </m:sub>
        </m:sSub>
        <m:r>
          <w:rPr>
            <w:rFonts w:ascii="Cambria Math" w:hAnsi="Cambria Math"/>
            <w:shd w:val="clear" w:color="auto" w:fill="E4E8EE"/>
          </w:rPr>
          <m:t>(t) +</m:t>
        </m:r>
        <m:sSub>
          <m:sSubPr>
            <m:ctrlPr>
              <w:rPr>
                <w:rFonts w:ascii="Cambria Math" w:hAnsi="Cambria Math"/>
                <w:shd w:val="clear" w:color="auto" w:fill="E4E8EE"/>
              </w:rPr>
            </m:ctrlPr>
          </m:sSubPr>
          <m:e>
            <m:r>
              <w:rPr>
                <w:rFonts w:ascii="Cambria Math" w:hAnsi="Cambria Math"/>
                <w:shd w:val="clear" w:color="auto" w:fill="E4E8EE"/>
              </w:rPr>
              <m:t>c</m:t>
            </m:r>
          </m:e>
          <m:sub>
            <m:r>
              <w:rPr>
                <w:rFonts w:ascii="Cambria Math" w:hAnsi="Cambria Math"/>
                <w:shd w:val="clear" w:color="auto" w:fill="E4E8EE"/>
              </w:rPr>
              <m:t>pH2</m:t>
            </m:r>
          </m:sub>
        </m:sSub>
        <m:d>
          <m:dPr>
            <m:ctrlPr>
              <w:rPr>
                <w:rFonts w:ascii="Cambria Math" w:hAnsi="Cambria Math"/>
                <w:shd w:val="clear" w:color="auto" w:fill="E4E8EE"/>
              </w:rPr>
            </m:ctrlPr>
          </m:dPr>
          <m:e>
            <m:r>
              <w:rPr>
                <w:rFonts w:ascii="Cambria Math" w:hAnsi="Cambria Math"/>
                <w:shd w:val="clear" w:color="auto" w:fill="E4E8EE"/>
              </w:rPr>
              <m:t>-</m:t>
            </m:r>
            <m:f>
              <m:fPr>
                <m:ctrlPr>
                  <w:rPr>
                    <w:rFonts w:ascii="Cambria Math" w:hAnsi="Cambria Math"/>
                    <w:shd w:val="clear" w:color="auto" w:fill="E4E8EE"/>
                  </w:rPr>
                </m:ctrlPr>
              </m:fPr>
              <m:num>
                <m:sSubSup>
                  <m:sSubSupPr>
                    <m:ctrlPr>
                      <w:rPr>
                        <w:rFonts w:ascii="Cambria Math" w:hAnsi="Cambria Math"/>
                        <w:shd w:val="clear" w:color="auto" w:fill="E4E8EE"/>
                      </w:rPr>
                    </m:ctrlPr>
                  </m:sSubSupPr>
                  <m:e>
                    <m:r>
                      <w:rPr>
                        <w:rFonts w:ascii="Cambria Math" w:hAnsi="Cambria Math"/>
                        <w:shd w:val="clear" w:color="auto" w:fill="E4E8EE"/>
                      </w:rPr>
                      <m:t>I</m:t>
                    </m:r>
                  </m:e>
                  <m:sub>
                    <m:r>
                      <w:rPr>
                        <w:rFonts w:ascii="Cambria Math" w:hAnsi="Cambria Math"/>
                        <w:shd w:val="clear" w:color="auto" w:fill="E4E8EE"/>
                      </w:rPr>
                      <m:t>Usat</m:t>
                    </m:r>
                  </m:sub>
                  <m:sup>
                    <m:r>
                      <w:rPr>
                        <w:rFonts w:ascii="Cambria Math" w:hAnsi="Cambria Math"/>
                        <w:shd w:val="clear" w:color="auto" w:fill="E4E8EE"/>
                      </w:rPr>
                      <m:t>mix</m:t>
                    </m:r>
                  </m:sup>
                </m:sSubSup>
              </m:num>
              <m:den>
                <m:sSup>
                  <m:sSupPr>
                    <m:ctrlPr>
                      <w:rPr>
                        <w:rFonts w:ascii="Cambria Math" w:hAnsi="Cambria Math"/>
                        <w:shd w:val="clear" w:color="auto" w:fill="E4E8EE"/>
                      </w:rPr>
                    </m:ctrlPr>
                  </m:sSupPr>
                  <m:e>
                    <m:r>
                      <w:rPr>
                        <w:rFonts w:ascii="Cambria Math" w:hAnsi="Cambria Math"/>
                        <w:shd w:val="clear" w:color="auto" w:fill="E4E8EE"/>
                      </w:rPr>
                      <m:t>V</m:t>
                    </m:r>
                  </m:e>
                  <m:sup>
                    <m:r>
                      <w:rPr>
                        <w:rFonts w:ascii="Cambria Math" w:hAnsi="Cambria Math"/>
                        <w:shd w:val="clear" w:color="auto" w:fill="E4E8EE"/>
                      </w:rPr>
                      <m:t>mix</m:t>
                    </m:r>
                  </m:sup>
                </m:sSup>
              </m:den>
            </m:f>
          </m:e>
        </m:d>
      </m:oMath>
      <w:r w:rsidRPr="00E55F64">
        <w:tab/>
      </w:r>
      <w:r w:rsidRPr="00E55F64">
        <w:tab/>
      </w:r>
      <w:r w:rsidRPr="00E55F64">
        <w:tab/>
        <w:t>(7)</w:t>
      </w:r>
    </w:p>
    <w:p w14:paraId="12A2C495" w14:textId="77777777" w:rsidR="00F349A6" w:rsidRPr="00E55F64" w:rsidRDefault="00F349A6" w:rsidP="00F349A6">
      <w:pPr>
        <w:spacing w:before="200" w:after="200"/>
      </w:pPr>
      <w:r w:rsidRPr="00E55F64">
        <w:t xml:space="preserve">Which is rearranged so that </w:t>
      </w:r>
    </w:p>
    <w:p w14:paraId="095C4D4B" w14:textId="77777777" w:rsidR="00F349A6" w:rsidRPr="00E55F64" w:rsidRDefault="00F349A6" w:rsidP="00F349A6">
      <w:pPr>
        <w:spacing w:before="200" w:after="200"/>
        <w:jc w:val="center"/>
      </w:pPr>
      <m:oMath>
        <m:r>
          <w:rPr>
            <w:rFonts w:ascii="Cambria Math" w:hAnsi="Cambria Math"/>
          </w:rPr>
          <w:lastRenderedPageBreak/>
          <m:t>C</m:t>
        </m:r>
        <m:sSub>
          <m:sSubPr>
            <m:ctrlPr>
              <w:rPr>
                <w:rFonts w:ascii="Cambria Math" w:hAnsi="Cambria Math"/>
              </w:rPr>
            </m:ctrlPr>
          </m:sSubPr>
          <m:e>
            <m:r>
              <w:rPr>
                <w:rFonts w:ascii="Cambria Math" w:hAnsi="Cambria Math"/>
              </w:rPr>
              <m:t>O</m:t>
            </m:r>
          </m:e>
          <m:sub>
            <m:r>
              <w:rPr>
                <w:rFonts w:ascii="Cambria Math" w:hAnsi="Cambria Math"/>
              </w:rPr>
              <m:t>2.atmos</m:t>
            </m:r>
          </m:sub>
        </m:sSub>
        <m:r>
          <w:rPr>
            <w:rFonts w:ascii="Cambria Math" w:hAnsi="Cambria Math"/>
          </w:rPr>
          <m:t>(target) = exp</m:t>
        </m:r>
        <m:d>
          <m:dPr>
            <m:ctrlPr>
              <w:rPr>
                <w:rFonts w:ascii="Cambria Math" w:hAnsi="Cambria Math"/>
              </w:rPr>
            </m:ctrlPr>
          </m:dPr>
          <m:e>
            <m:f>
              <m:fPr>
                <m:ctrlPr>
                  <w:rPr>
                    <w:rFonts w:ascii="Cambria Math" w:hAnsi="Cambria Math"/>
                  </w:rPr>
                </m:ctrlPr>
              </m:fPr>
              <m:num>
                <m:r>
                  <w:rPr>
                    <w:rFonts w:ascii="Cambria Math" w:hAnsi="Cambria Math"/>
                  </w:rPr>
                  <m:t>8.2-</m:t>
                </m:r>
                <m:sSub>
                  <m:sSubPr>
                    <m:ctrlPr>
                      <w:rPr>
                        <w:rFonts w:ascii="Cambria Math" w:hAnsi="Cambria Math"/>
                      </w:rPr>
                    </m:ctrlPr>
                  </m:sSubPr>
                  <m:e>
                    <m:r>
                      <w:rPr>
                        <w:rFonts w:ascii="Cambria Math" w:hAnsi="Cambria Math"/>
                      </w:rPr>
                      <m:t>pH</m:t>
                    </m:r>
                  </m:e>
                  <m:sub>
                    <m:r>
                      <w:rPr>
                        <w:rFonts w:ascii="Cambria Math" w:hAnsi="Cambria Math"/>
                      </w:rPr>
                      <m:t>target</m:t>
                    </m:r>
                  </m:sub>
                </m:sSub>
              </m:num>
              <m:den>
                <m:r>
                  <w:rPr>
                    <w:rFonts w:ascii="Cambria Math" w:hAnsi="Cambria Math"/>
                  </w:rPr>
                  <m:t>0.387</m:t>
                </m:r>
              </m:den>
            </m:f>
          </m:e>
        </m:d>
      </m:oMath>
      <w:r w:rsidRPr="00E55F64">
        <w:tab/>
      </w:r>
      <w:r w:rsidRPr="00E55F64">
        <w:tab/>
      </w:r>
      <w:r w:rsidRPr="00E55F64">
        <w:tab/>
      </w:r>
      <w:r w:rsidRPr="00E55F64">
        <w:tab/>
        <w:t>(8)</w:t>
      </w:r>
    </w:p>
    <w:p w14:paraId="350DDC76" w14:textId="25C52410" w:rsidR="00F349A6" w:rsidRDefault="00F349A6" w:rsidP="00F349A6">
      <w:pPr>
        <w:spacing w:before="200" w:after="200"/>
      </w:pPr>
      <w:r w:rsidRPr="00E55F64">
        <w:t>This can be substituted into equation 2 to find the remaining emissions budget at the beginning of each time step.</w:t>
      </w:r>
    </w:p>
    <w:p w14:paraId="17053010" w14:textId="6B7ADAC0" w:rsidR="00AC0FC2" w:rsidRPr="00E55F64" w:rsidRDefault="00AC0FC2" w:rsidP="00F349A6">
      <w:pPr>
        <w:spacing w:before="200" w:after="200"/>
      </w:pPr>
      <w:r>
        <w:t>This protocol is followed every 10 years until 2150, whereupon the algorithm changes to remove carbon if the target has been exceeded, and allow carbon emissions if the target has not yet been met. The amount of carbon removal is larger for larger overshoots, and held at a constant rate during times when the target has not been met.</w:t>
      </w:r>
    </w:p>
    <w:p w14:paraId="6FCF66C4" w14:textId="77777777" w:rsidR="00F349A6" w:rsidRPr="00E55F64" w:rsidRDefault="00F349A6" w:rsidP="00F349A6">
      <w:pPr>
        <w:spacing w:before="200" w:after="200"/>
      </w:pPr>
      <w:r w:rsidRPr="00E55F64">
        <w:t xml:space="preserve">When the AMP algorithm is applied, it runs once for the temperature target as per the algorithm developed by Goodwin et al. (2018) and once for the acidification target as described above, generating two potential emission rates for the next ten years. Depending on what combination of targets we wish to look at, the algorithm can be set to take the most strict (i.e. lowest) emissions rate, the most lenient (highest) emissions rate, or a weighted combination of the two emission rates generated by following the temperature and pH targets. For the purposes of this study, the weighting is assigned as 50:50, but this can be adapted to prioritise acidification or warming as necessary. </w:t>
      </w:r>
    </w:p>
    <w:p w14:paraId="02A66D7C" w14:textId="6BEBF3B6" w:rsidR="00F349A6" w:rsidRPr="00E55F64" w:rsidRDefault="00F349A6" w:rsidP="00F349A6">
      <w:pPr>
        <w:spacing w:before="200" w:after="200"/>
      </w:pPr>
      <w:r w:rsidRPr="00E55F64">
        <w:t xml:space="preserve">Following the AMP algorithm of </w:t>
      </w:r>
      <w:sdt>
        <w:sdtPr>
          <w:rPr>
            <w:color w:val="000000"/>
          </w:rPr>
          <w:tag w:val="MENDELEY_CITATION_v3_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"/>
          <w:id w:val="-2139100515"/>
          <w:placeholder>
            <w:docPart w:val="3FC5F2FC97364AD6ACFEA63997686A39"/>
          </w:placeholder>
        </w:sdtPr>
        <w:sdtEndPr/>
        <w:sdtContent>
          <w:r w:rsidR="00BD49C1" w:rsidRPr="00E55F64">
            <w:rPr>
              <w:color w:val="000000"/>
            </w:rPr>
            <w:t>Goodwin et al. (2018)</w:t>
          </w:r>
        </w:sdtContent>
      </w:sdt>
      <w:r w:rsidRPr="00E55F64">
        <w:t xml:space="preserve">, the annual global net carbon emission rate is then linearly reduced to zero so that total future cumulative emission after time </w:t>
      </w:r>
      <m:oMath>
        <m:sSub>
          <m:sSubPr>
            <m:ctrlPr>
              <w:rPr>
                <w:rFonts w:ascii="Cambria Math" w:hAnsi="Cambria Math"/>
              </w:rPr>
            </m:ctrlPr>
          </m:sSubPr>
          <m:e>
            <m:r>
              <w:rPr>
                <w:rFonts w:ascii="Cambria Math" w:hAnsi="Cambria Math"/>
              </w:rPr>
              <m:t>t</m:t>
            </m:r>
          </m:e>
          <m:sub>
            <m:r>
              <w:rPr>
                <w:rFonts w:ascii="Cambria Math" w:hAnsi="Cambria Math"/>
              </w:rPr>
              <m:t>n</m:t>
            </m:r>
          </m:sub>
        </m:sSub>
      </m:oMath>
      <w:r w:rsidRPr="00E55F64">
        <w:t xml:space="preserve"> is </w:t>
      </w:r>
      <m:oMath>
        <m:sSub>
          <m:sSubPr>
            <m:ctrlPr>
              <w:rPr>
                <w:rFonts w:ascii="Cambria Math" w:hAnsi="Cambria Math"/>
              </w:rPr>
            </m:ctrlPr>
          </m:sSubPr>
          <m:e>
            <m:r>
              <w:rPr>
                <w:rFonts w:ascii="Cambria Math" w:hAnsi="Cambria Math"/>
              </w:rPr>
              <m:t>I</m:t>
            </m:r>
          </m:e>
          <m:sub>
            <m:r>
              <w:rPr>
                <w:rFonts w:ascii="Cambria Math" w:hAnsi="Cambria Math"/>
              </w:rPr>
              <m:t>remaining</m:t>
            </m:r>
          </m:sub>
        </m:sSub>
        <m:sSub>
          <m:sSubPr>
            <m:ctrlPr>
              <w:rPr>
                <w:rFonts w:ascii="Cambria Math" w:hAnsi="Cambria Math"/>
              </w:rPr>
            </m:ctrlPr>
          </m:sSubPr>
          <m:e>
            <m:r>
              <w:rPr>
                <w:rFonts w:ascii="Cambria Math" w:hAnsi="Cambria Math"/>
              </w:rPr>
              <m:t>(t</m:t>
            </m:r>
          </m:e>
          <m:sub>
            <m:r>
              <w:rPr>
                <w:rFonts w:ascii="Cambria Math" w:hAnsi="Cambria Math"/>
              </w:rPr>
              <m:t>n</m:t>
            </m:r>
          </m:sub>
        </m:sSub>
        <m:r>
          <w:rPr>
            <w:rFonts w:ascii="Cambria Math" w:hAnsi="Cambria Math"/>
          </w:rPr>
          <m:t>)</m:t>
        </m:r>
      </m:oMath>
      <w:r w:rsidRPr="00E55F64">
        <w:t xml:space="preserve"> using</w:t>
      </w:r>
    </w:p>
    <w:p w14:paraId="45C2E053" w14:textId="77777777" w:rsidR="00F349A6" w:rsidRPr="00E55F64" w:rsidRDefault="00B27514" w:rsidP="00F349A6">
      <w:pPr>
        <w:spacing w:before="200" w:after="200"/>
        <w:jc w:val="center"/>
      </w:pPr>
      <m:oMath>
        <m:sSub>
          <m:sSubPr>
            <m:ctrlPr>
              <w:rPr>
                <w:rFonts w:ascii="Cambria Math" w:hAnsi="Cambria Math"/>
              </w:rPr>
            </m:ctrlPr>
          </m:sSubPr>
          <m:e>
            <m:r>
              <w:rPr>
                <w:rFonts w:ascii="Cambria Math" w:hAnsi="Cambria Math"/>
              </w:rPr>
              <m:t>C</m:t>
            </m:r>
          </m:e>
          <m:sub>
            <m:r>
              <w:rPr>
                <w:rFonts w:ascii="Cambria Math" w:hAnsi="Cambria Math"/>
              </w:rPr>
              <m:t>rate</m:t>
            </m:r>
          </m:sub>
        </m:sSub>
        <m:r>
          <w:rPr>
            <w:rFonts w:ascii="Cambria Math" w:hAnsi="Cambria Math"/>
          </w:rPr>
          <m:t>(t)-</m:t>
        </m:r>
        <m:sSub>
          <m:sSubPr>
            <m:ctrlPr>
              <w:rPr>
                <w:rFonts w:ascii="Cambria Math" w:hAnsi="Cambria Math"/>
              </w:rPr>
            </m:ctrlPr>
          </m:sSubPr>
          <m:e>
            <m:r>
              <w:rPr>
                <w:rFonts w:ascii="Cambria Math" w:hAnsi="Cambria Math"/>
              </w:rPr>
              <m:t>C</m:t>
            </m:r>
          </m:e>
          <m:sub>
            <m:r>
              <w:rPr>
                <w:rFonts w:ascii="Cambria Math" w:hAnsi="Cambria Math"/>
              </w:rPr>
              <m:t>rate</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n</m:t>
            </m:r>
          </m:sub>
        </m:sSub>
        <m:r>
          <w:rPr>
            <w:rFonts w:ascii="Cambria Math" w:hAnsi="Cambria Math"/>
          </w:rPr>
          <m:t>)</m:t>
        </m:r>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n</m:t>
                    </m:r>
                  </m:sub>
                </m:sSub>
              </m:num>
              <m:den>
                <m:sSub>
                  <m:sSubPr>
                    <m:ctrlPr>
                      <w:rPr>
                        <w:rFonts w:ascii="Cambria Math" w:hAnsi="Cambria Math"/>
                      </w:rPr>
                    </m:ctrlPr>
                  </m:sSubPr>
                  <m:e>
                    <m:sSub>
                      <m:sSubPr>
                        <m:ctrlPr>
                          <w:rPr>
                            <w:rFonts w:ascii="Cambria Math" w:hAnsi="Cambria Math"/>
                          </w:rPr>
                        </m:ctrlPr>
                      </m:sSubPr>
                      <m:e>
                        <m:r>
                          <w:rPr>
                            <w:rFonts w:ascii="Cambria Math" w:hAnsi="Cambria Math"/>
                          </w:rPr>
                          <m:t>t</m:t>
                        </m:r>
                      </m:e>
                      <m:sub>
                        <m:r>
                          <w:rPr>
                            <w:rFonts w:ascii="Cambria Math" w:hAnsi="Cambria Math"/>
                          </w:rPr>
                          <m:t>C=0</m:t>
                        </m:r>
                      </m:sub>
                    </m:sSub>
                  </m:e>
                  <m:sub/>
                </m:sSub>
              </m:den>
            </m:f>
          </m:e>
        </m:d>
      </m:oMath>
      <w:r w:rsidR="00F349A6" w:rsidRPr="00E55F64">
        <w:tab/>
      </w:r>
      <w:r w:rsidR="00F349A6" w:rsidRPr="00E55F64">
        <w:tab/>
      </w:r>
      <w:r w:rsidR="00F349A6" w:rsidRPr="00E55F64">
        <w:tab/>
      </w:r>
      <w:r w:rsidR="00F349A6" w:rsidRPr="00E55F64">
        <w:tab/>
      </w:r>
      <w:r w:rsidR="00F349A6" w:rsidRPr="00E55F64">
        <w:tab/>
        <w:t>(9)</w:t>
      </w:r>
    </w:p>
    <w:p w14:paraId="6024A56C" w14:textId="77777777" w:rsidR="00F349A6" w:rsidRPr="00E55F64" w:rsidRDefault="00F349A6" w:rsidP="00F349A6"/>
    <w:p w14:paraId="31EE4C02" w14:textId="36317B5B" w:rsidR="00606BCB" w:rsidRDefault="005717BD">
      <w:r>
        <w:t xml:space="preserve">References </w:t>
      </w:r>
    </w:p>
    <w:p w14:paraId="0B58D990" w14:textId="08C7B9A8" w:rsidR="005717BD" w:rsidRDefault="005717BD" w:rsidP="005717BD">
      <w:pPr>
        <w:autoSpaceDE w:val="0"/>
        <w:autoSpaceDN w:val="0"/>
        <w:rPr>
          <w:rFonts w:eastAsia="Times New Roman"/>
        </w:rPr>
      </w:pPr>
      <w:r w:rsidRPr="00F84659">
        <w:rPr>
          <w:rFonts w:eastAsia="Times New Roman"/>
        </w:rPr>
        <w:t>Friedlingstein P, Betts R, Bopp L, et al (2006) Climate –carbon cycle feedback analysis, results from the C4MIP model intercomparison. J Clim 19:3337–3353</w:t>
      </w:r>
    </w:p>
    <w:p w14:paraId="12866468" w14:textId="77777777" w:rsidR="005717BD" w:rsidRPr="00F84659" w:rsidRDefault="005717BD" w:rsidP="005717BD">
      <w:pPr>
        <w:autoSpaceDE w:val="0"/>
        <w:autoSpaceDN w:val="0"/>
        <w:rPr>
          <w:rFonts w:eastAsia="Times New Roman"/>
        </w:rPr>
      </w:pPr>
      <w:r w:rsidRPr="00F84659">
        <w:rPr>
          <w:rFonts w:eastAsia="Times New Roman"/>
        </w:rPr>
        <w:t>Goodwin P, Brown S, Haigh ID, et al (2018) Adjusting Mitigation Pathways to stabilize climate at 1 . 5 and 2 . 0 ° C rise in global temperatures to year 2300. 0–3. https://doi.org/10.1002/eft2.310</w:t>
      </w:r>
    </w:p>
    <w:p w14:paraId="36BA6F2B" w14:textId="024D8662" w:rsidR="005717BD" w:rsidRDefault="005717BD" w:rsidP="005717BD">
      <w:pPr>
        <w:autoSpaceDE w:val="0"/>
        <w:autoSpaceDN w:val="0"/>
        <w:rPr>
          <w:rFonts w:eastAsia="Times New Roman"/>
        </w:rPr>
      </w:pPr>
      <w:r w:rsidRPr="00F84659">
        <w:rPr>
          <w:rFonts w:eastAsia="Times New Roman"/>
        </w:rPr>
        <w:t>Zeebe RE, Wolf-Gladrow DA (2001) CO2 in seawater: Equilibrium, Kinerics,Isotopes. Elsevier oceanography series 65:1–341</w:t>
      </w:r>
    </w:p>
    <w:p w14:paraId="732901A4" w14:textId="77777777" w:rsidR="005717BD" w:rsidRPr="00F84659" w:rsidRDefault="005717BD" w:rsidP="005717BD">
      <w:pPr>
        <w:autoSpaceDE w:val="0"/>
        <w:autoSpaceDN w:val="0"/>
        <w:rPr>
          <w:rFonts w:eastAsia="Times New Roman"/>
        </w:rPr>
      </w:pPr>
    </w:p>
    <w:p w14:paraId="2356198B" w14:textId="77777777" w:rsidR="005717BD" w:rsidRPr="00E55F64" w:rsidRDefault="005717BD"/>
    <w:sectPr w:rsidR="005717BD" w:rsidRPr="00E55F64" w:rsidSect="00E55F6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ungsuh">
    <w:altName w:val="Malgun Gothic Semilight"/>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A6"/>
    <w:rsid w:val="0003420A"/>
    <w:rsid w:val="000E1A9E"/>
    <w:rsid w:val="002116D0"/>
    <w:rsid w:val="003B26DB"/>
    <w:rsid w:val="004B1864"/>
    <w:rsid w:val="005717BD"/>
    <w:rsid w:val="00606BCB"/>
    <w:rsid w:val="006848DA"/>
    <w:rsid w:val="006944CF"/>
    <w:rsid w:val="007C4AC7"/>
    <w:rsid w:val="00980046"/>
    <w:rsid w:val="009B1F84"/>
    <w:rsid w:val="009E4111"/>
    <w:rsid w:val="00AC0FC2"/>
    <w:rsid w:val="00B1465B"/>
    <w:rsid w:val="00B23771"/>
    <w:rsid w:val="00B27514"/>
    <w:rsid w:val="00B76A5D"/>
    <w:rsid w:val="00BD49C1"/>
    <w:rsid w:val="00BE71C9"/>
    <w:rsid w:val="00C12ED4"/>
    <w:rsid w:val="00D7746E"/>
    <w:rsid w:val="00D77EF6"/>
    <w:rsid w:val="00E3343C"/>
    <w:rsid w:val="00E55F64"/>
    <w:rsid w:val="00F349A6"/>
    <w:rsid w:val="00FF4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F542"/>
  <w15:chartTrackingRefBased/>
  <w15:docId w15:val="{96C7B9C2-B9D9-40F7-A01A-78125A8C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49A6"/>
    <w:rPr>
      <w:sz w:val="16"/>
      <w:szCs w:val="16"/>
    </w:rPr>
  </w:style>
  <w:style w:type="paragraph" w:styleId="BalloonText">
    <w:name w:val="Balloon Text"/>
    <w:basedOn w:val="Normal"/>
    <w:link w:val="BalloonTextChar"/>
    <w:uiPriority w:val="99"/>
    <w:semiHidden/>
    <w:unhideWhenUsed/>
    <w:rsid w:val="00F349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9A6"/>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LineNumber">
    <w:name w:val="line number"/>
    <w:basedOn w:val="DefaultParagraphFont"/>
    <w:uiPriority w:val="99"/>
    <w:semiHidden/>
    <w:unhideWhenUsed/>
    <w:rsid w:val="00E55F64"/>
  </w:style>
  <w:style w:type="character" w:styleId="Hyperlink">
    <w:name w:val="Hyperlink"/>
    <w:basedOn w:val="DefaultParagraphFont"/>
    <w:uiPriority w:val="99"/>
    <w:unhideWhenUsed/>
    <w:rsid w:val="00D77E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232535">
      <w:bodyDiv w:val="1"/>
      <w:marLeft w:val="0"/>
      <w:marRight w:val="0"/>
      <w:marTop w:val="0"/>
      <w:marBottom w:val="0"/>
      <w:divBdr>
        <w:top w:val="none" w:sz="0" w:space="0" w:color="auto"/>
        <w:left w:val="none" w:sz="0" w:space="0" w:color="auto"/>
        <w:bottom w:val="none" w:sz="0" w:space="0" w:color="auto"/>
        <w:right w:val="none" w:sz="0" w:space="0" w:color="auto"/>
      </w:divBdr>
    </w:div>
    <w:div w:id="1131552688">
      <w:bodyDiv w:val="1"/>
      <w:marLeft w:val="0"/>
      <w:marRight w:val="0"/>
      <w:marTop w:val="0"/>
      <w:marBottom w:val="0"/>
      <w:divBdr>
        <w:top w:val="none" w:sz="0" w:space="0" w:color="auto"/>
        <w:left w:val="none" w:sz="0" w:space="0" w:color="auto"/>
        <w:bottom w:val="none" w:sz="0" w:space="0" w:color="auto"/>
        <w:right w:val="none" w:sz="0" w:space="0" w:color="auto"/>
      </w:divBdr>
    </w:div>
    <w:div w:id="1196650801">
      <w:bodyDiv w:val="1"/>
      <w:marLeft w:val="0"/>
      <w:marRight w:val="0"/>
      <w:marTop w:val="0"/>
      <w:marBottom w:val="0"/>
      <w:divBdr>
        <w:top w:val="none" w:sz="0" w:space="0" w:color="auto"/>
        <w:left w:val="none" w:sz="0" w:space="0" w:color="auto"/>
        <w:bottom w:val="none" w:sz="0" w:space="0" w:color="auto"/>
        <w:right w:val="none" w:sz="0" w:space="0" w:color="auto"/>
      </w:divBdr>
    </w:div>
    <w:div w:id="1808007296">
      <w:bodyDiv w:val="1"/>
      <w:marLeft w:val="0"/>
      <w:marRight w:val="0"/>
      <w:marTop w:val="0"/>
      <w:marBottom w:val="0"/>
      <w:divBdr>
        <w:top w:val="none" w:sz="0" w:space="0" w:color="auto"/>
        <w:left w:val="none" w:sz="0" w:space="0" w:color="auto"/>
        <w:bottom w:val="none" w:sz="0" w:space="0" w:color="auto"/>
        <w:right w:val="none" w:sz="0" w:space="0" w:color="auto"/>
      </w:divBdr>
    </w:div>
    <w:div w:id="191431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vrutin@soton.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C5F2FC97364AD6ACFEA63997686A39"/>
        <w:category>
          <w:name w:val="General"/>
          <w:gallery w:val="placeholder"/>
        </w:category>
        <w:types>
          <w:type w:val="bbPlcHdr"/>
        </w:types>
        <w:behaviors>
          <w:behavior w:val="content"/>
        </w:behaviors>
        <w:guid w:val="{A51C7D3E-DCAF-43D4-B4F1-8AF738B71B90}"/>
      </w:docPartPr>
      <w:docPartBody>
        <w:p w:rsidR="00F576C4" w:rsidRDefault="007A7167" w:rsidP="007A7167">
          <w:pPr>
            <w:pStyle w:val="3FC5F2FC97364AD6ACFEA63997686A39"/>
          </w:pPr>
          <w:r w:rsidRPr="00A950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ungsuh">
    <w:altName w:val="Malgun Gothic Semilight"/>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67"/>
    <w:rsid w:val="007A7167"/>
    <w:rsid w:val="00F02AF8"/>
    <w:rsid w:val="00F57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167"/>
    <w:rPr>
      <w:color w:val="808080"/>
    </w:rPr>
  </w:style>
  <w:style w:type="paragraph" w:customStyle="1" w:styleId="3FC5F2FC97364AD6ACFEA63997686A39">
    <w:name w:val="3FC5F2FC97364AD6ACFEA63997686A39"/>
    <w:rsid w:val="007A7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49F8A6-2134-406A-851C-3ED0D735BC0E}">
  <we:reference id="wa104382081" version="1.46.0.0" store="en-GB" storeType="OMEX"/>
  <we:alternateReferences>
    <we:reference id="wa104382081" version="1.46.0.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
    <we:property name="MENDELEY_CITATIONS" value="[{&quot;citationID&quot;:&quot;MENDELEY_CITATION_ca5ae34b-d4d2-448a-aee9-12908fc39081&quot;,&quot;properties&quot;:{&quot;noteIndex&quot;:0},&quot;isEdited&quot;:false,&quot;manualOverride&quot;:{&quot;isManuallyOverridden&quot;:false,&quot;citeprocText&quot;:&quot;(Zeebe &amp;#38; Wolf-Gladrow, 2001)&quot;,&quot;manualOverrideText&quot;:&quot;&quot;},&quot;citationTag&quot;:&quot;MENDELEY_CITATION_v3_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&quot;,&quot;citationItems&quot;:[{&quot;id&quot;:&quot;3e58553c-aff3-371a-bf64-17de21700557&quot;,&quot;itemData&quot;:{&quot;type&quot;:&quot;article-journal&quot;,&quot;id&quot;:&quot;3e58553c-aff3-371a-bf64-17de21700557&quot;,&quot;title&quot;:&quot;CO2 in seawater: Equilibrium, Kinerics,Isotopes&quot;,&quot;author&quot;:[{&quot;family&quot;:&quot;Zeebe&quot;,&quot;given&quot;:&quot;R. E.&quot;,&quot;parse-names&quot;:false,&quot;dropping-particle&quot;:&quot;&quot;,&quot;non-dropping-particle&quot;:&quot;&quot;},{&quot;family&quot;:&quot;Wolf-Gladrow&quot;,&quot;given&quot;:&quot;D. A.&quot;,&quot;parse-names&quot;:false,&quot;dropping-particle&quot;:&quot;&quot;,&quot;non-dropping-particle&quot;:&quot;&quot;}],&quot;container-title&quot;:&quot;Elsevier oceanography series&quot;,&quot;ISBN&quot;:&quot;9780080929903&quot;,&quot;issued&quot;:{&quot;date-parts&quot;:[[2001]]},&quot;page&quot;:&quot;1-341&quot;,&quot;volume&quot;:&quot;65&quot;,&quot;container-title-short&quot;:&quot;&quot;},&quot;isTemporary&quot;:false}]},{&quot;citationID&quot;:&quot;MENDELEY_CITATION_42256ba6-a85d-45f0-949a-a5459f84622f&quot;,&quot;properties&quot;:{&quot;noteIndex&quot;:0},&quot;isEdited&quot;:false,&quot;manualOverride&quot;:{&quot;isManuallyOverridden&quot;:false,&quot;citeprocText&quot;:&quot;(Friedlingstein et al., 2006)&quot;,&quot;manualOverrideText&quot;:&quot;&quot;},&quot;citationTag&quot;:&quot;MENDELEY_CITATION_v3_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&quot;,&quot;citationItems&quot;:[{&quot;id&quot;:&quot;2a6e44fb-cfc3-3b33-a3f4-cfafe5faba4c&quot;,&quot;itemData&quot;:{&quot;type&quot;:&quot;article-journal&quot;,&quot;id&quot;:&quot;2a6e44fb-cfc3-3b33-a3f4-cfafe5faba4c&quot;,&quot;title&quot;:&quot;Climate –carbon cycle feedback analysis, results from the C4MIP model intercomparison&quot;,&quot;author&quot;:[{&quot;family&quot;:&quot;Friedlingstein&quot;,&quot;given&quot;:&quot;P&quot;,&quot;parse-names&quot;:false,&quot;dropping-particle&quot;:&quot;&quot;,&quot;non-dropping-particle&quot;:&quot;&quot;},{&quot;family&quot;:&quot;Betts&quot;,&quot;given&quot;:&quot;R&quot;,&quot;parse-names&quot;:false,&quot;dropping-particle&quot;:&quot;&quot;,&quot;non-dropping-particle&quot;:&quot;&quot;},{&quot;family&quot;:&quot;Bopp&quot;,&quot;given&quot;:&quot;L&quot;,&quot;parse-names&quot;:false,&quot;dropping-particle&quot;:&quot;&quot;,&quot;non-dropping-particle&quot;:&quot;&quot;},{&quot;family&quot;:&quot;Bloh&quot;,&quot;given&quot;:&quot;W&quot;,&quot;parse-names&quot;:false,&quot;dropping-particle&quot;:&quot;von&quot;,&quot;non-dropping-particle&quot;:&quot;&quot;},{&quot;family&quot;:&quot;Brovkin&quot;,&quot;given&quot;:&quot;V&quot;,&quot;parse-names&quot;:false,&quot;dropping-particle&quot;:&quot;&quot;,&quot;non-dropping-particle&quot;:&quot;&quot;},{&quot;family&quot;:&quot;Doney&quot;,&quot;given&quot;:&quot;S&quot;,&quot;parse-names&quot;:false,&quot;dropping-particle&quot;:&quot;&quot;,&quot;non-dropping-particle&quot;:&quot;&quot;},{&quot;family&quot;:&quot;Eby&quot;,&quot;given&quot;:&quot;M&quot;,&quot;parse-names&quot;:false,&quot;dropping-particle&quot;:&quot;&quot;,&quot;non-dropping-particle&quot;:&quot;&quot;},{&quot;family&quot;:&quot;Fung&quot;,&quot;given&quot;:&quot;I&quot;,&quot;parse-names&quot;:false,&quot;dropping-particle&quot;:&quot;&quot;,&quot;non-dropping-particle&quot;:&quot;&quot;},{&quot;family&quot;:&quot;Govindasamy&quot;,&quot;given&quot;:&quot;B&quot;,&quot;parse-names&quot;:false,&quot;dropping-particle&quot;:&quot;&quot;,&quot;non-dropping-particle&quot;:&quot;&quot;},{&quot;family&quot;:&quot;John&quot;,&quot;given&quot;:&quot;J&quot;,&quot;parse-names&quot;:false,&quot;dropping-particle&quot;:&quot;&quot;,&quot;non-dropping-particle&quot;:&quot;&quot;},{&quot;family&quot;:&quot;Jones&quot;,&quot;given&quot;:&quot;C&quot;,&quot;parse-names&quot;:false,&quot;dropping-particle&quot;:&quot;&quot;,&quot;non-dropping-particle&quot;:&quot;&quot;},{&quot;family&quot;:&quot;Joos&quot;,&quot;given&quot;:&quot;F&quot;,&quot;parse-names&quot;:false,&quot;dropping-particle&quot;:&quot;&quot;,&quot;non-dropping-particle&quot;:&quot;&quot;},{&quot;family&quot;:&quot;Kato&quot;,&quot;given&quot;:&quot;T&quot;,&quot;parse-names&quot;:false,&quot;dropping-particle&quot;:&quot;&quot;,&quot;non-dropping-particle&quot;:&quot;&quot;},{&quot;family&quot;:&quot;Kawamiya&quot;,&quot;given&quot;:&quot;M&quot;,&quot;parse-names&quot;:false,&quot;dropping-particle&quot;:&quot;&quot;,&quot;non-dropping-particle&quot;:&quot;&quot;},{&quot;family&quot;:&quot;Knorr&quot;,&quot;given&quot;:&quot;W&quot;,&quot;parse-names&quot;:false,&quot;dropping-particle&quot;:&quot;&quot;,&quot;non-dropping-particle&quot;:&quot;&quot;},{&quot;family&quot;:&quot;Lindsay&quot;,&quot;given&quot;:&quot;K&quot;,&quot;parse-names&quot;:false,&quot;dropping-particle&quot;:&quot;&quot;,&quot;non-dropping-particle&quot;:&quot;&quot;},{&quot;family&quot;:&quot;Matthews&quot;,&quot;given&quot;:&quot;H D&quot;,&quot;parse-names&quot;:false,&quot;dropping-particle&quot;:&quot;&quot;,&quot;non-dropping-particle&quot;:&quot;&quot;},{&quot;family&quot;:&quot;Raddatz&quot;,&quot;given&quot;:&quot;T&quot;,&quot;parse-names&quot;:false,&quot;dropping-particle&quot;:&quot;&quot;,&quot;non-dropping-particle&quot;:&quot;&quot;},{&quot;family&quot;:&quot;Rayner&quot;,&quot;given&quot;:&quot;P&quot;,&quot;parse-names&quot;:false,&quot;dropping-particle&quot;:&quot;&quot;,&quot;non-dropping-particle&quot;:&quot;&quot;},{&quot;family&quot;:&quot;Reick&quot;,&quot;given&quot;:&quot;C&quot;,&quot;parse-names&quot;:false,&quot;dropping-particle&quot;:&quot;&quot;,&quot;non-dropping-particle&quot;:&quot;&quot;},{&quot;family&quot;:&quot;Roeckner&quot;,&quot;given&quot;:&quot;E&quot;,&quot;parse-names&quot;:false,&quot;dropping-particle&quot;:&quot;&quot;,&quot;non-dropping-particle&quot;:&quot;&quot;},{&quot;family&quot;:&quot;Schnitzler&quot;,&quot;given&quot;:&quot;K G&quot;,&quot;parse-names&quot;:false,&quot;dropping-particle&quot;:&quot;&quot;,&quot;non-dropping-particle&quot;:&quot;&quot;},{&quot;family&quot;:&quot;Schnurr&quot;,&quot;given&quot;:&quot;R&quot;,&quot;parse-names&quot;:false,&quot;dropping-particle&quot;:&quot;&quot;,&quot;non-dropping-particle&quot;:&quot;&quot;},{&quot;family&quot;:&quot;Strassmann&quot;,&quot;given&quot;:&quot;K&quot;,&quot;parse-names&quot;:false,&quot;dropping-particle&quot;:&quot;&quot;,&quot;non-dropping-particle&quot;:&quot;&quot;},{&quot;family&quot;:&quot;Thompson&quot;,&quot;given&quot;:&quot;S&quot;,&quot;parse-names&quot;:false,&quot;dropping-particle&quot;:&quot;&quot;,&quot;non-dropping-particle&quot;:&quot;&quot;},{&quot;family&quot;:&quot;J Weaver&quot;,&quot;given&quot;:&quot;A&quot;,&quot;parse-names&quot;:false,&quot;dropping-particle&quot;:&quot;&quot;,&quot;non-dropping-particle&quot;:&quot;&quot;},{&quot;family&quot;:&quot;Yoshikawa&quot;,&quot;given&quot;:&quot;C&quot;,&quot;parse-names&quot;:false,&quot;dropping-particle&quot;:&quot;&quot;,&quot;non-dropping-particle&quot;:&quot;&quot;},{&quot;family&quot;:&quot;Zeng&quot;,&quot;given&quot;:&quot;N&quot;,&quot;parse-names&quot;:false,&quot;dropping-particle&quot;:&quot;&quot;,&quot;non-dropping-particle&quot;:&quot;&quot;}],&quot;container-title&quot;:&quot;Journal of Climate&quot;,&quot;container-title-short&quot;:&quot;J Clim&quot;,&quot;URL&quot;:&quot;https://doi.org/10.1175/JCLI3800.1&quot;,&quot;issued&quot;:{&quot;date-parts&quot;:[[2006]]},&quot;page&quot;:&quot;3337-3353&quot;,&quot;abstract&quot;:&quot;Ten coupled climate-carbon cycle models used a common protocol to study the coupling between climate change and the carbon cycle. The models were forced by historical and SRES A2 anthropogenic emissions of CO2 for the 1850-2100 time period. For each model, two simulations were performed in order to isolate the impact of climate change on the land and ocean carbon cycle, and therefore the climate feedback on atmospheric CO2 concentration growth rate. There is a unanimous agreement amongst the models that future climate change will reduce the efficiency of the Earth system to absorb the anthropogenic carbon perturbation. A larger fraction of anthropogenic CO2 will stay airborne if climate change is accounted for. By the end of the 21st century, this additional CO2 varies between 20 ppm and 200 ppm for the two extreme models, the majority of the models lying between 50 and 100 ppm. The higher CO2 levels lead to an additional climate warming ranging between 0.1 and 1.5 C. All models simulate a negative sensitivity for both the land and the ocean carbon cycle to future climate. However there is still a large uncertainty on the magnitude of these sensitivities. Eight models attribute most of the changes to the land, while two attribute it to the ocean. Also, a majority of the models locate the reduction of land carbon uptake in the tropics. However, the attribution of the land sensitivity to changes in net primary productivity versus changes in respiration is still subject to debate; no consensus emerges amongst the models.&quot;,&quot;volume&quot;:&quot;19&quot;},&quot;isTemporary&quot;:false}]},{&quot;citationID&quot;:&quot;MENDELEY_CITATION_86fd4e09-314d-4b9e-898d-c112b0441f4c&quot;,&quot;properties&quot;:{&quot;noteIndex&quot;:0},&quot;isEdited&quot;:false,&quot;manualOverride&quot;:{&quot;isManuallyOverridden&quot;:true,&quot;citeprocText&quot;:&quot;(Goodwin et al., 2018)&quot;,&quot;manualOverrideText&quot;:&quot;Goodwin et al. (2018)&quot;},&quot;citationTag&quot;:&quot;MENDELEY_CITATION_v3_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&quot;,&quot;citationItems&quot;:[{&quot;id&quot;:&quot;de630927-0139-34bf-84fe-45dd7fd9479d&quot;,&quot;itemData&quot;:{&quot;type&quot;:&quot;article-journal&quot;,&quot;id&quot;:&quot;de630927-0139-34bf-84fe-45dd7fd9479d&quot;,&quot;title&quot;:&quot;Adjusting Mitigation Pathways to stabilize climate at 1 . 5 and 2 . 0 ° C rise in global temperatures to year 2300&quot;,&quot;author&quot;:[{&quot;family&quot;:&quot;Goodwin&quot;,&quot;given&quot;:&quot;Philip&quot;,&quot;parse-names&quot;:false,&quot;dropping-particle&quot;:&quot;&quot;,&quot;non-dropping-particle&quot;:&quot;&quot;},{&quot;family&quot;:&quot;Brown&quot;,&quot;given&quot;:&quot;S&quot;,&quot;parse-names&quot;:false,&quot;dropping-particle&quot;:&quot;&quot;,&quot;non-dropping-particle&quot;:&quot;&quot;},{&quot;family&quot;:&quot;Haigh&quot;,&quot;given&quot;:&quot;I D&quot;,&quot;parse-names&quot;:false,&quot;dropping-particle&quot;:&quot;&quot;,&quot;non-dropping-particle&quot;:&quot;&quot;},{&quot;family&quot;:&quot;Nicholls&quot;,&quot;given&quot;:&quot;R J&quot;,&quot;parse-names&quot;:false,&quot;dropping-particle&quot;:&quot;&quot;,&quot;non-dropping-particle&quot;:&quot;&quot;},{&quot;family&quot;:&quot;Matter&quot;,&quot;given&quot;:&quot;J M&quot;,&quot;parse-names&quot;:false,&quot;dropping-particle&quot;:&quot;&quot;,&quot;non-dropping-particle&quot;:&quot;&quot;},{&quot;family&quot;:&quot;United&quot;,&quot;given&quot;:&quot;Southampton S O&quot;,&quot;parse-names&quot;:false,&quot;dropping-particle&quot;:&quot;&quot;,&quot;non-dropping-particle&quot;:&quot;&quot;}],&quot;DOI&quot;:&quot;10.1002/eft2.310&quot;,&quot;issued&quot;:{&quot;date-parts&quot;:[[2018]]},&quot;page&quot;:&quot;0-3&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399FC9E7B73046A9030BC78107DA66" ma:contentTypeVersion="14" ma:contentTypeDescription="Create a new document." ma:contentTypeScope="" ma:versionID="1ae3616fb898ce4db061bbe6796c615a">
  <xsd:schema xmlns:xsd="http://www.w3.org/2001/XMLSchema" xmlns:xs="http://www.w3.org/2001/XMLSchema" xmlns:p="http://schemas.microsoft.com/office/2006/metadata/properties" xmlns:ns3="e9830dfb-c42c-4e89-838e-292dba5a8a76" xmlns:ns4="8216ea80-3082-4336-bd11-76fc4b77bf5f" targetNamespace="http://schemas.microsoft.com/office/2006/metadata/properties" ma:root="true" ma:fieldsID="269a09a00e15b7d5f0150f3aca3696d4" ns3:_="" ns4:_="">
    <xsd:import namespace="e9830dfb-c42c-4e89-838e-292dba5a8a76"/>
    <xsd:import namespace="8216ea80-3082-4336-bd11-76fc4b77bf5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30dfb-c42c-4e89-838e-292dba5a8a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6ea80-3082-4336-bd11-76fc4b77bf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B0E84-84AA-4B6E-93F7-4CC8A8BB6C66}">
  <ds:schemaRefs>
    <ds:schemaRef ds:uri="http://schemas.microsoft.com/sharepoint/v3/contenttype/forms"/>
  </ds:schemaRefs>
</ds:datastoreItem>
</file>

<file path=customXml/itemProps2.xml><?xml version="1.0" encoding="utf-8"?>
<ds:datastoreItem xmlns:ds="http://schemas.openxmlformats.org/officeDocument/2006/customXml" ds:itemID="{989F3C73-19EC-4E04-93B4-A2F6AC7DF5BA}">
  <ds:schemaRefs>
    <ds:schemaRef ds:uri="8216ea80-3082-4336-bd11-76fc4b77bf5f"/>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e9830dfb-c42c-4e89-838e-292dba5a8a76"/>
    <ds:schemaRef ds:uri="http://www.w3.org/XML/1998/namespace"/>
    <ds:schemaRef ds:uri="http://purl.org/dc/elements/1.1/"/>
  </ds:schemaRefs>
</ds:datastoreItem>
</file>

<file path=customXml/itemProps3.xml><?xml version="1.0" encoding="utf-8"?>
<ds:datastoreItem xmlns:ds="http://schemas.openxmlformats.org/officeDocument/2006/customXml" ds:itemID="{C0936474-1081-4754-BCB2-4EF4E7A15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30dfb-c42c-4e89-838e-292dba5a8a76"/>
    <ds:schemaRef ds:uri="8216ea80-3082-4336-bd11-76fc4b77b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2B1C65-C076-4455-955B-DCA623141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Avrutin</dc:creator>
  <cp:keywords/>
  <dc:description/>
  <cp:lastModifiedBy>Alexandra Avrutin</cp:lastModifiedBy>
  <cp:revision>16</cp:revision>
  <dcterms:created xsi:type="dcterms:W3CDTF">2022-10-06T15:24:00Z</dcterms:created>
  <dcterms:modified xsi:type="dcterms:W3CDTF">2022-10-24T14:04:00Z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0x01010011399FC9E7B73046A9030BC78107DA66</vt:lpwstr>
  </property>
</Properties>
</file>