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FF6366" w14:textId="77777777" w:rsidR="00295934" w:rsidRPr="009F3320" w:rsidRDefault="00295934" w:rsidP="0029593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F3320">
        <w:rPr>
          <w:rFonts w:asciiTheme="majorBidi" w:hAnsiTheme="majorBidi" w:cstheme="majorBidi"/>
          <w:b/>
          <w:bCs/>
          <w:sz w:val="28"/>
          <w:szCs w:val="28"/>
        </w:rPr>
        <w:t>Invasion of the Polyphag</w:t>
      </w:r>
      <w:r w:rsidRPr="00EB3301">
        <w:rPr>
          <w:rFonts w:asciiTheme="majorBidi" w:hAnsiTheme="majorBidi" w:cstheme="majorBidi"/>
          <w:b/>
          <w:bCs/>
          <w:sz w:val="28"/>
          <w:szCs w:val="28"/>
        </w:rPr>
        <w:t>ous Shot Hole Borer</w:t>
      </w:r>
      <w:r w:rsidRPr="00FE1B9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</w:rPr>
        <w:t>b</w:t>
      </w:r>
      <w:r w:rsidRPr="00EB3301">
        <w:rPr>
          <w:rFonts w:asciiTheme="majorBidi" w:hAnsiTheme="majorBidi" w:cstheme="majorBidi"/>
          <w:b/>
          <w:bCs/>
          <w:sz w:val="28"/>
          <w:szCs w:val="28"/>
        </w:rPr>
        <w:t>eetle i</w:t>
      </w:r>
      <w:r w:rsidRPr="009F3320">
        <w:rPr>
          <w:rFonts w:asciiTheme="majorBidi" w:hAnsiTheme="majorBidi" w:cstheme="majorBidi"/>
          <w:b/>
          <w:bCs/>
          <w:sz w:val="28"/>
          <w:szCs w:val="28"/>
        </w:rPr>
        <w:t>n South Africa:</w:t>
      </w:r>
    </w:p>
    <w:p w14:paraId="109535B2" w14:textId="2FF6292C" w:rsidR="00295934" w:rsidRPr="009F3320" w:rsidRDefault="00295934" w:rsidP="00295934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F3320">
        <w:rPr>
          <w:rFonts w:asciiTheme="majorBidi" w:hAnsiTheme="majorBidi" w:cstheme="majorBidi"/>
          <w:b/>
          <w:bCs/>
          <w:sz w:val="28"/>
          <w:szCs w:val="28"/>
        </w:rPr>
        <w:t>A preliminary assessment of the economic impact</w:t>
      </w:r>
      <w:r w:rsidR="00957140">
        <w:rPr>
          <w:rFonts w:asciiTheme="majorBidi" w:hAnsiTheme="majorBidi" w:cstheme="majorBidi"/>
          <w:b/>
          <w:bCs/>
          <w:sz w:val="28"/>
          <w:szCs w:val="28"/>
        </w:rPr>
        <w:t>s</w:t>
      </w:r>
    </w:p>
    <w:p w14:paraId="040FE8CF" w14:textId="77777777" w:rsidR="00B20FB9" w:rsidRDefault="00B20FB9" w:rsidP="00C91237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63E6C5D3" w14:textId="446A01EB" w:rsidR="00AA1C03" w:rsidRPr="00C91237" w:rsidRDefault="002A5B97" w:rsidP="00C91237">
      <w:pPr>
        <w:jc w:val="center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C91237">
        <w:rPr>
          <w:rFonts w:asciiTheme="majorBidi" w:hAnsiTheme="majorBidi" w:cstheme="majorBidi"/>
          <w:b/>
          <w:bCs/>
          <w:sz w:val="24"/>
          <w:szCs w:val="24"/>
          <w:u w:val="single"/>
        </w:rPr>
        <w:t>Supplementary Material</w:t>
      </w:r>
    </w:p>
    <w:p w14:paraId="72F3B6D3" w14:textId="7FD99C12" w:rsidR="00F3699C" w:rsidRDefault="00F3699C">
      <w:pPr>
        <w:rPr>
          <w:rFonts w:asciiTheme="majorBidi" w:hAnsiTheme="majorBidi" w:cstheme="majorBidi"/>
          <w:sz w:val="24"/>
          <w:szCs w:val="24"/>
        </w:rPr>
      </w:pPr>
    </w:p>
    <w:p w14:paraId="4B03393E" w14:textId="679F6C3E" w:rsidR="00F9510E" w:rsidRPr="007D7A10" w:rsidRDefault="00F9510E" w:rsidP="00F9510E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7D7A10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Table S1 Agricultural tree species </w:t>
      </w:r>
      <w:r w:rsidR="00D31303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affected </w:t>
      </w:r>
      <w:r w:rsidRPr="007D7A10">
        <w:rPr>
          <w:rFonts w:asciiTheme="majorBidi" w:hAnsiTheme="majorBidi" w:cstheme="majorBidi"/>
          <w:b/>
          <w:bCs/>
          <w:sz w:val="24"/>
          <w:szCs w:val="24"/>
          <w:lang w:val="en-US"/>
        </w:rPr>
        <w:t>by the P</w:t>
      </w:r>
      <w:r w:rsidR="00B20FB9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olyphagous </w:t>
      </w:r>
      <w:r w:rsidRPr="007D7A10">
        <w:rPr>
          <w:rFonts w:asciiTheme="majorBidi" w:hAnsiTheme="majorBidi" w:cstheme="majorBidi"/>
          <w:b/>
          <w:bCs/>
          <w:sz w:val="24"/>
          <w:szCs w:val="24"/>
          <w:lang w:val="en-US"/>
        </w:rPr>
        <w:t>S</w:t>
      </w:r>
      <w:r w:rsidR="00B20FB9">
        <w:rPr>
          <w:rFonts w:asciiTheme="majorBidi" w:hAnsiTheme="majorBidi" w:cstheme="majorBidi"/>
          <w:b/>
          <w:bCs/>
          <w:sz w:val="24"/>
          <w:szCs w:val="24"/>
          <w:lang w:val="en-US"/>
        </w:rPr>
        <w:t>hot</w:t>
      </w:r>
      <w:r w:rsidR="00B76565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H</w:t>
      </w:r>
      <w:r w:rsidR="00B20FB9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ole </w:t>
      </w:r>
      <w:r w:rsidRPr="007D7A10">
        <w:rPr>
          <w:rFonts w:asciiTheme="majorBidi" w:hAnsiTheme="majorBidi" w:cstheme="majorBidi"/>
          <w:b/>
          <w:bCs/>
          <w:sz w:val="24"/>
          <w:szCs w:val="24"/>
          <w:lang w:val="en-US"/>
        </w:rPr>
        <w:t>B</w:t>
      </w:r>
      <w:r w:rsidR="00B20FB9">
        <w:rPr>
          <w:rFonts w:asciiTheme="majorBidi" w:hAnsiTheme="majorBidi" w:cstheme="majorBidi"/>
          <w:b/>
          <w:bCs/>
          <w:sz w:val="24"/>
          <w:szCs w:val="24"/>
          <w:lang w:val="en-US"/>
        </w:rPr>
        <w:t>orer</w:t>
      </w:r>
      <w:r w:rsidR="00B76565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beetle</w:t>
      </w:r>
      <w:r w:rsidRPr="007D7A10"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in global case </w:t>
      </w:r>
      <w:proofErr w:type="gramStart"/>
      <w:r w:rsidRPr="007D7A10">
        <w:rPr>
          <w:rFonts w:asciiTheme="majorBidi" w:hAnsiTheme="majorBidi" w:cstheme="majorBidi"/>
          <w:b/>
          <w:bCs/>
          <w:sz w:val="24"/>
          <w:szCs w:val="24"/>
          <w:lang w:val="en-US"/>
        </w:rPr>
        <w:t>studies</w:t>
      </w:r>
      <w:proofErr w:type="gramEnd"/>
    </w:p>
    <w:p w14:paraId="19A30212" w14:textId="77777777" w:rsidR="00F9510E" w:rsidRPr="007852DD" w:rsidRDefault="00F9510E" w:rsidP="00F9510E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tbl>
      <w:tblPr>
        <w:tblW w:w="5519" w:type="dxa"/>
        <w:tblLook w:val="04A0" w:firstRow="1" w:lastRow="0" w:firstColumn="1" w:lastColumn="0" w:noHBand="0" w:noVBand="1"/>
      </w:tblPr>
      <w:tblGrid>
        <w:gridCol w:w="3818"/>
        <w:gridCol w:w="1701"/>
      </w:tblGrid>
      <w:tr w:rsidR="00F9510E" w:rsidRPr="007852DD" w14:paraId="3EA9B730" w14:textId="77777777" w:rsidTr="007D7A10">
        <w:trPr>
          <w:trHeight w:val="300"/>
        </w:trPr>
        <w:tc>
          <w:tcPr>
            <w:tcW w:w="38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D2FE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ZA"/>
              </w:rPr>
              <w:t>Latin name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264174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  <w:lang w:eastAsia="en-ZA"/>
              </w:rPr>
              <w:t>Common name</w:t>
            </w:r>
          </w:p>
        </w:tc>
      </w:tr>
      <w:tr w:rsidR="00F9510E" w:rsidRPr="007852DD" w14:paraId="0C72450F" w14:textId="77777777" w:rsidTr="007D7A10">
        <w:trPr>
          <w:trHeight w:val="300"/>
        </w:trPr>
        <w:tc>
          <w:tcPr>
            <w:tcW w:w="381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5812F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  <w:t>Citrus limon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99AC42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  <w:t>Lemon</w:t>
            </w:r>
          </w:p>
        </w:tc>
      </w:tr>
      <w:tr w:rsidR="00F9510E" w:rsidRPr="007852DD" w14:paraId="21D40CFD" w14:textId="77777777" w:rsidTr="007D7A10">
        <w:trPr>
          <w:trHeight w:val="300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00547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  <w:t>Citrus sinensis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672A71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  <w:t>Orange</w:t>
            </w:r>
          </w:p>
        </w:tc>
      </w:tr>
      <w:tr w:rsidR="00F9510E" w:rsidRPr="007852DD" w14:paraId="2E1857BB" w14:textId="77777777" w:rsidTr="007D7A10">
        <w:trPr>
          <w:trHeight w:val="300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31AE1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  <w:t xml:space="preserve">Ficus </w:t>
            </w:r>
            <w:proofErr w:type="spellStart"/>
            <w:r w:rsidRPr="007852DD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  <w:t>carica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2B02D5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  <w:t>Common fig</w:t>
            </w:r>
          </w:p>
        </w:tc>
      </w:tr>
      <w:tr w:rsidR="00F9510E" w:rsidRPr="007852DD" w14:paraId="111A5CFD" w14:textId="77777777" w:rsidTr="007D7A10">
        <w:trPr>
          <w:trHeight w:val="300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EA7D2B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  <w:t xml:space="preserve">Macadamia </w:t>
            </w:r>
            <w:proofErr w:type="gramStart"/>
            <w:r w:rsidRPr="007852DD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  <w:t xml:space="preserve">integrifolia </w:t>
            </w:r>
            <w:r w:rsidRPr="007852DD">
              <w:rPr>
                <w:rFonts w:asciiTheme="majorBidi" w:eastAsia="Times New Roman" w:hAnsiTheme="majorBidi" w:cstheme="majorBidi"/>
                <w:iCs/>
                <w:color w:val="000000"/>
                <w:sz w:val="24"/>
                <w:szCs w:val="24"/>
                <w:lang w:eastAsia="en-ZA"/>
              </w:rPr>
              <w:t xml:space="preserve"> </w:t>
            </w:r>
            <w:proofErr w:type="spellStart"/>
            <w:r w:rsidRPr="007852DD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  <w:t>tetraphylla</w:t>
            </w:r>
            <w:proofErr w:type="spellEnd"/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CD0CB77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  <w:t>Macadamia nut</w:t>
            </w:r>
          </w:p>
        </w:tc>
      </w:tr>
      <w:tr w:rsidR="00F9510E" w:rsidRPr="007852DD" w14:paraId="728E03B8" w14:textId="77777777" w:rsidTr="007D7A10">
        <w:trPr>
          <w:trHeight w:val="300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17B3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  <w:t>Prunus persica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8FF3F0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  <w:t>Peach</w:t>
            </w:r>
          </w:p>
        </w:tc>
      </w:tr>
      <w:tr w:rsidR="00F9510E" w:rsidRPr="007852DD" w14:paraId="39B824A9" w14:textId="77777777" w:rsidTr="007D7A10">
        <w:trPr>
          <w:trHeight w:val="300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19943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  <w:t>Psidium guajava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D17D14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  <w:t>Guava</w:t>
            </w:r>
          </w:p>
        </w:tc>
      </w:tr>
      <w:tr w:rsidR="00F9510E" w:rsidRPr="007852DD" w14:paraId="1DF7F6BD" w14:textId="77777777" w:rsidTr="007D7A10">
        <w:trPr>
          <w:trHeight w:val="300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32A4E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  <w:t>Vitis vinifera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5AEB0C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  <w:t>Grapevine</w:t>
            </w:r>
          </w:p>
        </w:tc>
      </w:tr>
      <w:tr w:rsidR="00F9510E" w:rsidRPr="00F76618" w14:paraId="6095B676" w14:textId="77777777" w:rsidTr="007D7A10">
        <w:trPr>
          <w:trHeight w:val="323"/>
        </w:trPr>
        <w:tc>
          <w:tcPr>
            <w:tcW w:w="381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8029" w14:textId="77777777" w:rsidR="00F9510E" w:rsidRPr="007852DD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  <w:t xml:space="preserve">Carya </w:t>
            </w:r>
            <w:proofErr w:type="spellStart"/>
            <w:r w:rsidRPr="007852DD">
              <w:rPr>
                <w:rFonts w:asciiTheme="majorBidi" w:eastAsia="Times New Roman" w:hAnsiTheme="majorBidi" w:cstheme="majorBidi"/>
                <w:i/>
                <w:iCs/>
                <w:color w:val="000000"/>
                <w:sz w:val="24"/>
                <w:szCs w:val="24"/>
                <w:lang w:eastAsia="en-ZA"/>
              </w:rPr>
              <w:t>illinoinensis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5E7405" w14:textId="77777777" w:rsidR="00F9510E" w:rsidRPr="00F76618" w:rsidRDefault="00F9510E" w:rsidP="00C91237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</w:pPr>
            <w:r w:rsidRPr="007852DD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ZA"/>
              </w:rPr>
              <w:t>Pecan nut</w:t>
            </w:r>
          </w:p>
        </w:tc>
      </w:tr>
    </w:tbl>
    <w:p w14:paraId="5A4552C0" w14:textId="30848577" w:rsidR="00F9510E" w:rsidRDefault="00F9510E">
      <w:pPr>
        <w:rPr>
          <w:rFonts w:asciiTheme="majorBidi" w:hAnsiTheme="majorBidi" w:cstheme="majorBidi"/>
          <w:sz w:val="24"/>
          <w:szCs w:val="24"/>
        </w:rPr>
      </w:pPr>
    </w:p>
    <w:p w14:paraId="3767EF8A" w14:textId="0054BB3F" w:rsidR="00B421E7" w:rsidRPr="007D7A10" w:rsidRDefault="00B421E7" w:rsidP="00B421E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D7A1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 </w:t>
      </w:r>
      <w:r w:rsidR="009632CD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FC02C1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7D7A1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Gross production value (GPV) of avocado trees in South Africa (</w:t>
      </w:r>
      <w:r w:rsidR="00B76565">
        <w:rPr>
          <w:rFonts w:ascii="Times New Roman" w:hAnsi="Times New Roman" w:cs="Times New Roman"/>
          <w:b/>
          <w:bCs/>
          <w:sz w:val="24"/>
          <w:szCs w:val="24"/>
          <w:lang w:val="en-US"/>
        </w:rPr>
        <w:t>Int. $ m</w:t>
      </w:r>
      <w:r w:rsidR="00A2387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, </w:t>
      </w:r>
      <w:r w:rsidRPr="007D7A10">
        <w:rPr>
          <w:rFonts w:ascii="Times New Roman" w:hAnsi="Times New Roman" w:cs="Times New Roman"/>
          <w:b/>
          <w:bCs/>
          <w:sz w:val="24"/>
          <w:szCs w:val="24"/>
          <w:lang w:val="en-US"/>
        </w:rPr>
        <w:t>1994/5 – 2017/18)</w:t>
      </w:r>
    </w:p>
    <w:p w14:paraId="295D40C0" w14:textId="1BF69C92" w:rsidR="00B421E7" w:rsidRPr="004A1D73" w:rsidRDefault="00B421E7" w:rsidP="00B421E7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p w14:paraId="16F609CA" w14:textId="625A6DB0" w:rsidR="00FC02C1" w:rsidRDefault="00FC02C1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422ED8FF" wp14:editId="1A47833C">
            <wp:extent cx="3820877" cy="1699260"/>
            <wp:effectExtent l="0" t="0" r="825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3387" cy="17048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839B69" w14:textId="56C9A222" w:rsidR="00F3699C" w:rsidRPr="007D7A10" w:rsidRDefault="00B152DF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7D7A10">
        <w:rPr>
          <w:rFonts w:ascii="Times New Roman" w:hAnsi="Times New Roman" w:cs="Times New Roman"/>
          <w:i/>
          <w:iCs/>
          <w:sz w:val="24"/>
          <w:szCs w:val="24"/>
          <w:lang w:val="en-US"/>
        </w:rPr>
        <w:t>Source: DAFF (2020: 44)</w:t>
      </w:r>
    </w:p>
    <w:p w14:paraId="398ECEAA" w14:textId="77777777" w:rsidR="00A4515E" w:rsidRDefault="00A4515E" w:rsidP="00EC2A5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A19B1FC" w14:textId="77777777" w:rsidR="00B20FB9" w:rsidRDefault="00B20FB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081AA119" w14:textId="26E73562" w:rsidR="00EC2A56" w:rsidRPr="00343558" w:rsidRDefault="00EC2A56" w:rsidP="00EC2A5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D7A10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Fig S2 Gross production value (GPV) of black wattle in South Africa (Int. $ m, 2005 – 2018)</w:t>
      </w:r>
      <w:r w:rsidRPr="007D7A10">
        <w:rPr>
          <w:rStyle w:val="CommentReference"/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79F0432" w14:textId="77777777" w:rsidR="00EC2A56" w:rsidRPr="00631C39" w:rsidRDefault="00EC2A56" w:rsidP="00EC2A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A70CFF9" w14:textId="6E156CA6" w:rsidR="00EC2A56" w:rsidRPr="00631C39" w:rsidRDefault="00376B63" w:rsidP="00EC2A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5D1EE82B" wp14:editId="05BDAEE3">
            <wp:extent cx="3162300" cy="1911985"/>
            <wp:effectExtent l="0" t="0" r="0" b="0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911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C6DB29" w14:textId="6EE489CA" w:rsidR="00EC2A56" w:rsidRPr="00EE4E2B" w:rsidRDefault="00EC2A56" w:rsidP="00EC2A56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EE4E2B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Sources: </w:t>
      </w:r>
      <w:r w:rsidRPr="00C305DD">
        <w:rPr>
          <w:rFonts w:ascii="Times New Roman" w:hAnsi="Times New Roman" w:cs="Times New Roman"/>
          <w:i/>
          <w:iCs/>
          <w:sz w:val="24"/>
          <w:szCs w:val="24"/>
          <w:lang w:val="en-US"/>
        </w:rPr>
        <w:t>Oberholzer</w:t>
      </w:r>
      <w:r w:rsidR="00C305DD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="007777E4">
        <w:rPr>
          <w:rFonts w:ascii="Times New Roman" w:hAnsi="Times New Roman" w:cs="Times New Roman"/>
          <w:i/>
          <w:iCs/>
          <w:sz w:val="24"/>
          <w:szCs w:val="24"/>
          <w:lang w:val="en-US"/>
        </w:rPr>
        <w:t>and</w:t>
      </w:r>
      <w:r w:rsidRPr="00C305DD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Pr="00C305DD">
        <w:rPr>
          <w:rFonts w:ascii="Times New Roman" w:hAnsi="Times New Roman" w:cs="Times New Roman"/>
          <w:i/>
          <w:iCs/>
          <w:sz w:val="24"/>
          <w:szCs w:val="24"/>
          <w:lang w:val="en-US"/>
        </w:rPr>
        <w:t>Godsmark</w:t>
      </w:r>
      <w:proofErr w:type="spellEnd"/>
      <w:r w:rsidRPr="00C305DD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(2020)</w:t>
      </w:r>
      <w:r w:rsidR="000C3E74" w:rsidRPr="00C305DD">
        <w:rPr>
          <w:rFonts w:ascii="Times New Roman" w:hAnsi="Times New Roman" w:cs="Times New Roman"/>
          <w:i/>
          <w:iCs/>
          <w:sz w:val="24"/>
          <w:szCs w:val="24"/>
          <w:lang w:val="en-US"/>
        </w:rPr>
        <w:t>;</w:t>
      </w:r>
      <w:r w:rsidRPr="00C305DD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Craig Norris (NCT), pers </w:t>
      </w:r>
      <w:r w:rsidR="007130E9" w:rsidRPr="00C305DD"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Pr="00C305DD">
        <w:rPr>
          <w:rFonts w:ascii="Times New Roman" w:hAnsi="Times New Roman" w:cs="Times New Roman"/>
          <w:i/>
          <w:iCs/>
          <w:sz w:val="24"/>
          <w:szCs w:val="24"/>
          <w:lang w:val="en-US"/>
        </w:rPr>
        <w:t>omm</w:t>
      </w:r>
      <w:r w:rsidR="00C305DD" w:rsidRPr="00C305DD">
        <w:rPr>
          <w:rFonts w:ascii="Times New Roman" w:hAnsi="Times New Roman" w:cs="Times New Roman"/>
          <w:i/>
          <w:iCs/>
          <w:sz w:val="24"/>
          <w:szCs w:val="24"/>
          <w:lang w:val="en-US"/>
        </w:rPr>
        <w:t>, 2020</w:t>
      </w:r>
    </w:p>
    <w:p w14:paraId="5E3722FB" w14:textId="77777777" w:rsidR="00BB3D0C" w:rsidRPr="00EE4E2B" w:rsidRDefault="00BB3D0C" w:rsidP="00BB3D0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p w14:paraId="1205107B" w14:textId="1BCEBE13" w:rsidR="00A4515E" w:rsidRPr="00EE4E2B" w:rsidRDefault="00A4515E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6B20927" w14:textId="53A84E62" w:rsidR="00E8085B" w:rsidRPr="00EE4E2B" w:rsidRDefault="00E8085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EE4E2B">
        <w:rPr>
          <w:rFonts w:asciiTheme="majorBidi" w:hAnsiTheme="majorBidi" w:cstheme="majorBidi"/>
          <w:b/>
          <w:bCs/>
          <w:sz w:val="24"/>
          <w:szCs w:val="24"/>
        </w:rPr>
        <w:t>Benefit-Transfer Method Equations</w:t>
      </w:r>
    </w:p>
    <w:p w14:paraId="683D09C2" w14:textId="78FC4756" w:rsidR="006D67A3" w:rsidRPr="00EE4E2B" w:rsidRDefault="006D67A3" w:rsidP="006D67A3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EE4E2B">
        <w:rPr>
          <w:rFonts w:asciiTheme="majorBidi" w:hAnsiTheme="majorBidi" w:cstheme="majorBidi"/>
          <w:sz w:val="24"/>
          <w:szCs w:val="24"/>
          <w:lang w:val="en-US"/>
        </w:rPr>
        <w:t xml:space="preserve">The adjustment equations used for </w:t>
      </w:r>
      <w:r w:rsidR="00133274" w:rsidRPr="00EE4E2B">
        <w:rPr>
          <w:rFonts w:asciiTheme="majorBidi" w:hAnsiTheme="majorBidi" w:cstheme="majorBidi"/>
          <w:sz w:val="24"/>
          <w:szCs w:val="24"/>
          <w:lang w:val="en-US"/>
        </w:rPr>
        <w:t xml:space="preserve">the economic value of </w:t>
      </w:r>
      <w:r w:rsidRPr="00EE4E2B">
        <w:rPr>
          <w:rFonts w:asciiTheme="majorBidi" w:hAnsiTheme="majorBidi" w:cstheme="majorBidi"/>
          <w:sz w:val="24"/>
          <w:szCs w:val="24"/>
          <w:lang w:val="en-US"/>
        </w:rPr>
        <w:t>natural forests</w:t>
      </w:r>
      <w:r w:rsidR="00133274" w:rsidRPr="00EE4E2B">
        <w:rPr>
          <w:rFonts w:asciiTheme="majorBidi" w:hAnsiTheme="majorBidi" w:cstheme="majorBidi"/>
          <w:sz w:val="24"/>
          <w:szCs w:val="24"/>
          <w:lang w:val="en-US"/>
        </w:rPr>
        <w:t xml:space="preserve"> in South Africa</w:t>
      </w:r>
      <w:r w:rsidRPr="00EE4E2B">
        <w:rPr>
          <w:rFonts w:asciiTheme="majorBidi" w:hAnsiTheme="majorBidi" w:cstheme="majorBidi"/>
          <w:sz w:val="24"/>
          <w:szCs w:val="24"/>
          <w:lang w:val="en-US"/>
        </w:rPr>
        <w:t xml:space="preserve"> are represented by equations </w:t>
      </w:r>
      <w:r w:rsidR="00DC4841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0865F5" w:rsidRPr="00EE4E2B">
        <w:rPr>
          <w:rFonts w:asciiTheme="majorBidi" w:hAnsiTheme="majorBidi" w:cstheme="majorBidi"/>
          <w:sz w:val="24"/>
          <w:szCs w:val="24"/>
          <w:lang w:val="en-US"/>
        </w:rPr>
        <w:t>1</w:t>
      </w:r>
      <w:r w:rsidR="00DC4841">
        <w:rPr>
          <w:rFonts w:asciiTheme="majorBidi" w:hAnsiTheme="majorBidi" w:cstheme="majorBidi"/>
          <w:sz w:val="24"/>
          <w:szCs w:val="24"/>
          <w:lang w:val="en-US"/>
        </w:rPr>
        <w:t>)</w:t>
      </w:r>
      <w:r w:rsidR="000865F5" w:rsidRPr="00EE4E2B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EE4E2B">
        <w:rPr>
          <w:rFonts w:asciiTheme="majorBidi" w:hAnsiTheme="majorBidi" w:cstheme="majorBidi"/>
          <w:sz w:val="24"/>
          <w:szCs w:val="24"/>
          <w:lang w:val="en-US"/>
        </w:rPr>
        <w:t>(the currency conversion formula)</w:t>
      </w:r>
      <w:r w:rsidR="000865F5" w:rsidRPr="00EE4E2B"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 w:rsidR="00DC4841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0865F5" w:rsidRPr="00EE4E2B">
        <w:rPr>
          <w:rFonts w:asciiTheme="majorBidi" w:hAnsiTheme="majorBidi" w:cstheme="majorBidi"/>
          <w:sz w:val="24"/>
          <w:szCs w:val="24"/>
          <w:lang w:val="en-US"/>
        </w:rPr>
        <w:t>2</w:t>
      </w:r>
      <w:r w:rsidR="00DC4841">
        <w:rPr>
          <w:rFonts w:asciiTheme="majorBidi" w:hAnsiTheme="majorBidi" w:cstheme="majorBidi"/>
          <w:sz w:val="24"/>
          <w:szCs w:val="24"/>
          <w:lang w:val="en-US"/>
        </w:rPr>
        <w:t>)</w:t>
      </w:r>
      <w:r w:rsidRPr="00EE4E2B">
        <w:rPr>
          <w:rFonts w:asciiTheme="majorBidi" w:hAnsiTheme="majorBidi" w:cstheme="majorBidi"/>
          <w:sz w:val="24"/>
          <w:szCs w:val="24"/>
          <w:lang w:val="en-US"/>
        </w:rPr>
        <w:t xml:space="preserve"> (the CPI adjustment formula)</w:t>
      </w:r>
      <w:r w:rsidR="000865F5" w:rsidRPr="00EE4E2B">
        <w:rPr>
          <w:rFonts w:asciiTheme="majorBidi" w:hAnsiTheme="majorBidi" w:cstheme="majorBidi"/>
          <w:sz w:val="24"/>
          <w:szCs w:val="24"/>
          <w:lang w:val="en-US"/>
        </w:rPr>
        <w:t>,</w:t>
      </w:r>
      <w:r w:rsidRPr="00EE4E2B">
        <w:rPr>
          <w:rFonts w:asciiTheme="majorBidi" w:hAnsiTheme="majorBidi" w:cstheme="majorBidi"/>
          <w:sz w:val="24"/>
          <w:szCs w:val="24"/>
          <w:lang w:val="en-US"/>
        </w:rPr>
        <w:t xml:space="preserve"> and </w:t>
      </w:r>
      <w:r w:rsidR="00DC4841">
        <w:rPr>
          <w:rFonts w:asciiTheme="majorBidi" w:hAnsiTheme="majorBidi" w:cstheme="majorBidi"/>
          <w:sz w:val="24"/>
          <w:szCs w:val="24"/>
          <w:lang w:val="en-US"/>
        </w:rPr>
        <w:t>(</w:t>
      </w:r>
      <w:r w:rsidR="000865F5" w:rsidRPr="00EE4E2B">
        <w:rPr>
          <w:rFonts w:asciiTheme="majorBidi" w:hAnsiTheme="majorBidi" w:cstheme="majorBidi"/>
          <w:sz w:val="24"/>
          <w:szCs w:val="24"/>
          <w:lang w:val="en-US"/>
        </w:rPr>
        <w:t>3</w:t>
      </w:r>
      <w:r w:rsidR="00DC4841">
        <w:rPr>
          <w:rFonts w:asciiTheme="majorBidi" w:hAnsiTheme="majorBidi" w:cstheme="majorBidi"/>
          <w:sz w:val="24"/>
          <w:szCs w:val="24"/>
          <w:lang w:val="en-US"/>
        </w:rPr>
        <w:t>)</w:t>
      </w:r>
      <w:r w:rsidRPr="00EE4E2B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="00A064D1" w:rsidRPr="00EE4E2B">
        <w:rPr>
          <w:rFonts w:asciiTheme="majorBidi" w:hAnsiTheme="majorBidi" w:cstheme="majorBidi"/>
          <w:sz w:val="24"/>
          <w:szCs w:val="24"/>
          <w:lang w:val="en-US"/>
        </w:rPr>
        <w:t>GDP-</w:t>
      </w:r>
      <w:r w:rsidRPr="00EE4E2B">
        <w:rPr>
          <w:rFonts w:asciiTheme="majorBidi" w:hAnsiTheme="majorBidi" w:cstheme="majorBidi"/>
          <w:sz w:val="24"/>
          <w:szCs w:val="24"/>
          <w:lang w:val="en-US"/>
        </w:rPr>
        <w:t>PPP adjustment), respectively as follows:</w:t>
      </w:r>
    </w:p>
    <w:tbl>
      <w:tblPr>
        <w:tblStyle w:val="TableGrid"/>
        <w:tblpPr w:leftFromText="180" w:rightFromText="180" w:vertAnchor="text" w:horzAnchor="margin" w:tblpY="193"/>
        <w:tblW w:w="0" w:type="auto"/>
        <w:tblLook w:val="04A0" w:firstRow="1" w:lastRow="0" w:firstColumn="1" w:lastColumn="0" w:noHBand="0" w:noVBand="1"/>
      </w:tblPr>
      <w:tblGrid>
        <w:gridCol w:w="8517"/>
        <w:gridCol w:w="499"/>
      </w:tblGrid>
      <w:tr w:rsidR="000865F5" w:rsidRPr="00EE4E2B" w14:paraId="76B56D5D" w14:textId="77777777" w:rsidTr="000865F5">
        <w:tc>
          <w:tcPr>
            <w:tcW w:w="8517" w:type="dxa"/>
            <w:tcBorders>
              <w:top w:val="nil"/>
              <w:left w:val="nil"/>
              <w:bottom w:val="nil"/>
              <w:right w:val="nil"/>
            </w:tcBorders>
          </w:tcPr>
          <w:p w14:paraId="730A6C9C" w14:textId="77777777" w:rsidR="000865F5" w:rsidRPr="00EE4E2B" w:rsidRDefault="00366C8A" w:rsidP="000865F5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  <w:sz w:val="24"/>
                    <w:szCs w:val="24"/>
                    <w:lang w:val="en-US"/>
                  </w:rPr>
                  <m:t xml:space="preserve">i= 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0</m:t>
                    </m:r>
                  </m:sup>
                </m:sSup>
                <m:r>
                  <w:rPr>
                    <w:rFonts w:ascii="Cambria Math" w:hAnsi="Cambria Math" w:cstheme="majorBidi"/>
                    <w:sz w:val="24"/>
                    <w:szCs w:val="24"/>
                    <w:lang w:val="en-US"/>
                  </w:rPr>
                  <m:t>,oc</m:t>
                </m:r>
                <m:r>
                  <w:rPr>
                    <w:rFonts w:ascii="Cambria Math" w:eastAsiaTheme="minorEastAsia" w:hAnsi="Cambria Math" w:cstheme="majorBidi"/>
                    <w:sz w:val="24"/>
                    <w:szCs w:val="24"/>
                    <w:lang w:val="en-US"/>
                  </w:rPr>
                  <m:t xml:space="preserve">. </m:t>
                </m:r>
                <m:sSup>
                  <m:sSupPr>
                    <m:ctrlPr>
                      <w:rPr>
                        <w:rFonts w:ascii="Cambria Math" w:eastAsiaTheme="minorEastAsia" w:hAnsi="Cambria Math" w:cstheme="majorBidi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theme="majorBidi"/>
                        <w:sz w:val="24"/>
                        <w:szCs w:val="24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eastAsiaTheme="minorEastAsia" w:hAnsi="Cambria Math" w:cstheme="majorBidi"/>
                        <w:sz w:val="24"/>
                        <w:szCs w:val="24"/>
                        <w:lang w:val="en-US"/>
                      </w:rPr>
                      <m:t>t</m:t>
                    </m:r>
                  </m:sup>
                </m:sSup>
                <m:r>
                  <w:rPr>
                    <w:rFonts w:ascii="Cambria Math" w:eastAsiaTheme="minorEastAsia" w:hAnsi="Cambria Math" w:cstheme="majorBidi"/>
                    <w:sz w:val="24"/>
                    <w:szCs w:val="24"/>
                    <w:lang w:val="en-US"/>
                  </w:rPr>
                  <m:t xml:space="preserve">tc, oc </m:t>
                </m:r>
              </m:oMath>
            </m:oMathPara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</w:tcPr>
          <w:p w14:paraId="71F59DD8" w14:textId="77777777" w:rsidR="000865F5" w:rsidRPr="00EE4E2B" w:rsidRDefault="000865F5" w:rsidP="000865F5">
            <w:pPr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EE4E2B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(1)</w:t>
            </w:r>
          </w:p>
        </w:tc>
      </w:tr>
    </w:tbl>
    <w:p w14:paraId="7A15A75A" w14:textId="77777777" w:rsidR="006D67A3" w:rsidRPr="00EE4E2B" w:rsidRDefault="006D67A3" w:rsidP="006D67A3">
      <w:pPr>
        <w:spacing w:after="0" w:line="240" w:lineRule="auto"/>
        <w:jc w:val="both"/>
        <w:rPr>
          <w:rFonts w:asciiTheme="majorBidi" w:eastAsiaTheme="minorEastAsia" w:hAnsiTheme="majorBidi" w:cstheme="majorBidi"/>
          <w:sz w:val="24"/>
          <w:szCs w:val="24"/>
          <w:lang w:val="en-US"/>
        </w:rPr>
      </w:pPr>
    </w:p>
    <w:p w14:paraId="5330CC56" w14:textId="41923E3F" w:rsidR="006D67A3" w:rsidRPr="00EE4E2B" w:rsidRDefault="006D67A3" w:rsidP="006D67A3">
      <w:pPr>
        <w:spacing w:after="0" w:line="240" w:lineRule="auto"/>
        <w:jc w:val="both"/>
        <w:rPr>
          <w:rFonts w:asciiTheme="majorBidi" w:eastAsiaTheme="minorEastAsia" w:hAnsiTheme="majorBidi" w:cstheme="majorBidi"/>
          <w:sz w:val="24"/>
          <w:szCs w:val="24"/>
          <w:lang w:val="en-US"/>
        </w:rPr>
      </w:pPr>
      <w:r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where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A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1</m:t>
            </m:r>
          </m:sub>
        </m:sSub>
        <m:r>
          <w:rPr>
            <w:rFonts w:ascii="Cambria Math" w:hAnsi="Cambria Math" w:cstheme="majorBidi"/>
            <w:sz w:val="24"/>
            <w:szCs w:val="24"/>
            <w:lang w:val="en-US"/>
          </w:rPr>
          <m:t>i</m:t>
        </m:r>
      </m:oMath>
      <w:r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is the </w:t>
      </w:r>
      <m:oMath>
        <m:sSup>
          <m:sSupPr>
            <m:ctrlPr>
              <w:rPr>
                <w:rFonts w:ascii="Cambria Math" w:eastAsiaTheme="minorEastAsia" w:hAnsi="Cambria Math" w:cstheme="majorBidi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i</m:t>
            </m:r>
          </m:e>
          <m:sup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th</m:t>
            </m:r>
          </m:sup>
        </m:sSup>
      </m:oMath>
      <w:r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original context value after adjustment, </w:t>
      </w:r>
      <m:oMath>
        <m:sSup>
          <m:sSupPr>
            <m:ctrlPr>
              <w:rPr>
                <w:rFonts w:ascii="Cambria Math" w:hAnsi="Cambria Math" w:cstheme="majorBidi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0</m:t>
            </m:r>
          </m:sup>
        </m:sSup>
        <m:r>
          <w:rPr>
            <w:rFonts w:ascii="Cambria Math" w:hAnsi="Cambria Math" w:cstheme="majorBidi"/>
            <w:sz w:val="24"/>
            <w:szCs w:val="24"/>
            <w:lang w:val="en-US"/>
          </w:rPr>
          <m:t>,oc</m:t>
        </m:r>
      </m:oMath>
      <w:r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is the </w:t>
      </w:r>
      <m:oMath>
        <m:sSup>
          <m:sSupPr>
            <m:ctrlPr>
              <w:rPr>
                <w:rFonts w:ascii="Cambria Math" w:eastAsiaTheme="minorEastAsia" w:hAnsi="Cambria Math" w:cstheme="majorBidi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i</m:t>
            </m:r>
          </m:e>
          <m:sup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th</m:t>
            </m:r>
          </m:sup>
        </m:sSup>
      </m:oMath>
      <w:r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initial original context value and </w:t>
      </w:r>
      <m:oMath>
        <m:sSup>
          <m:sSupPr>
            <m:ctrlPr>
              <w:rPr>
                <w:rFonts w:ascii="Cambria Math" w:eastAsiaTheme="minorEastAsia" w:hAnsi="Cambria Math" w:cstheme="majorBidi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e</m:t>
            </m:r>
          </m:e>
          <m:sup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t</m:t>
            </m:r>
          </m:sup>
        </m:sSup>
        <m:r>
          <w:rPr>
            <w:rFonts w:ascii="Cambria Math" w:eastAsiaTheme="minorEastAsia" w:hAnsi="Cambria Math" w:cstheme="majorBidi"/>
            <w:sz w:val="24"/>
            <w:szCs w:val="24"/>
            <w:lang w:val="en-US"/>
          </w:rPr>
          <m:t>tc, oc</m:t>
        </m:r>
      </m:oMath>
      <w:r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is the currency ratio of the transfer context to the original context at the base year.</w:t>
      </w:r>
      <w:r w:rsidR="002A2E95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For Natural Forests, total value per hectare </w:t>
      </w:r>
      <w:r w:rsidR="003C1117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is </w:t>
      </w:r>
      <w:r w:rsidR="002A2E95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provided by </w:t>
      </w:r>
      <w:r w:rsidR="002A2E95" w:rsidRPr="00B43352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Brenner </w:t>
      </w:r>
      <w:r w:rsidR="002A2E95" w:rsidRPr="00B43352">
        <w:rPr>
          <w:rFonts w:asciiTheme="majorBidi" w:eastAsiaTheme="minorEastAsia" w:hAnsiTheme="majorBidi" w:cstheme="majorBidi"/>
          <w:i/>
          <w:iCs/>
          <w:sz w:val="24"/>
          <w:szCs w:val="24"/>
          <w:lang w:val="en-US"/>
        </w:rPr>
        <w:t>et al</w:t>
      </w:r>
      <w:r w:rsidR="002A2E95" w:rsidRPr="00B43352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. (2013), de Groot </w:t>
      </w:r>
      <w:r w:rsidR="002A2E95" w:rsidRPr="00B43352">
        <w:rPr>
          <w:rFonts w:asciiTheme="majorBidi" w:eastAsiaTheme="minorEastAsia" w:hAnsiTheme="majorBidi" w:cstheme="majorBidi"/>
          <w:i/>
          <w:iCs/>
          <w:sz w:val="24"/>
          <w:szCs w:val="24"/>
          <w:lang w:val="en-US"/>
        </w:rPr>
        <w:t xml:space="preserve">et al. </w:t>
      </w:r>
      <w:r w:rsidR="002A2E95" w:rsidRPr="00B43352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(2013)</w:t>
      </w:r>
      <w:r w:rsidR="002A2E95" w:rsidRPr="006F09E6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and </w:t>
      </w:r>
      <w:r w:rsidR="00083F45" w:rsidRPr="006F09E6">
        <w:rPr>
          <w:rFonts w:asciiTheme="majorBidi" w:eastAsiaTheme="minorEastAsia" w:hAnsiTheme="majorBidi" w:cstheme="majorBidi"/>
          <w:noProof/>
          <w:sz w:val="24"/>
          <w:szCs w:val="24"/>
          <w:lang w:val="en-US"/>
        </w:rPr>
        <w:t>d</w:t>
      </w:r>
      <w:r w:rsidR="001F0E35" w:rsidRPr="006F09E6">
        <w:rPr>
          <w:rFonts w:asciiTheme="majorBidi" w:eastAsiaTheme="minorEastAsia" w:hAnsiTheme="majorBidi" w:cstheme="majorBidi"/>
          <w:noProof/>
          <w:sz w:val="24"/>
          <w:szCs w:val="24"/>
          <w:lang w:val="en-US"/>
        </w:rPr>
        <w:t>e Groot et al. (2012)</w:t>
      </w:r>
      <w:r w:rsidR="003C1117" w:rsidRPr="006F09E6">
        <w:rPr>
          <w:rFonts w:asciiTheme="majorBidi" w:eastAsiaTheme="minorEastAsia" w:hAnsiTheme="majorBidi" w:cstheme="majorBidi"/>
          <w:sz w:val="24"/>
          <w:szCs w:val="24"/>
          <w:lang w:val="en-US"/>
        </w:rPr>
        <w:t>.</w:t>
      </w:r>
      <w:r w:rsidR="001E6736" w:rsidRPr="006F09E6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</w:t>
      </w:r>
      <w:bookmarkStart w:id="0" w:name="_Hlk56758943"/>
      <w:r w:rsidR="00AB5592" w:rsidRPr="006F09E6">
        <w:rPr>
          <w:rFonts w:asciiTheme="majorBidi" w:eastAsiaTheme="minorEastAsia" w:hAnsiTheme="majorBidi" w:cstheme="majorBidi"/>
          <w:sz w:val="24"/>
          <w:szCs w:val="24"/>
          <w:lang w:val="en-US"/>
        </w:rPr>
        <w:t>For Urban Environmen</w:t>
      </w:r>
      <w:r w:rsidR="00AB5592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ts, </w:t>
      </w:r>
      <w:r w:rsidR="00E13733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total value per tree quantities provided by </w:t>
      </w:r>
      <w:r w:rsidR="001F0E35" w:rsidRPr="00EE4E2B">
        <w:rPr>
          <w:rFonts w:asciiTheme="majorBidi" w:eastAsiaTheme="minorEastAsia" w:hAnsiTheme="majorBidi" w:cstheme="majorBidi"/>
          <w:noProof/>
          <w:sz w:val="24"/>
          <w:szCs w:val="24"/>
          <w:lang w:val="en-US"/>
        </w:rPr>
        <w:t>McPherson (2003)</w:t>
      </w:r>
      <w:r w:rsidR="00E13733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, </w:t>
      </w:r>
      <w:r w:rsidR="001F0E35" w:rsidRPr="00EE4E2B">
        <w:rPr>
          <w:rFonts w:asciiTheme="majorBidi" w:eastAsiaTheme="minorEastAsia" w:hAnsiTheme="majorBidi" w:cstheme="majorBidi"/>
          <w:noProof/>
          <w:sz w:val="24"/>
          <w:szCs w:val="24"/>
          <w:lang w:val="en-US"/>
        </w:rPr>
        <w:t>Soares et al. (2011)</w:t>
      </w:r>
      <w:r w:rsidR="00E13733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and</w:t>
      </w:r>
      <w:r w:rsidR="003C1117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</w:t>
      </w:r>
      <w:r w:rsidR="003C1117" w:rsidRPr="00EE4E2B">
        <w:rPr>
          <w:rFonts w:asciiTheme="majorBidi" w:eastAsiaTheme="minorEastAsia" w:hAnsiTheme="majorBidi" w:cstheme="majorBidi"/>
          <w:noProof/>
          <w:sz w:val="24"/>
          <w:szCs w:val="24"/>
          <w:lang w:val="en-US"/>
        </w:rPr>
        <w:t xml:space="preserve">Peper et al. </w:t>
      </w:r>
      <w:r w:rsidR="00280713">
        <w:rPr>
          <w:rFonts w:asciiTheme="majorBidi" w:eastAsiaTheme="minorEastAsia" w:hAnsiTheme="majorBidi" w:cstheme="majorBidi"/>
          <w:noProof/>
          <w:sz w:val="24"/>
          <w:szCs w:val="24"/>
          <w:lang w:val="en-US"/>
        </w:rPr>
        <w:t>(</w:t>
      </w:r>
      <w:r w:rsidR="003C1117" w:rsidRPr="00EE4E2B">
        <w:rPr>
          <w:rFonts w:asciiTheme="majorBidi" w:eastAsiaTheme="minorEastAsia" w:hAnsiTheme="majorBidi" w:cstheme="majorBidi"/>
          <w:noProof/>
          <w:sz w:val="24"/>
          <w:szCs w:val="24"/>
          <w:lang w:val="en-US"/>
        </w:rPr>
        <w:t>2007)</w:t>
      </w:r>
      <w:r w:rsidR="003C1117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</w:t>
      </w:r>
      <w:r w:rsidR="00E13733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are used. </w:t>
      </w:r>
      <w:bookmarkEnd w:id="0"/>
      <w:r w:rsidR="00AB5592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The quantities provided by these studies are converted from U.S dollars to Rands using the average annual exchange rates provided by </w:t>
      </w:r>
      <w:r w:rsidR="00AB5592" w:rsidRPr="008518C1">
        <w:rPr>
          <w:rFonts w:asciiTheme="majorBidi" w:eastAsiaTheme="minorEastAsia" w:hAnsiTheme="majorBidi" w:cstheme="majorBidi"/>
          <w:sz w:val="24"/>
          <w:szCs w:val="24"/>
          <w:lang w:val="en-US"/>
        </w:rPr>
        <w:t>Investing.com (2020)</w:t>
      </w:r>
      <w:r w:rsidR="009559CA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, in accordance </w:t>
      </w:r>
      <w:r w:rsidR="007C3293">
        <w:rPr>
          <w:rFonts w:asciiTheme="majorBidi" w:eastAsiaTheme="minorEastAsia" w:hAnsiTheme="majorBidi" w:cstheme="majorBidi"/>
          <w:sz w:val="24"/>
          <w:szCs w:val="24"/>
          <w:lang w:val="en-US"/>
        </w:rPr>
        <w:t>with</w:t>
      </w:r>
      <w:r w:rsidR="009559CA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equation 1. </w:t>
      </w:r>
      <w:r w:rsidR="00E13733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>These values are then adjusted for CPI using the following equation</w:t>
      </w:r>
      <w:r w:rsidR="007C3293">
        <w:rPr>
          <w:rFonts w:asciiTheme="majorBidi" w:eastAsiaTheme="minorEastAsia" w:hAnsiTheme="majorBidi" w:cstheme="majorBidi"/>
          <w:sz w:val="24"/>
          <w:szCs w:val="24"/>
          <w:lang w:val="en-US"/>
        </w:rPr>
        <w:t>:</w:t>
      </w:r>
    </w:p>
    <w:p w14:paraId="42D6BD78" w14:textId="77777777" w:rsidR="00FC2A52" w:rsidRPr="00EE4E2B" w:rsidRDefault="00FC2A52" w:rsidP="006D67A3">
      <w:pPr>
        <w:spacing w:after="0" w:line="240" w:lineRule="auto"/>
        <w:jc w:val="both"/>
        <w:rPr>
          <w:rFonts w:asciiTheme="majorBidi" w:eastAsiaTheme="minorEastAsia" w:hAnsiTheme="majorBidi" w:cstheme="majorBidi"/>
          <w:sz w:val="24"/>
          <w:szCs w:val="24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30"/>
        <w:gridCol w:w="496"/>
      </w:tblGrid>
      <w:tr w:rsidR="004F6D71" w:rsidRPr="00EE4E2B" w14:paraId="71F296A9" w14:textId="77777777" w:rsidTr="004F6D71">
        <w:tc>
          <w:tcPr>
            <w:tcW w:w="8635" w:type="dxa"/>
          </w:tcPr>
          <w:p w14:paraId="56BA691A" w14:textId="77777777" w:rsidR="004F6D71" w:rsidRPr="00EE4E2B" w:rsidRDefault="00366C8A" w:rsidP="004F6D71">
            <w:pPr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ajorBidi"/>
                    <w:sz w:val="24"/>
                    <w:szCs w:val="24"/>
                    <w:lang w:val="en-US"/>
                  </w:rPr>
                  <m:t>i=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1</m:t>
                    </m:r>
                  </m:sub>
                </m:sSub>
                <m:r>
                  <w:rPr>
                    <w:rFonts w:ascii="Cambria Math" w:hAnsi="Cambria Math" w:cstheme="majorBidi"/>
                    <w:sz w:val="24"/>
                    <w:szCs w:val="24"/>
                    <w:lang w:val="en-US"/>
                  </w:rPr>
                  <m:t>i (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CPI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t</m:t>
                    </m:r>
                  </m:sup>
                </m:sSup>
                <m:r>
                  <w:rPr>
                    <w:rFonts w:ascii="Cambria Math" w:hAnsi="Cambria Math" w:cstheme="majorBidi"/>
                    <w:sz w:val="24"/>
                    <w:szCs w:val="24"/>
                    <w:lang w:val="en-US"/>
                  </w:rPr>
                  <m:t>tc, oc/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CPI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0</m:t>
                    </m:r>
                  </m:sup>
                </m:sSup>
                <m:r>
                  <w:rPr>
                    <w:rFonts w:ascii="Cambria Math" w:hAnsi="Cambria Math" w:cstheme="majorBidi"/>
                    <w:sz w:val="24"/>
                    <w:szCs w:val="24"/>
                    <w:lang w:val="en-US"/>
                  </w:rPr>
                  <m:t>tc, 0)</m:t>
                </m:r>
              </m:oMath>
            </m:oMathPara>
          </w:p>
          <w:p w14:paraId="5503FA3E" w14:textId="77777777" w:rsidR="004F6D71" w:rsidRPr="00EE4E2B" w:rsidRDefault="004F6D71" w:rsidP="006D67A3">
            <w:pPr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81" w:type="dxa"/>
          </w:tcPr>
          <w:p w14:paraId="14A3FB76" w14:textId="29A83303" w:rsidR="004F6D71" w:rsidRPr="00EE4E2B" w:rsidRDefault="004F6D71" w:rsidP="006D67A3">
            <w:pPr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val="en-US"/>
              </w:rPr>
            </w:pPr>
            <w:r w:rsidRPr="00EE4E2B">
              <w:rPr>
                <w:rFonts w:asciiTheme="majorBidi" w:eastAsiaTheme="minorEastAsia" w:hAnsiTheme="majorBidi" w:cstheme="majorBidi"/>
                <w:sz w:val="24"/>
                <w:szCs w:val="24"/>
                <w:lang w:val="en-US"/>
              </w:rPr>
              <w:t>(2)</w:t>
            </w:r>
          </w:p>
        </w:tc>
      </w:tr>
    </w:tbl>
    <w:p w14:paraId="0BF7BCFC" w14:textId="334EB1DB" w:rsidR="006D67A3" w:rsidRDefault="006D67A3" w:rsidP="006D67A3">
      <w:pPr>
        <w:spacing w:after="0" w:line="240" w:lineRule="auto"/>
        <w:jc w:val="both"/>
        <w:rPr>
          <w:rFonts w:asciiTheme="majorBidi" w:eastAsiaTheme="minorEastAsia" w:hAnsiTheme="majorBidi" w:cstheme="majorBidi"/>
          <w:sz w:val="24"/>
          <w:szCs w:val="24"/>
          <w:lang w:val="en-US"/>
        </w:rPr>
      </w:pPr>
      <w:r w:rsidRPr="00EE4E2B">
        <w:rPr>
          <w:rFonts w:asciiTheme="majorBidi" w:hAnsiTheme="majorBidi" w:cstheme="majorBidi"/>
          <w:sz w:val="24"/>
          <w:szCs w:val="24"/>
          <w:lang w:val="en-US"/>
        </w:rPr>
        <w:t xml:space="preserve">where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A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2</m:t>
            </m:r>
          </m:sub>
        </m:sSub>
        <m:r>
          <w:rPr>
            <w:rFonts w:ascii="Cambria Math" w:hAnsi="Cambria Math" w:cstheme="majorBidi"/>
            <w:sz w:val="24"/>
            <w:szCs w:val="24"/>
            <w:lang w:val="en-US"/>
          </w:rPr>
          <m:t>i</m:t>
        </m:r>
      </m:oMath>
      <w:r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is the  </w:t>
      </w:r>
      <m:oMath>
        <m:sSup>
          <m:sSupPr>
            <m:ctrlPr>
              <w:rPr>
                <w:rFonts w:ascii="Cambria Math" w:eastAsiaTheme="minorEastAsia" w:hAnsi="Cambria Math" w:cstheme="majorBidi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i</m:t>
            </m:r>
          </m:e>
          <m:sup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th</m:t>
            </m:r>
          </m:sup>
        </m:sSup>
      </m:oMath>
      <w:r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original context value after second adjustment, is the  </w:t>
      </w:r>
      <m:oMath>
        <m:sSup>
          <m:sSupPr>
            <m:ctrlPr>
              <w:rPr>
                <w:rFonts w:ascii="Cambria Math" w:eastAsiaTheme="minorEastAsia" w:hAnsi="Cambria Math" w:cstheme="majorBidi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i</m:t>
            </m:r>
          </m:e>
          <m:sup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th</m:t>
            </m:r>
          </m:sup>
        </m:sSup>
      </m:oMath>
      <w:r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original context value after first adjustment, </w:t>
      </w:r>
      <m:oMath>
        <m:sSup>
          <m:sSupPr>
            <m:ctrlPr>
              <w:rPr>
                <w:rFonts w:ascii="Cambria Math" w:hAnsi="Cambria Math" w:cstheme="majorBidi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CPI</m:t>
            </m:r>
          </m:e>
          <m:sup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t</m:t>
            </m:r>
          </m:sup>
        </m:sSup>
        <m:r>
          <w:rPr>
            <w:rFonts w:ascii="Cambria Math" w:hAnsi="Cambria Math" w:cstheme="majorBidi"/>
            <w:sz w:val="24"/>
            <w:szCs w:val="24"/>
            <w:lang w:val="en-US"/>
          </w:rPr>
          <m:t>tc, oc</m:t>
        </m:r>
      </m:oMath>
      <w:r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is the CPI of the transfer context/country for the current year and </w:t>
      </w:r>
      <m:oMath>
        <m:sSup>
          <m:sSupPr>
            <m:ctrlPr>
              <w:rPr>
                <w:rFonts w:ascii="Cambria Math" w:hAnsi="Cambria Math" w:cstheme="majorBidi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CPI</m:t>
            </m:r>
          </m:e>
          <m:sup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0</m:t>
            </m:r>
          </m:sup>
        </m:sSup>
        <m:r>
          <w:rPr>
            <w:rFonts w:ascii="Cambria Math" w:hAnsi="Cambria Math" w:cstheme="majorBidi"/>
            <w:sz w:val="24"/>
            <w:szCs w:val="24"/>
            <w:lang w:val="en-US"/>
          </w:rPr>
          <m:t>tc, 0</m:t>
        </m:r>
      </m:oMath>
      <w:r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is the CPI of the transfer context/country for the initial year / study date</w:t>
      </w:r>
      <w:r w:rsidR="009559CA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. CPI, or the Consumer Price Index, measures the monthly changes in prices for a range of consumer products, with these changes recording the rate of inflation </w:t>
      </w:r>
      <w:r w:rsidR="009559CA" w:rsidRPr="008518C1">
        <w:rPr>
          <w:rFonts w:asciiTheme="majorBidi" w:eastAsiaTheme="minorEastAsia" w:hAnsiTheme="majorBidi" w:cstheme="majorBidi"/>
          <w:sz w:val="24"/>
          <w:szCs w:val="24"/>
          <w:lang w:val="en-US"/>
        </w:rPr>
        <w:t>(</w:t>
      </w:r>
      <w:proofErr w:type="spellStart"/>
      <w:r w:rsidR="009559CA" w:rsidRPr="008518C1">
        <w:rPr>
          <w:rFonts w:asciiTheme="majorBidi" w:eastAsiaTheme="minorEastAsia" w:hAnsiTheme="majorBidi" w:cstheme="majorBidi"/>
          <w:sz w:val="24"/>
          <w:szCs w:val="24"/>
          <w:lang w:val="en-US"/>
        </w:rPr>
        <w:t>StatsSA</w:t>
      </w:r>
      <w:proofErr w:type="spellEnd"/>
      <w:r w:rsidR="009559CA" w:rsidRPr="008518C1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2013)</w:t>
      </w:r>
      <w:r w:rsidR="009559CA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. This adjustment allows for the values obtained by equation 1 to be represented in </w:t>
      </w:r>
      <w:r w:rsidR="007C3293">
        <w:rPr>
          <w:rFonts w:asciiTheme="majorBidi" w:eastAsiaTheme="minorEastAsia" w:hAnsiTheme="majorBidi" w:cstheme="majorBidi"/>
          <w:sz w:val="24"/>
          <w:szCs w:val="24"/>
          <w:lang w:val="en-US"/>
        </w:rPr>
        <w:t>current</w:t>
      </w:r>
      <w:r w:rsidR="009559CA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prices. </w:t>
      </w:r>
      <w:r w:rsidR="00B46B6D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The CPI headline year-on-year rates are obtained from </w:t>
      </w:r>
      <w:proofErr w:type="spellStart"/>
      <w:r w:rsidR="00B46B6D" w:rsidRPr="008518C1">
        <w:rPr>
          <w:rFonts w:asciiTheme="majorBidi" w:eastAsiaTheme="minorEastAsia" w:hAnsiTheme="majorBidi" w:cstheme="majorBidi"/>
          <w:sz w:val="24"/>
          <w:szCs w:val="24"/>
          <w:lang w:val="en-US"/>
        </w:rPr>
        <w:t>StatsSA</w:t>
      </w:r>
      <w:proofErr w:type="spellEnd"/>
      <w:r w:rsidR="00B46B6D" w:rsidRPr="008518C1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(2020)</w:t>
      </w:r>
      <w:r w:rsidR="00E13733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>. Finally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>, the per tree values for Urban Environments are adjusted for the PPP-GDP using the following equation:</w:t>
      </w:r>
    </w:p>
    <w:p w14:paraId="71F774E8" w14:textId="77777777" w:rsidR="00E4365F" w:rsidRPr="00F76618" w:rsidRDefault="00E4365F" w:rsidP="006D67A3">
      <w:pPr>
        <w:spacing w:after="0" w:line="240" w:lineRule="auto"/>
        <w:jc w:val="both"/>
        <w:rPr>
          <w:rFonts w:asciiTheme="majorBidi" w:eastAsiaTheme="minorEastAsia" w:hAnsiTheme="majorBidi" w:cstheme="majorBidi"/>
          <w:sz w:val="24"/>
          <w:szCs w:val="24"/>
          <w:lang w:val="en-US"/>
        </w:rPr>
      </w:pPr>
    </w:p>
    <w:tbl>
      <w:tblPr>
        <w:tblStyle w:val="TableGrid"/>
        <w:tblpPr w:leftFromText="180" w:rightFromText="180" w:vertAnchor="text" w:horzAnchor="margin" w:tblpY="-36"/>
        <w:tblW w:w="91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10"/>
        <w:gridCol w:w="501"/>
      </w:tblGrid>
      <w:tr w:rsidR="00E4365F" w14:paraId="6BA521F5" w14:textId="77777777" w:rsidTr="00E4365F">
        <w:trPr>
          <w:trHeight w:val="367"/>
        </w:trPr>
        <w:tc>
          <w:tcPr>
            <w:tcW w:w="8610" w:type="dxa"/>
          </w:tcPr>
          <w:p w14:paraId="06B504BC" w14:textId="2F1BA46E" w:rsidR="00E4365F" w:rsidRDefault="00366C8A" w:rsidP="00E4365F">
            <w:pPr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3</m:t>
                    </m:r>
                  </m:sub>
                </m:sSub>
                <m:r>
                  <w:rPr>
                    <w:rFonts w:ascii="Cambria Math" w:hAnsi="Cambria Math" w:cstheme="majorBidi"/>
                    <w:sz w:val="24"/>
                    <w:szCs w:val="24"/>
                    <w:lang w:val="en-US"/>
                  </w:rPr>
                  <m:t xml:space="preserve">i= </m:t>
                </m:r>
                <m:sSub>
                  <m:sSub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2</m:t>
                    </m:r>
                  </m:sub>
                </m:sSub>
                <m:r>
                  <w:rPr>
                    <w:rFonts w:ascii="Cambria Math" w:hAnsi="Cambria Math" w:cstheme="majorBidi"/>
                    <w:sz w:val="24"/>
                    <w:szCs w:val="24"/>
                    <w:lang w:val="en-US"/>
                  </w:rPr>
                  <m:t xml:space="preserve">i </m:t>
                </m:r>
                <m:sSup>
                  <m:sSupPr>
                    <m:ctrlPr>
                      <w:rPr>
                        <w:rFonts w:ascii="Cambria Math" w:hAnsi="Cambria Math" w:cstheme="majorBidi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(</m:t>
                    </m:r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  <w:lang w:val="en-US"/>
                          </w:rPr>
                          <m:t>GDP</m:t>
                        </m:r>
                      </m:e>
                      <m:sup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  <w:lang w:val="en-US"/>
                          </w:rPr>
                          <m:t>t</m:t>
                        </m:r>
                      </m:sup>
                    </m:sSup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 xml:space="preserve">tc/ </m:t>
                    </m:r>
                    <m:sSup>
                      <m:sSupPr>
                        <m:ctrlPr>
                          <w:rPr>
                            <w:rFonts w:ascii="Cambria Math" w:hAnsi="Cambria Math" w:cstheme="majorBidi"/>
                            <w:i/>
                            <w:sz w:val="24"/>
                            <w:szCs w:val="24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  <w:lang w:val="en-US"/>
                          </w:rPr>
                          <m:t>GDP</m:t>
                        </m:r>
                      </m:e>
                      <m:sup>
                        <m:r>
                          <w:rPr>
                            <w:rFonts w:ascii="Cambria Math" w:hAnsi="Cambria Math" w:cstheme="majorBidi"/>
                            <w:sz w:val="24"/>
                            <w:szCs w:val="24"/>
                            <w:lang w:val="en-US"/>
                          </w:rPr>
                          <m:t>t</m:t>
                        </m:r>
                      </m:sup>
                    </m:sSup>
                    <m:r>
                      <w:rPr>
                        <w:rFonts w:ascii="Cambria Math" w:eastAsiaTheme="minorEastAsia" w:hAnsi="Cambria Math" w:cstheme="majorBidi"/>
                        <w:sz w:val="24"/>
                        <w:szCs w:val="24"/>
                        <w:lang w:val="en-US"/>
                      </w:rPr>
                      <m:t>oc)</m:t>
                    </m:r>
                  </m:e>
                  <m:sup>
                    <m:r>
                      <w:rPr>
                        <w:rFonts w:ascii="Cambria Math" w:hAnsi="Cambria Math" w:cstheme="majorBidi"/>
                        <w:sz w:val="24"/>
                        <w:szCs w:val="24"/>
                        <w:lang w:val="en-US"/>
                      </w:rPr>
                      <m:t>ε</m:t>
                    </m:r>
                  </m:sup>
                </m:sSup>
              </m:oMath>
            </m:oMathPara>
          </w:p>
        </w:tc>
        <w:tc>
          <w:tcPr>
            <w:tcW w:w="501" w:type="dxa"/>
          </w:tcPr>
          <w:p w14:paraId="698342C3" w14:textId="77777777" w:rsidR="00E4365F" w:rsidRDefault="00E4365F" w:rsidP="00E4365F">
            <w:pPr>
              <w:jc w:val="both"/>
              <w:rPr>
                <w:rFonts w:asciiTheme="majorBidi" w:eastAsiaTheme="minorEastAsia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eastAsiaTheme="minorEastAsia" w:hAnsiTheme="majorBidi" w:cstheme="majorBidi"/>
                <w:sz w:val="24"/>
                <w:szCs w:val="24"/>
                <w:lang w:val="en-US"/>
              </w:rPr>
              <w:t>(3)</w:t>
            </w:r>
          </w:p>
        </w:tc>
      </w:tr>
    </w:tbl>
    <w:p w14:paraId="1D59743B" w14:textId="29061710" w:rsidR="00A76FC2" w:rsidRDefault="006D67A3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where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A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3</m:t>
            </m:r>
          </m:sub>
        </m:sSub>
        <m:r>
          <w:rPr>
            <w:rFonts w:ascii="Cambria Math" w:hAnsi="Cambria Math" w:cstheme="majorBidi"/>
            <w:sz w:val="24"/>
            <w:szCs w:val="24"/>
            <w:lang w:val="en-US"/>
          </w:rPr>
          <m:t>i</m:t>
        </m:r>
      </m:oMath>
      <w:r w:rsidRPr="00F7661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is the </w:t>
      </w:r>
      <m:oMath>
        <m:sSup>
          <m:sSupPr>
            <m:ctrlPr>
              <w:rPr>
                <w:rFonts w:ascii="Cambria Math" w:eastAsiaTheme="minorEastAsia" w:hAnsi="Cambria Math" w:cstheme="majorBidi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i</m:t>
            </m:r>
          </m:e>
          <m:sup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th</m:t>
            </m:r>
          </m:sup>
        </m:sSup>
      </m:oMath>
      <w:r w:rsidRPr="00F7661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original context value after third adjustment, </w:t>
      </w:r>
      <m:oMath>
        <m:sSub>
          <m:sSubPr>
            <m:ctrlPr>
              <w:rPr>
                <w:rFonts w:ascii="Cambria Math" w:hAnsi="Cambria Math" w:cstheme="majorBidi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A</m:t>
            </m:r>
          </m:e>
          <m:sub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2</m:t>
            </m:r>
          </m:sub>
        </m:sSub>
        <m:r>
          <w:rPr>
            <w:rFonts w:ascii="Cambria Math" w:hAnsi="Cambria Math" w:cstheme="majorBidi"/>
            <w:sz w:val="24"/>
            <w:szCs w:val="24"/>
            <w:lang w:val="en-US"/>
          </w:rPr>
          <m:t>i</m:t>
        </m:r>
      </m:oMath>
      <w:r w:rsidRPr="00F7661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is the  </w:t>
      </w:r>
      <m:oMath>
        <m:sSup>
          <m:sSupPr>
            <m:ctrlPr>
              <w:rPr>
                <w:rFonts w:ascii="Cambria Math" w:eastAsiaTheme="minorEastAsia" w:hAnsi="Cambria Math" w:cstheme="majorBidi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i</m:t>
            </m:r>
          </m:e>
          <m:sup>
            <m:r>
              <w:rPr>
                <w:rFonts w:ascii="Cambria Math" w:eastAsiaTheme="minorEastAsia" w:hAnsi="Cambria Math" w:cstheme="majorBidi"/>
                <w:sz w:val="24"/>
                <w:szCs w:val="24"/>
                <w:lang w:val="en-US"/>
              </w:rPr>
              <m:t>th</m:t>
            </m:r>
          </m:sup>
        </m:sSup>
      </m:oMath>
      <w:r w:rsidRPr="00F7661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original context value after second adjustment, </w:t>
      </w:r>
      <m:oMath>
        <m:sSup>
          <m:sSupPr>
            <m:ctrlPr>
              <w:rPr>
                <w:rFonts w:ascii="Cambria Math" w:hAnsi="Cambria Math" w:cstheme="majorBidi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GDP</m:t>
            </m:r>
          </m:e>
          <m:sup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t</m:t>
            </m:r>
          </m:sup>
        </m:sSup>
        <m:r>
          <w:rPr>
            <w:rFonts w:ascii="Cambria Math" w:hAnsi="Cambria Math" w:cstheme="majorBidi"/>
            <w:sz w:val="24"/>
            <w:szCs w:val="24"/>
            <w:lang w:val="en-US"/>
          </w:rPr>
          <m:t>tc</m:t>
        </m:r>
      </m:oMath>
      <w:r w:rsidRPr="00F7661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is the PPP G</w:t>
      </w:r>
      <w:r w:rsidR="004348DB">
        <w:rPr>
          <w:rFonts w:asciiTheme="majorBidi" w:eastAsiaTheme="minorEastAsia" w:hAnsiTheme="majorBidi" w:cstheme="majorBidi"/>
          <w:sz w:val="24"/>
          <w:szCs w:val="24"/>
          <w:lang w:val="en-US"/>
        </w:rPr>
        <w:t>DP</w:t>
      </w:r>
      <w:r w:rsidRPr="00F7661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of the transfer </w:t>
      </w:r>
      <w:r w:rsidRPr="00F76618">
        <w:rPr>
          <w:rFonts w:asciiTheme="majorBidi" w:eastAsiaTheme="minorEastAsia" w:hAnsiTheme="majorBidi" w:cstheme="majorBidi"/>
          <w:sz w:val="24"/>
          <w:szCs w:val="24"/>
          <w:lang w:val="en-US"/>
        </w:rPr>
        <w:lastRenderedPageBreak/>
        <w:t xml:space="preserve">context/country for the current year, the </w:t>
      </w:r>
      <m:oMath>
        <m:sSup>
          <m:sSupPr>
            <m:ctrlPr>
              <w:rPr>
                <w:rFonts w:ascii="Cambria Math" w:hAnsi="Cambria Math" w:cstheme="majorBidi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GDP</m:t>
            </m:r>
          </m:e>
          <m:sup>
            <m:r>
              <w:rPr>
                <w:rFonts w:ascii="Cambria Math" w:hAnsi="Cambria Math" w:cstheme="majorBidi"/>
                <w:sz w:val="24"/>
                <w:szCs w:val="24"/>
                <w:lang w:val="en-US"/>
              </w:rPr>
              <m:t>t</m:t>
            </m:r>
          </m:sup>
        </m:sSup>
        <m:r>
          <w:rPr>
            <w:rFonts w:ascii="Cambria Math" w:eastAsiaTheme="minorEastAsia" w:hAnsi="Cambria Math" w:cstheme="majorBidi"/>
            <w:sz w:val="24"/>
            <w:szCs w:val="24"/>
            <w:lang w:val="en-US"/>
          </w:rPr>
          <m:t>oc</m:t>
        </m:r>
      </m:oMath>
      <w:r w:rsidRPr="00F7661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is the PPP </w:t>
      </w:r>
      <w:r w:rsidR="004348DB">
        <w:rPr>
          <w:rFonts w:asciiTheme="majorBidi" w:eastAsiaTheme="minorEastAsia" w:hAnsiTheme="majorBidi" w:cstheme="majorBidi"/>
          <w:sz w:val="24"/>
          <w:szCs w:val="24"/>
          <w:lang w:val="en-US"/>
        </w:rPr>
        <w:t>GDP</w:t>
      </w:r>
      <w:r w:rsidRPr="00F7661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of the original context/country for the current year and </w:t>
      </w:r>
      <m:oMath>
        <m:r>
          <w:rPr>
            <w:rFonts w:ascii="Cambria Math" w:eastAsiaTheme="minorEastAsia" w:hAnsi="Cambria Math" w:cstheme="majorBidi"/>
            <w:sz w:val="24"/>
            <w:szCs w:val="24"/>
            <w:lang w:val="en-US"/>
          </w:rPr>
          <m:t>ε</m:t>
        </m:r>
      </m:oMath>
      <w:r w:rsidRPr="00F7661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is the income elasticity </w:t>
      </w:r>
      <w:r w:rsidRPr="006A009E">
        <w:rPr>
          <w:rFonts w:asciiTheme="majorBidi" w:eastAsiaTheme="minorEastAsia" w:hAnsiTheme="majorBidi" w:cstheme="majorBidi"/>
          <w:sz w:val="24"/>
          <w:szCs w:val="24"/>
          <w:lang w:val="en-US"/>
        </w:rPr>
        <w:t>of demand for environmental quality.</w:t>
      </w:r>
      <w:r w:rsidR="006A009E" w:rsidRPr="006A009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</w:t>
      </w:r>
      <w:r w:rsidR="006A009E">
        <w:rPr>
          <w:rFonts w:asciiTheme="majorBidi" w:eastAsiaTheme="minorEastAsia" w:hAnsiTheme="majorBidi" w:cstheme="majorBidi"/>
          <w:sz w:val="24"/>
          <w:szCs w:val="24"/>
          <w:lang w:val="en-US"/>
        </w:rPr>
        <w:t>The</w:t>
      </w:r>
      <w:r w:rsidR="006A009E" w:rsidRPr="006A009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GDP</w:t>
      </w:r>
      <w:r w:rsidR="009B057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>(</w:t>
      </w:r>
      <w:r w:rsidR="00E13733" w:rsidRPr="006A009E">
        <w:rPr>
          <w:rFonts w:asciiTheme="majorBidi" w:eastAsiaTheme="minorEastAsia" w:hAnsiTheme="majorBidi" w:cstheme="majorBidi"/>
          <w:sz w:val="24"/>
          <w:szCs w:val="24"/>
          <w:lang w:val="en-US"/>
        </w:rPr>
        <w:t>PPP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>)</w:t>
      </w:r>
      <w:r w:rsidR="006A009E" w:rsidRPr="006A009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adjustment </w:t>
      </w:r>
      <w:r w:rsidR="00A064D1">
        <w:rPr>
          <w:rFonts w:asciiTheme="majorBidi" w:eastAsiaTheme="minorEastAsia" w:hAnsiTheme="majorBidi" w:cstheme="majorBidi"/>
          <w:sz w:val="24"/>
          <w:szCs w:val="24"/>
          <w:lang w:val="en-US"/>
        </w:rPr>
        <w:t>captures the conversion of the</w:t>
      </w:r>
      <w:r w:rsidR="006A009E" w:rsidRPr="006A009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gross domestic product to international dollars using purchasing power parity rates. An international dollar has the same purchasing power over GDP as a U.S. dollar has in the United States. Purchasing power parities (PPPs) are the rates of </w:t>
      </w:r>
      <w:r w:rsidR="006A009E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currency conversion that eliminate the differences in price levels between countries </w:t>
      </w:r>
      <w:r w:rsidR="006A009E" w:rsidRPr="008518C1">
        <w:rPr>
          <w:rFonts w:asciiTheme="majorBidi" w:eastAsiaTheme="minorEastAsia" w:hAnsiTheme="majorBidi" w:cstheme="majorBidi"/>
          <w:sz w:val="24"/>
          <w:szCs w:val="24"/>
          <w:lang w:val="en-US"/>
        </w:rPr>
        <w:t>(Global Finance, 2020)</w:t>
      </w:r>
      <w:r w:rsidR="006A009E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>. This allows for Equation 2’s values to capture the different income levels from the original</w:t>
      </w:r>
      <w:r w:rsidR="006A009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study, to the local study. To prevent </w:t>
      </w:r>
      <w:proofErr w:type="gramStart"/>
      <w:r w:rsidR="006A009E">
        <w:rPr>
          <w:rFonts w:asciiTheme="majorBidi" w:eastAsiaTheme="minorEastAsia" w:hAnsiTheme="majorBidi" w:cstheme="majorBidi"/>
          <w:sz w:val="24"/>
          <w:szCs w:val="24"/>
          <w:lang w:val="en-US"/>
        </w:rPr>
        <w:t>double-counting</w:t>
      </w:r>
      <w:proofErr w:type="gramEnd"/>
      <w:r w:rsidR="006A009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, this step was omitted for Natural Forests as the original studies had already adjusted the 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local </w:t>
      </w:r>
      <w:r w:rsidR="006A009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values to the international 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>dollar’s</w:t>
      </w:r>
      <w:r w:rsidR="006A009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metric. 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>For Urban Environments, the GDP</w:t>
      </w:r>
      <w:r w:rsidR="009B057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per capita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(PPP) conversion values are obtained from </w:t>
      </w:r>
      <w:r w:rsidR="00F1665E">
        <w:rPr>
          <w:rFonts w:asciiTheme="majorBidi" w:eastAsiaTheme="minorEastAsia" w:hAnsiTheme="majorBidi" w:cstheme="majorBidi"/>
          <w:sz w:val="24"/>
          <w:szCs w:val="24"/>
          <w:lang w:val="en-US"/>
        </w:rPr>
        <w:t>t</w:t>
      </w:r>
      <w:r w:rsidR="00014268">
        <w:rPr>
          <w:rFonts w:asciiTheme="majorBidi" w:eastAsiaTheme="minorEastAsia" w:hAnsiTheme="majorBidi" w:cstheme="majorBidi"/>
          <w:sz w:val="24"/>
          <w:szCs w:val="24"/>
          <w:lang w:val="en-US"/>
        </w:rPr>
        <w:t>he World Bank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(2020), with the ‘World’ GDP </w:t>
      </w:r>
      <w:r w:rsidR="009B057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per capita 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>(PPP) equating to</w:t>
      </w:r>
      <w:r w:rsidR="0001426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</w:t>
      </w:r>
      <w:r w:rsidR="001B56D8">
        <w:rPr>
          <w:rFonts w:asciiTheme="majorBidi" w:eastAsiaTheme="minorEastAsia" w:hAnsiTheme="majorBidi" w:cstheme="majorBidi"/>
          <w:sz w:val="24"/>
          <w:szCs w:val="24"/>
          <w:lang w:val="en-US"/>
        </w:rPr>
        <w:t>I</w:t>
      </w:r>
      <w:r w:rsidR="0001426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nt. 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</w:t>
      </w:r>
      <w:r w:rsidR="00014268">
        <w:rPr>
          <w:rFonts w:asciiTheme="majorBidi" w:eastAsiaTheme="minorEastAsia" w:hAnsiTheme="majorBidi" w:cstheme="majorBidi"/>
          <w:sz w:val="24"/>
          <w:szCs w:val="24"/>
          <w:lang w:val="en-US"/>
        </w:rPr>
        <w:t>$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17 680.20 and the South African GDP </w:t>
      </w:r>
      <w:r w:rsidR="009B057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per capita 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>(PPP) equating to</w:t>
      </w:r>
      <w:r w:rsidR="0001426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</w:t>
      </w:r>
      <w:r w:rsidR="001B56D8">
        <w:rPr>
          <w:rFonts w:asciiTheme="majorBidi" w:eastAsiaTheme="minorEastAsia" w:hAnsiTheme="majorBidi" w:cstheme="majorBidi"/>
          <w:sz w:val="24"/>
          <w:szCs w:val="24"/>
          <w:lang w:val="en-US"/>
        </w:rPr>
        <w:t>I</w:t>
      </w:r>
      <w:r w:rsidR="00014268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nt. 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</w:t>
      </w:r>
      <w:r w:rsidR="00014268">
        <w:rPr>
          <w:rFonts w:asciiTheme="majorBidi" w:eastAsiaTheme="minorEastAsia" w:hAnsiTheme="majorBidi" w:cstheme="majorBidi"/>
          <w:sz w:val="24"/>
          <w:szCs w:val="24"/>
          <w:lang w:val="en-US"/>
        </w:rPr>
        <w:t>$</w:t>
      </w:r>
      <w:r w:rsidR="00E13733">
        <w:rPr>
          <w:rFonts w:asciiTheme="majorBidi" w:eastAsiaTheme="minorEastAsia" w:hAnsiTheme="majorBidi" w:cstheme="majorBidi"/>
          <w:sz w:val="24"/>
          <w:szCs w:val="24"/>
          <w:lang w:val="en-US"/>
        </w:rPr>
        <w:t>12 999.10.</w:t>
      </w:r>
      <w:r w:rsidR="00FD457E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 To obtain the int. $ Gross Production Values, the rand values for Avocado Trees and Black Wattle are converted using this </w:t>
      </w:r>
      <w:r w:rsidR="00FD457E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 xml:space="preserve">formula with the same ‘World’ and South African GDP per capita (PPP) values provided by </w:t>
      </w:r>
      <w:r w:rsidR="00F1665E">
        <w:rPr>
          <w:rFonts w:asciiTheme="majorBidi" w:eastAsiaTheme="minorEastAsia" w:hAnsiTheme="majorBidi" w:cstheme="majorBidi"/>
          <w:sz w:val="24"/>
          <w:szCs w:val="24"/>
          <w:lang w:val="en-US"/>
        </w:rPr>
        <w:t>t</w:t>
      </w:r>
      <w:r w:rsidR="00FD457E" w:rsidRPr="008518C1">
        <w:rPr>
          <w:rFonts w:asciiTheme="majorBidi" w:eastAsiaTheme="minorEastAsia" w:hAnsiTheme="majorBidi" w:cstheme="majorBidi"/>
          <w:sz w:val="24"/>
          <w:szCs w:val="24"/>
          <w:lang w:val="en-US"/>
        </w:rPr>
        <w:t>he World Bank (2020)</w:t>
      </w:r>
      <w:r w:rsidR="00FD457E" w:rsidRPr="00EE4E2B">
        <w:rPr>
          <w:rFonts w:asciiTheme="majorBidi" w:eastAsiaTheme="minorEastAsia" w:hAnsiTheme="majorBidi" w:cstheme="majorBidi"/>
          <w:sz w:val="24"/>
          <w:szCs w:val="24"/>
          <w:lang w:val="en-US"/>
        </w:rPr>
        <w:t>.</w:t>
      </w:r>
    </w:p>
    <w:p w14:paraId="3331F268" w14:textId="77777777" w:rsidR="00853D2A" w:rsidRDefault="00853D2A" w:rsidP="00A76F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DAC621C" w14:textId="22978628" w:rsidR="00A76FC2" w:rsidRPr="005558EC" w:rsidRDefault="00A76FC2" w:rsidP="00A76FC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558EC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S2 Adjusted Total Economic Value (TEV) for natural forests in South Africa (2019 Int. $/ha)</w:t>
      </w:r>
    </w:p>
    <w:p w14:paraId="15F3BF4E" w14:textId="77777777" w:rsidR="00A76FC2" w:rsidRPr="004066FF" w:rsidRDefault="00A76FC2" w:rsidP="00A76FC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0"/>
        <w:gridCol w:w="2250"/>
      </w:tblGrid>
      <w:tr w:rsidR="00A76FC2" w:rsidRPr="00D66BCE" w14:paraId="0FF20FA5" w14:textId="77777777" w:rsidTr="00C91237">
        <w:trPr>
          <w:trHeight w:val="267"/>
        </w:trPr>
        <w:tc>
          <w:tcPr>
            <w:tcW w:w="2250" w:type="dxa"/>
            <w:noWrap/>
            <w:hideMark/>
          </w:tcPr>
          <w:p w14:paraId="793C7BF9" w14:textId="22EA0571" w:rsidR="00A76FC2" w:rsidRPr="004066FF" w:rsidRDefault="00A76FC2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FF">
              <w:rPr>
                <w:rFonts w:ascii="Times New Roman" w:hAnsi="Times New Roman" w:cs="Times New Roman"/>
                <w:sz w:val="24"/>
                <w:szCs w:val="24"/>
              </w:rPr>
              <w:t>Value per hectare</w:t>
            </w:r>
          </w:p>
        </w:tc>
        <w:tc>
          <w:tcPr>
            <w:tcW w:w="2250" w:type="dxa"/>
          </w:tcPr>
          <w:p w14:paraId="206CFB51" w14:textId="77777777" w:rsidR="00A76FC2" w:rsidRPr="004066FF" w:rsidRDefault="00A76FC2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FF">
              <w:rPr>
                <w:rFonts w:ascii="Times New Roman" w:hAnsi="Times New Roman" w:cs="Times New Roman"/>
                <w:sz w:val="24"/>
                <w:szCs w:val="24"/>
              </w:rPr>
              <w:t>Original study</w:t>
            </w:r>
          </w:p>
        </w:tc>
      </w:tr>
      <w:tr w:rsidR="00A76FC2" w:rsidRPr="00D66BCE" w14:paraId="18A98B79" w14:textId="77777777" w:rsidTr="00C91237">
        <w:trPr>
          <w:trHeight w:val="267"/>
        </w:trPr>
        <w:tc>
          <w:tcPr>
            <w:tcW w:w="2250" w:type="dxa"/>
            <w:noWrap/>
            <w:hideMark/>
          </w:tcPr>
          <w:p w14:paraId="544EEFC7" w14:textId="25AEFA0A" w:rsidR="00A76FC2" w:rsidRPr="004066FF" w:rsidRDefault="00A76FC2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6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13C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6FF">
              <w:rPr>
                <w:rFonts w:ascii="Times New Roman" w:hAnsi="Times New Roman" w:cs="Times New Roman"/>
                <w:sz w:val="24"/>
                <w:szCs w:val="24"/>
              </w:rPr>
              <w:t>260.80</w:t>
            </w:r>
          </w:p>
        </w:tc>
        <w:tc>
          <w:tcPr>
            <w:tcW w:w="2250" w:type="dxa"/>
          </w:tcPr>
          <w:p w14:paraId="73518007" w14:textId="77777777" w:rsidR="00A76FC2" w:rsidRPr="004066FF" w:rsidRDefault="00A76FC2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FF">
              <w:rPr>
                <w:rFonts w:ascii="Times New Roman" w:hAnsi="Times New Roman" w:cs="Times New Roman"/>
                <w:sz w:val="24"/>
                <w:szCs w:val="24"/>
              </w:rPr>
              <w:t>De Groot et al (2012)</w:t>
            </w:r>
          </w:p>
        </w:tc>
      </w:tr>
      <w:tr w:rsidR="00A76FC2" w:rsidRPr="00D66BCE" w14:paraId="615AB3AA" w14:textId="77777777" w:rsidTr="00C91237">
        <w:trPr>
          <w:trHeight w:val="267"/>
        </w:trPr>
        <w:tc>
          <w:tcPr>
            <w:tcW w:w="2250" w:type="dxa"/>
            <w:noWrap/>
            <w:hideMark/>
          </w:tcPr>
          <w:p w14:paraId="3B586F68" w14:textId="45724EDA" w:rsidR="00A76FC2" w:rsidRPr="004066FF" w:rsidRDefault="00A76FC2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6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13C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6FF">
              <w:rPr>
                <w:rFonts w:ascii="Times New Roman" w:hAnsi="Times New Roman" w:cs="Times New Roman"/>
                <w:sz w:val="24"/>
                <w:szCs w:val="24"/>
              </w:rPr>
              <w:t>642.87</w:t>
            </w:r>
          </w:p>
        </w:tc>
        <w:tc>
          <w:tcPr>
            <w:tcW w:w="2250" w:type="dxa"/>
          </w:tcPr>
          <w:p w14:paraId="4AB6C970" w14:textId="77777777" w:rsidR="00A76FC2" w:rsidRPr="004066FF" w:rsidRDefault="00A76FC2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FF">
              <w:rPr>
                <w:rFonts w:ascii="Times New Roman" w:hAnsi="Times New Roman" w:cs="Times New Roman"/>
                <w:sz w:val="24"/>
                <w:szCs w:val="24"/>
              </w:rPr>
              <w:t>Brenner et al (2010)</w:t>
            </w:r>
          </w:p>
        </w:tc>
      </w:tr>
      <w:tr w:rsidR="00A76FC2" w:rsidRPr="00D66BCE" w14:paraId="0E63BA2A" w14:textId="77777777" w:rsidTr="00C91237">
        <w:trPr>
          <w:trHeight w:val="267"/>
        </w:trPr>
        <w:tc>
          <w:tcPr>
            <w:tcW w:w="2250" w:type="dxa"/>
            <w:noWrap/>
            <w:hideMark/>
          </w:tcPr>
          <w:p w14:paraId="6FAB62C3" w14:textId="061DEA81" w:rsidR="00A76FC2" w:rsidRPr="004066FF" w:rsidRDefault="00A76FC2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66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13C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66FF">
              <w:rPr>
                <w:rFonts w:ascii="Times New Roman" w:hAnsi="Times New Roman" w:cs="Times New Roman"/>
                <w:sz w:val="24"/>
                <w:szCs w:val="24"/>
              </w:rPr>
              <w:t>111.23</w:t>
            </w:r>
          </w:p>
        </w:tc>
        <w:tc>
          <w:tcPr>
            <w:tcW w:w="2250" w:type="dxa"/>
          </w:tcPr>
          <w:p w14:paraId="1CF8C329" w14:textId="77777777" w:rsidR="00A76FC2" w:rsidRPr="004066FF" w:rsidRDefault="00A76FC2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66FF">
              <w:rPr>
                <w:rFonts w:ascii="Times New Roman" w:hAnsi="Times New Roman" w:cs="Times New Roman"/>
                <w:sz w:val="24"/>
                <w:szCs w:val="24"/>
              </w:rPr>
              <w:t>De Groot et al (2013)</w:t>
            </w:r>
          </w:p>
        </w:tc>
      </w:tr>
    </w:tbl>
    <w:p w14:paraId="6043D892" w14:textId="77777777" w:rsidR="001308EF" w:rsidRPr="00133274" w:rsidRDefault="001308EF">
      <w:pPr>
        <w:rPr>
          <w:rFonts w:asciiTheme="majorBidi" w:hAnsiTheme="majorBidi" w:cstheme="majorBidi"/>
          <w:iCs/>
          <w:sz w:val="24"/>
          <w:szCs w:val="24"/>
        </w:rPr>
      </w:pPr>
    </w:p>
    <w:p w14:paraId="35C738C7" w14:textId="7F01C430" w:rsidR="001308EF" w:rsidRPr="005558EC" w:rsidRDefault="001308EF" w:rsidP="001308E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558EC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S3 Adjusted Total Economic Value (TEV) for selected urban trees in South Africa (2019 Int. $/tree)</w:t>
      </w:r>
    </w:p>
    <w:p w14:paraId="0A555D97" w14:textId="77777777" w:rsidR="001308EF" w:rsidRPr="003D08AF" w:rsidRDefault="001308EF" w:rsidP="001308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04"/>
        <w:gridCol w:w="1592"/>
        <w:gridCol w:w="2143"/>
      </w:tblGrid>
      <w:tr w:rsidR="001308EF" w:rsidRPr="00D66BCE" w14:paraId="3B0FA85B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36DA0136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Urban tree species</w:t>
            </w:r>
          </w:p>
        </w:tc>
        <w:tc>
          <w:tcPr>
            <w:tcW w:w="1592" w:type="dxa"/>
            <w:noWrap/>
            <w:hideMark/>
          </w:tcPr>
          <w:p w14:paraId="646D4311" w14:textId="05EE52C5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Value per tree</w:t>
            </w:r>
          </w:p>
        </w:tc>
        <w:tc>
          <w:tcPr>
            <w:tcW w:w="2143" w:type="dxa"/>
          </w:tcPr>
          <w:p w14:paraId="4EB2C3D5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Original study</w:t>
            </w:r>
          </w:p>
        </w:tc>
      </w:tr>
      <w:tr w:rsidR="001308EF" w:rsidRPr="00D66BCE" w14:paraId="34B5AA32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62BA8D10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London Plane</w:t>
            </w:r>
          </w:p>
        </w:tc>
        <w:tc>
          <w:tcPr>
            <w:tcW w:w="1592" w:type="dxa"/>
            <w:noWrap/>
            <w:hideMark/>
          </w:tcPr>
          <w:p w14:paraId="29C28F22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11.52</w:t>
            </w:r>
          </w:p>
        </w:tc>
        <w:tc>
          <w:tcPr>
            <w:tcW w:w="2143" w:type="dxa"/>
          </w:tcPr>
          <w:p w14:paraId="27F9C98B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McPherson (2003)</w:t>
            </w:r>
          </w:p>
        </w:tc>
      </w:tr>
      <w:tr w:rsidR="001308EF" w:rsidRPr="00D66BCE" w14:paraId="40ECAEE4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384F0BB1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Modesto Ash</w:t>
            </w:r>
          </w:p>
        </w:tc>
        <w:tc>
          <w:tcPr>
            <w:tcW w:w="1592" w:type="dxa"/>
            <w:noWrap/>
            <w:hideMark/>
          </w:tcPr>
          <w:p w14:paraId="4B8062BC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10.82</w:t>
            </w:r>
          </w:p>
        </w:tc>
        <w:tc>
          <w:tcPr>
            <w:tcW w:w="2143" w:type="dxa"/>
          </w:tcPr>
          <w:p w14:paraId="1758B38C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McPherson (2003)</w:t>
            </w:r>
          </w:p>
        </w:tc>
      </w:tr>
      <w:tr w:rsidR="001308EF" w:rsidRPr="00D66BCE" w14:paraId="0A419A54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52FE4109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 xml:space="preserve">Chinese Sweetgum </w:t>
            </w:r>
          </w:p>
        </w:tc>
        <w:tc>
          <w:tcPr>
            <w:tcW w:w="1592" w:type="dxa"/>
            <w:noWrap/>
            <w:hideMark/>
          </w:tcPr>
          <w:p w14:paraId="7F11D8CC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8.22</w:t>
            </w:r>
          </w:p>
        </w:tc>
        <w:tc>
          <w:tcPr>
            <w:tcW w:w="2143" w:type="dxa"/>
          </w:tcPr>
          <w:p w14:paraId="6AB704D7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McPherson (2003)</w:t>
            </w:r>
          </w:p>
        </w:tc>
      </w:tr>
      <w:tr w:rsidR="001308EF" w:rsidRPr="00D66BCE" w14:paraId="4EDBDBA2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11CA436A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Modesto Ash</w:t>
            </w:r>
          </w:p>
        </w:tc>
        <w:tc>
          <w:tcPr>
            <w:tcW w:w="1592" w:type="dxa"/>
            <w:noWrap/>
            <w:hideMark/>
          </w:tcPr>
          <w:p w14:paraId="1788E425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10.82</w:t>
            </w:r>
          </w:p>
        </w:tc>
        <w:tc>
          <w:tcPr>
            <w:tcW w:w="2143" w:type="dxa"/>
          </w:tcPr>
          <w:p w14:paraId="79A5207A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McPherson (2003)</w:t>
            </w:r>
          </w:p>
        </w:tc>
      </w:tr>
      <w:tr w:rsidR="001308EF" w:rsidRPr="00D66BCE" w14:paraId="6F66AAD4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6385C4AB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Variety of Lisbon Trees</w:t>
            </w:r>
          </w:p>
        </w:tc>
        <w:tc>
          <w:tcPr>
            <w:tcW w:w="1592" w:type="dxa"/>
            <w:noWrap/>
            <w:hideMark/>
          </w:tcPr>
          <w:p w14:paraId="1DD6C6C4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21.21</w:t>
            </w:r>
          </w:p>
        </w:tc>
        <w:tc>
          <w:tcPr>
            <w:tcW w:w="2143" w:type="dxa"/>
          </w:tcPr>
          <w:p w14:paraId="5393FD3B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Soares et al. (2011)</w:t>
            </w:r>
          </w:p>
        </w:tc>
      </w:tr>
      <w:tr w:rsidR="001308EF" w:rsidRPr="00D66BCE" w14:paraId="7E0AC248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50B48485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Variety of New York Trees</w:t>
            </w:r>
          </w:p>
        </w:tc>
        <w:tc>
          <w:tcPr>
            <w:tcW w:w="1592" w:type="dxa"/>
            <w:noWrap/>
            <w:hideMark/>
          </w:tcPr>
          <w:p w14:paraId="384CC5BF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29.97</w:t>
            </w:r>
          </w:p>
        </w:tc>
        <w:tc>
          <w:tcPr>
            <w:tcW w:w="2143" w:type="dxa"/>
          </w:tcPr>
          <w:p w14:paraId="744B0BA6" w14:textId="61DB0068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Peper et al. (2007)</w:t>
            </w:r>
          </w:p>
        </w:tc>
      </w:tr>
      <w:tr w:rsidR="001308EF" w:rsidRPr="00D66BCE" w14:paraId="20EF95E3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7DCC4268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London Plane</w:t>
            </w:r>
          </w:p>
        </w:tc>
        <w:tc>
          <w:tcPr>
            <w:tcW w:w="1592" w:type="dxa"/>
            <w:noWrap/>
            <w:hideMark/>
          </w:tcPr>
          <w:p w14:paraId="201C9289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44.04</w:t>
            </w:r>
          </w:p>
        </w:tc>
        <w:tc>
          <w:tcPr>
            <w:tcW w:w="2143" w:type="dxa"/>
          </w:tcPr>
          <w:p w14:paraId="032E43E7" w14:textId="67F621A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Peper et al. (2007)</w:t>
            </w:r>
          </w:p>
        </w:tc>
      </w:tr>
      <w:tr w:rsidR="001308EF" w:rsidRPr="00D66BCE" w14:paraId="011E9C73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2255FC50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Sweetgum</w:t>
            </w:r>
          </w:p>
        </w:tc>
        <w:tc>
          <w:tcPr>
            <w:tcW w:w="1592" w:type="dxa"/>
            <w:noWrap/>
            <w:hideMark/>
          </w:tcPr>
          <w:p w14:paraId="57BD412F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22.20</w:t>
            </w:r>
          </w:p>
        </w:tc>
        <w:tc>
          <w:tcPr>
            <w:tcW w:w="2143" w:type="dxa"/>
          </w:tcPr>
          <w:p w14:paraId="127A83CA" w14:textId="11BBF8E5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Peper et al. (2007)</w:t>
            </w:r>
          </w:p>
        </w:tc>
      </w:tr>
      <w:tr w:rsidR="001308EF" w:rsidRPr="00D66BCE" w14:paraId="3AEFD769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0E64A6DF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Pin Oak</w:t>
            </w:r>
          </w:p>
        </w:tc>
        <w:tc>
          <w:tcPr>
            <w:tcW w:w="1592" w:type="dxa"/>
            <w:noWrap/>
            <w:hideMark/>
          </w:tcPr>
          <w:p w14:paraId="46626A3E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39.31</w:t>
            </w:r>
          </w:p>
        </w:tc>
        <w:tc>
          <w:tcPr>
            <w:tcW w:w="2143" w:type="dxa"/>
          </w:tcPr>
          <w:p w14:paraId="48929877" w14:textId="6DA09E4F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Peper et al. (2007)</w:t>
            </w:r>
          </w:p>
        </w:tc>
      </w:tr>
      <w:tr w:rsidR="001308EF" w:rsidRPr="00D66BCE" w14:paraId="76185E58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1E27AA3E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Honey Locust</w:t>
            </w:r>
          </w:p>
        </w:tc>
        <w:tc>
          <w:tcPr>
            <w:tcW w:w="1592" w:type="dxa"/>
            <w:noWrap/>
            <w:hideMark/>
          </w:tcPr>
          <w:p w14:paraId="72BAD0DB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31.67</w:t>
            </w:r>
          </w:p>
        </w:tc>
        <w:tc>
          <w:tcPr>
            <w:tcW w:w="2143" w:type="dxa"/>
          </w:tcPr>
          <w:p w14:paraId="03EB5494" w14:textId="4B0F7930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Peper et al. (2007)</w:t>
            </w:r>
          </w:p>
        </w:tc>
      </w:tr>
      <w:tr w:rsidR="001308EF" w:rsidRPr="00D66BCE" w14:paraId="6C7A5625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1FE85918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Unknown Large</w:t>
            </w:r>
          </w:p>
        </w:tc>
        <w:tc>
          <w:tcPr>
            <w:tcW w:w="1592" w:type="dxa"/>
            <w:noWrap/>
            <w:hideMark/>
          </w:tcPr>
          <w:p w14:paraId="2FAEC2C4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37.84</w:t>
            </w:r>
          </w:p>
        </w:tc>
        <w:tc>
          <w:tcPr>
            <w:tcW w:w="2143" w:type="dxa"/>
          </w:tcPr>
          <w:p w14:paraId="5E7292E5" w14:textId="7D24F6FD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Peper et al. (2007)</w:t>
            </w:r>
          </w:p>
        </w:tc>
      </w:tr>
      <w:tr w:rsidR="001308EF" w:rsidRPr="00D66BCE" w14:paraId="3223AB54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2C47CC6B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1592" w:type="dxa"/>
            <w:noWrap/>
            <w:hideMark/>
          </w:tcPr>
          <w:p w14:paraId="5979EBD4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22.31</w:t>
            </w:r>
          </w:p>
        </w:tc>
        <w:tc>
          <w:tcPr>
            <w:tcW w:w="2143" w:type="dxa"/>
          </w:tcPr>
          <w:p w14:paraId="3558FE61" w14:textId="797E3E92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Peper et al. (2007)</w:t>
            </w:r>
          </w:p>
        </w:tc>
      </w:tr>
      <w:tr w:rsidR="001308EF" w:rsidRPr="00D66BCE" w14:paraId="3BD1A13F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1D70720F" w14:textId="77777777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Oak, northern red</w:t>
            </w:r>
          </w:p>
        </w:tc>
        <w:tc>
          <w:tcPr>
            <w:tcW w:w="1592" w:type="dxa"/>
            <w:noWrap/>
            <w:hideMark/>
          </w:tcPr>
          <w:p w14:paraId="7DD47A4B" w14:textId="77777777" w:rsidR="001308EF" w:rsidRPr="003D08AF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sz w:val="24"/>
                <w:szCs w:val="24"/>
              </w:rPr>
              <w:t>32.24</w:t>
            </w:r>
          </w:p>
        </w:tc>
        <w:tc>
          <w:tcPr>
            <w:tcW w:w="2143" w:type="dxa"/>
          </w:tcPr>
          <w:p w14:paraId="5B648F13" w14:textId="4AE3D402" w:rsidR="001308EF" w:rsidRPr="003D08AF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08AF">
              <w:rPr>
                <w:rFonts w:ascii="Times New Roman" w:hAnsi="Times New Roman" w:cs="Times New Roman"/>
                <w:noProof/>
                <w:sz w:val="24"/>
                <w:szCs w:val="24"/>
              </w:rPr>
              <w:t>Peper et al. (2007)</w:t>
            </w:r>
          </w:p>
        </w:tc>
      </w:tr>
      <w:tr w:rsidR="001308EF" w:rsidRPr="007852DD" w14:paraId="293C768C" w14:textId="77777777" w:rsidTr="00C91237">
        <w:trPr>
          <w:trHeight w:val="230"/>
        </w:trPr>
        <w:tc>
          <w:tcPr>
            <w:tcW w:w="4004" w:type="dxa"/>
            <w:noWrap/>
            <w:hideMark/>
          </w:tcPr>
          <w:p w14:paraId="7423C374" w14:textId="77777777" w:rsidR="001308EF" w:rsidRPr="007852DD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2DD">
              <w:rPr>
                <w:rFonts w:ascii="Times New Roman" w:hAnsi="Times New Roman" w:cs="Times New Roman"/>
                <w:sz w:val="24"/>
                <w:szCs w:val="24"/>
              </w:rPr>
              <w:t>Maple average</w:t>
            </w:r>
          </w:p>
        </w:tc>
        <w:tc>
          <w:tcPr>
            <w:tcW w:w="1592" w:type="dxa"/>
            <w:noWrap/>
            <w:hideMark/>
          </w:tcPr>
          <w:p w14:paraId="1B0E239E" w14:textId="77777777" w:rsidR="001308EF" w:rsidRPr="007852DD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2DD">
              <w:rPr>
                <w:rFonts w:ascii="Times New Roman" w:hAnsi="Times New Roman" w:cs="Times New Roman"/>
                <w:sz w:val="24"/>
                <w:szCs w:val="24"/>
              </w:rPr>
              <w:t>28.77</w:t>
            </w:r>
          </w:p>
        </w:tc>
        <w:tc>
          <w:tcPr>
            <w:tcW w:w="2143" w:type="dxa"/>
          </w:tcPr>
          <w:p w14:paraId="08791C39" w14:textId="392F02E1" w:rsidR="001308EF" w:rsidRPr="007852DD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52DD">
              <w:rPr>
                <w:rFonts w:ascii="Times New Roman" w:hAnsi="Times New Roman" w:cs="Times New Roman"/>
                <w:noProof/>
                <w:sz w:val="24"/>
                <w:szCs w:val="24"/>
              </w:rPr>
              <w:t>Peper et al. (2007)</w:t>
            </w:r>
          </w:p>
        </w:tc>
      </w:tr>
      <w:tr w:rsidR="001308EF" w:rsidRPr="00D66BCE" w14:paraId="246AB7F5" w14:textId="77777777" w:rsidTr="00C91237">
        <w:trPr>
          <w:trHeight w:val="230"/>
        </w:trPr>
        <w:tc>
          <w:tcPr>
            <w:tcW w:w="4004" w:type="dxa"/>
            <w:noWrap/>
          </w:tcPr>
          <w:p w14:paraId="0F9CA969" w14:textId="77777777" w:rsidR="001308EF" w:rsidRPr="005558EC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8EC">
              <w:rPr>
                <w:rFonts w:ascii="Times New Roman" w:hAnsi="Times New Roman" w:cs="Times New Roman"/>
                <w:sz w:val="24"/>
                <w:szCs w:val="24"/>
              </w:rPr>
              <w:t>Mean value</w:t>
            </w:r>
          </w:p>
        </w:tc>
        <w:tc>
          <w:tcPr>
            <w:tcW w:w="1592" w:type="dxa"/>
            <w:noWrap/>
          </w:tcPr>
          <w:p w14:paraId="081BDEBD" w14:textId="77777777" w:rsidR="001308EF" w:rsidRPr="005558EC" w:rsidRDefault="001308EF" w:rsidP="00C912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58EC">
              <w:rPr>
                <w:rFonts w:ascii="Times New Roman" w:hAnsi="Times New Roman" w:cs="Times New Roman"/>
                <w:sz w:val="24"/>
                <w:szCs w:val="24"/>
              </w:rPr>
              <w:t>25.07</w:t>
            </w:r>
          </w:p>
        </w:tc>
        <w:tc>
          <w:tcPr>
            <w:tcW w:w="2143" w:type="dxa"/>
          </w:tcPr>
          <w:p w14:paraId="303CB7FA" w14:textId="77777777" w:rsidR="001308EF" w:rsidRPr="005558EC" w:rsidRDefault="001308EF" w:rsidP="00C9123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58EC">
              <w:rPr>
                <w:rFonts w:ascii="Times New Roman" w:hAnsi="Times New Roman" w:cs="Times New Roman"/>
                <w:sz w:val="24"/>
                <w:szCs w:val="24"/>
              </w:rPr>
              <w:t>Calculated</w:t>
            </w:r>
          </w:p>
        </w:tc>
      </w:tr>
    </w:tbl>
    <w:p w14:paraId="342C54CF" w14:textId="77777777" w:rsidR="001308EF" w:rsidRDefault="001308EF">
      <w:pPr>
        <w:rPr>
          <w:rFonts w:asciiTheme="majorBidi" w:hAnsiTheme="majorBidi" w:cstheme="majorBidi"/>
          <w:sz w:val="24"/>
          <w:szCs w:val="24"/>
        </w:rPr>
      </w:pPr>
    </w:p>
    <w:p w14:paraId="2CF43A45" w14:textId="6537B550" w:rsidR="009778D8" w:rsidRPr="005558EC" w:rsidRDefault="00F5580C" w:rsidP="003D42DA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  <w:r w:rsidR="00061BE0" w:rsidRPr="005558EC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S.</w:t>
      </w:r>
      <w:r w:rsidR="009778D8" w:rsidRPr="005558EC">
        <w:rPr>
          <w:rFonts w:asciiTheme="majorBidi" w:hAnsiTheme="majorBidi" w:cstheme="majorBidi"/>
          <w:b/>
          <w:bCs/>
          <w:sz w:val="24"/>
          <w:szCs w:val="24"/>
        </w:rPr>
        <w:t>4</w:t>
      </w:r>
      <w:r w:rsidR="003D42DA" w:rsidRPr="005558EC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9778D8" w:rsidRPr="006D3493">
        <w:rPr>
          <w:rFonts w:asciiTheme="majorBidi" w:hAnsiTheme="majorBidi" w:cstheme="majorBidi"/>
          <w:b/>
          <w:bCs/>
          <w:sz w:val="24"/>
          <w:szCs w:val="24"/>
        </w:rPr>
        <w:t>Estimated total</w:t>
      </w:r>
      <w:r w:rsidR="003D42DA" w:rsidRPr="005558EC">
        <w:rPr>
          <w:rFonts w:asciiTheme="majorBidi" w:hAnsiTheme="majorBidi" w:cstheme="majorBidi"/>
          <w:b/>
          <w:bCs/>
          <w:sz w:val="24"/>
          <w:szCs w:val="24"/>
        </w:rPr>
        <w:t xml:space="preserve"> number of </w:t>
      </w:r>
      <w:r w:rsidR="009778D8" w:rsidRPr="005558EC">
        <w:rPr>
          <w:rFonts w:asciiTheme="majorBidi" w:hAnsiTheme="majorBidi" w:cstheme="majorBidi"/>
          <w:b/>
          <w:bCs/>
          <w:sz w:val="24"/>
          <w:szCs w:val="24"/>
        </w:rPr>
        <w:t>u</w:t>
      </w:r>
      <w:r w:rsidR="003D42DA" w:rsidRPr="005558EC">
        <w:rPr>
          <w:rFonts w:asciiTheme="majorBidi" w:hAnsiTheme="majorBidi" w:cstheme="majorBidi"/>
          <w:b/>
          <w:bCs/>
          <w:sz w:val="24"/>
          <w:szCs w:val="24"/>
        </w:rPr>
        <w:t>rban trees</w:t>
      </w:r>
      <w:r w:rsidR="009778D8" w:rsidRPr="005558EC">
        <w:rPr>
          <w:rFonts w:asciiTheme="majorBidi" w:hAnsiTheme="majorBidi" w:cstheme="majorBidi"/>
          <w:b/>
          <w:bCs/>
          <w:sz w:val="24"/>
          <w:szCs w:val="24"/>
        </w:rPr>
        <w:t xml:space="preserve"> affected by a PSHB </w:t>
      </w:r>
      <w:proofErr w:type="gramStart"/>
      <w:r w:rsidR="009778D8" w:rsidRPr="005558EC">
        <w:rPr>
          <w:rFonts w:asciiTheme="majorBidi" w:hAnsiTheme="majorBidi" w:cstheme="majorBidi"/>
          <w:b/>
          <w:bCs/>
          <w:sz w:val="24"/>
          <w:szCs w:val="24"/>
        </w:rPr>
        <w:t>invasion</w:t>
      </w:r>
      <w:proofErr w:type="gramEnd"/>
    </w:p>
    <w:tbl>
      <w:tblPr>
        <w:tblStyle w:val="TableGrid"/>
        <w:tblW w:w="9989" w:type="dxa"/>
        <w:tblLayout w:type="fixed"/>
        <w:tblLook w:val="04A0" w:firstRow="1" w:lastRow="0" w:firstColumn="1" w:lastColumn="0" w:noHBand="0" w:noVBand="1"/>
      </w:tblPr>
      <w:tblGrid>
        <w:gridCol w:w="1723"/>
        <w:gridCol w:w="725"/>
        <w:gridCol w:w="475"/>
        <w:gridCol w:w="1303"/>
        <w:gridCol w:w="1303"/>
        <w:gridCol w:w="1554"/>
        <w:gridCol w:w="1276"/>
        <w:gridCol w:w="1630"/>
      </w:tblGrid>
      <w:tr w:rsidR="00F76618" w:rsidRPr="00041ECB" w14:paraId="68F0965A" w14:textId="77777777" w:rsidTr="00041ECB">
        <w:trPr>
          <w:trHeight w:val="353"/>
        </w:trPr>
        <w:tc>
          <w:tcPr>
            <w:tcW w:w="1723" w:type="dxa"/>
            <w:noWrap/>
          </w:tcPr>
          <w:p w14:paraId="68F09653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200" w:type="dxa"/>
            <w:gridSpan w:val="2"/>
            <w:noWrap/>
          </w:tcPr>
          <w:p w14:paraId="68F09654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 xml:space="preserve">Tree coverage </w:t>
            </w:r>
          </w:p>
        </w:tc>
        <w:tc>
          <w:tcPr>
            <w:tcW w:w="1303" w:type="dxa"/>
            <w:noWrap/>
          </w:tcPr>
          <w:p w14:paraId="68F09655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Source</w:t>
            </w:r>
          </w:p>
        </w:tc>
        <w:tc>
          <w:tcPr>
            <w:tcW w:w="1303" w:type="dxa"/>
          </w:tcPr>
          <w:p w14:paraId="68F09656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Urban area (ha)</w:t>
            </w:r>
          </w:p>
        </w:tc>
        <w:tc>
          <w:tcPr>
            <w:tcW w:w="1554" w:type="dxa"/>
          </w:tcPr>
          <w:p w14:paraId="68F09657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Source</w:t>
            </w:r>
          </w:p>
        </w:tc>
        <w:tc>
          <w:tcPr>
            <w:tcW w:w="1276" w:type="dxa"/>
          </w:tcPr>
          <w:p w14:paraId="68F09658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Number of trees (million)</w:t>
            </w:r>
          </w:p>
        </w:tc>
        <w:tc>
          <w:tcPr>
            <w:tcW w:w="1630" w:type="dxa"/>
          </w:tcPr>
          <w:p w14:paraId="68F09659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Source</w:t>
            </w:r>
          </w:p>
        </w:tc>
      </w:tr>
      <w:tr w:rsidR="00F76618" w:rsidRPr="00041ECB" w14:paraId="68F09664" w14:textId="77777777" w:rsidTr="00041ECB">
        <w:trPr>
          <w:trHeight w:val="353"/>
        </w:trPr>
        <w:tc>
          <w:tcPr>
            <w:tcW w:w="1723" w:type="dxa"/>
            <w:noWrap/>
            <w:hideMark/>
          </w:tcPr>
          <w:p w14:paraId="68F0965B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Cape Town</w:t>
            </w:r>
          </w:p>
        </w:tc>
        <w:tc>
          <w:tcPr>
            <w:tcW w:w="725" w:type="dxa"/>
            <w:noWrap/>
            <w:hideMark/>
          </w:tcPr>
          <w:p w14:paraId="68F0965C" w14:textId="77777777" w:rsidR="003D42DA" w:rsidRPr="00041ECB" w:rsidRDefault="003D42DA" w:rsidP="00C73E8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13.4</w:t>
            </w:r>
          </w:p>
        </w:tc>
        <w:tc>
          <w:tcPr>
            <w:tcW w:w="475" w:type="dxa"/>
            <w:noWrap/>
            <w:hideMark/>
          </w:tcPr>
          <w:p w14:paraId="68F0965D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%</w:t>
            </w:r>
          </w:p>
        </w:tc>
        <w:tc>
          <w:tcPr>
            <w:tcW w:w="1303" w:type="dxa"/>
            <w:noWrap/>
            <w:hideMark/>
          </w:tcPr>
          <w:p w14:paraId="68F0965E" w14:textId="3B0DB33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proofErr w:type="spellStart"/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Treepedia</w:t>
            </w:r>
            <w:proofErr w:type="spellEnd"/>
            <w:r w:rsidR="00A16CB1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 xml:space="preserve"> (</w:t>
            </w:r>
            <w:r w:rsidR="00C85686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2020</w:t>
            </w:r>
            <w:r w:rsidR="00A16CB1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)</w:t>
            </w:r>
          </w:p>
        </w:tc>
        <w:tc>
          <w:tcPr>
            <w:tcW w:w="1303" w:type="dxa"/>
          </w:tcPr>
          <w:p w14:paraId="68F0965F" w14:textId="378CA718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400</w:t>
            </w:r>
            <w:r w:rsidR="00B13C6C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 xml:space="preserve"> </w:t>
            </w: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300</w:t>
            </w:r>
          </w:p>
        </w:tc>
        <w:tc>
          <w:tcPr>
            <w:tcW w:w="1554" w:type="dxa"/>
          </w:tcPr>
          <w:p w14:paraId="68F09660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276" w:type="dxa"/>
          </w:tcPr>
          <w:p w14:paraId="68F09661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13.8</w:t>
            </w:r>
          </w:p>
        </w:tc>
        <w:tc>
          <w:tcPr>
            <w:tcW w:w="1630" w:type="dxa"/>
          </w:tcPr>
          <w:p w14:paraId="68F09662" w14:textId="7F90079F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Calc</w:t>
            </w:r>
            <w:r w:rsidR="00B74F36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ulation</w:t>
            </w: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ZA"/>
              </w:rPr>
              <w:t>1</w:t>
            </w: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 xml:space="preserve"> </w:t>
            </w:r>
          </w:p>
          <w:p w14:paraId="68F09663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F76618" w:rsidRPr="00041ECB" w14:paraId="68F0966E" w14:textId="77777777" w:rsidTr="00041ECB">
        <w:trPr>
          <w:trHeight w:val="353"/>
        </w:trPr>
        <w:tc>
          <w:tcPr>
            <w:tcW w:w="1723" w:type="dxa"/>
            <w:noWrap/>
            <w:hideMark/>
          </w:tcPr>
          <w:p w14:paraId="68F09665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Johannesburg</w:t>
            </w:r>
          </w:p>
        </w:tc>
        <w:tc>
          <w:tcPr>
            <w:tcW w:w="725" w:type="dxa"/>
            <w:noWrap/>
            <w:hideMark/>
          </w:tcPr>
          <w:p w14:paraId="68F09666" w14:textId="77777777" w:rsidR="003D42DA" w:rsidRPr="00041ECB" w:rsidRDefault="003D42DA" w:rsidP="00C73E8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23.6</w:t>
            </w:r>
          </w:p>
        </w:tc>
        <w:tc>
          <w:tcPr>
            <w:tcW w:w="475" w:type="dxa"/>
            <w:noWrap/>
            <w:hideMark/>
          </w:tcPr>
          <w:p w14:paraId="68F09667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%</w:t>
            </w:r>
          </w:p>
        </w:tc>
        <w:tc>
          <w:tcPr>
            <w:tcW w:w="1303" w:type="dxa"/>
            <w:noWrap/>
            <w:hideMark/>
          </w:tcPr>
          <w:p w14:paraId="68F09668" w14:textId="668B787B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proofErr w:type="spellStart"/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Treepedia</w:t>
            </w:r>
            <w:proofErr w:type="spellEnd"/>
            <w:r w:rsidR="00133274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 xml:space="preserve"> (</w:t>
            </w:r>
            <w:r w:rsidR="00C85686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2020</w:t>
            </w:r>
            <w:r w:rsidR="00133274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)</w:t>
            </w:r>
          </w:p>
        </w:tc>
        <w:tc>
          <w:tcPr>
            <w:tcW w:w="1303" w:type="dxa"/>
          </w:tcPr>
          <w:p w14:paraId="68F0966A" w14:textId="1A8BB876" w:rsidR="003D42DA" w:rsidRPr="00041ECB" w:rsidRDefault="003D42DA" w:rsidP="00F7661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164</w:t>
            </w:r>
            <w:r w:rsidR="00B13C6C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 xml:space="preserve"> </w:t>
            </w: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542</w:t>
            </w:r>
          </w:p>
        </w:tc>
        <w:tc>
          <w:tcPr>
            <w:tcW w:w="1554" w:type="dxa"/>
          </w:tcPr>
          <w:p w14:paraId="68F0966B" w14:textId="17293702" w:rsidR="003D42DA" w:rsidRPr="00041ECB" w:rsidRDefault="00281260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en-ZA"/>
              </w:rPr>
              <w:t>Schäffler et al. (2013)</w:t>
            </w:r>
          </w:p>
        </w:tc>
        <w:tc>
          <w:tcPr>
            <w:tcW w:w="1276" w:type="dxa"/>
          </w:tcPr>
          <w:p w14:paraId="68F0966C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10</w:t>
            </w:r>
          </w:p>
        </w:tc>
        <w:tc>
          <w:tcPr>
            <w:tcW w:w="1630" w:type="dxa"/>
          </w:tcPr>
          <w:p w14:paraId="68F0966D" w14:textId="6D741364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JUFA</w:t>
            </w:r>
            <w:r w:rsidR="003F6C86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 xml:space="preserve"> (2020)</w:t>
            </w:r>
          </w:p>
        </w:tc>
      </w:tr>
      <w:tr w:rsidR="00F76618" w:rsidRPr="00041ECB" w14:paraId="68F09677" w14:textId="77777777" w:rsidTr="00041ECB">
        <w:trPr>
          <w:trHeight w:val="353"/>
        </w:trPr>
        <w:tc>
          <w:tcPr>
            <w:tcW w:w="1723" w:type="dxa"/>
            <w:noWrap/>
            <w:hideMark/>
          </w:tcPr>
          <w:p w14:paraId="68F0966F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Durban</w:t>
            </w:r>
          </w:p>
        </w:tc>
        <w:tc>
          <w:tcPr>
            <w:tcW w:w="725" w:type="dxa"/>
            <w:noWrap/>
            <w:hideMark/>
          </w:tcPr>
          <w:p w14:paraId="68F09670" w14:textId="77777777" w:rsidR="003D42DA" w:rsidRPr="00041ECB" w:rsidRDefault="003D42DA" w:rsidP="00C73E8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23.7</w:t>
            </w:r>
          </w:p>
        </w:tc>
        <w:tc>
          <w:tcPr>
            <w:tcW w:w="475" w:type="dxa"/>
            <w:noWrap/>
            <w:hideMark/>
          </w:tcPr>
          <w:p w14:paraId="68F09671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%</w:t>
            </w:r>
          </w:p>
        </w:tc>
        <w:tc>
          <w:tcPr>
            <w:tcW w:w="1303" w:type="dxa"/>
            <w:noWrap/>
            <w:hideMark/>
          </w:tcPr>
          <w:p w14:paraId="68F09672" w14:textId="39B9E518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proofErr w:type="spellStart"/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Treepedia</w:t>
            </w:r>
            <w:proofErr w:type="spellEnd"/>
            <w:r w:rsidR="00133274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 xml:space="preserve"> (</w:t>
            </w:r>
            <w:r w:rsidR="00C85686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2020</w:t>
            </w:r>
            <w:r w:rsidR="00133274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)</w:t>
            </w:r>
          </w:p>
        </w:tc>
        <w:tc>
          <w:tcPr>
            <w:tcW w:w="1303" w:type="dxa"/>
          </w:tcPr>
          <w:p w14:paraId="68F09673" w14:textId="5513C04E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229</w:t>
            </w:r>
            <w:r w:rsidR="00B13C6C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 xml:space="preserve"> </w:t>
            </w: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200</w:t>
            </w:r>
          </w:p>
        </w:tc>
        <w:tc>
          <w:tcPr>
            <w:tcW w:w="1554" w:type="dxa"/>
          </w:tcPr>
          <w:p w14:paraId="68F09674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276" w:type="dxa"/>
          </w:tcPr>
          <w:p w14:paraId="68F09675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14.0</w:t>
            </w:r>
          </w:p>
        </w:tc>
        <w:tc>
          <w:tcPr>
            <w:tcW w:w="1630" w:type="dxa"/>
          </w:tcPr>
          <w:p w14:paraId="68F09676" w14:textId="7F4B9D5B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Calc</w:t>
            </w:r>
            <w:r w:rsidR="00B74F36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ulation</w:t>
            </w:r>
            <w:r w:rsidR="003F6C86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ZA"/>
              </w:rPr>
              <w:t>2</w:t>
            </w:r>
          </w:p>
        </w:tc>
      </w:tr>
      <w:tr w:rsidR="00F76618" w:rsidRPr="00041ECB" w14:paraId="68F09680" w14:textId="77777777" w:rsidTr="00041ECB">
        <w:trPr>
          <w:trHeight w:val="353"/>
        </w:trPr>
        <w:tc>
          <w:tcPr>
            <w:tcW w:w="1723" w:type="dxa"/>
            <w:noWrap/>
          </w:tcPr>
          <w:p w14:paraId="68F09678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Sub-total</w:t>
            </w:r>
          </w:p>
        </w:tc>
        <w:tc>
          <w:tcPr>
            <w:tcW w:w="725" w:type="dxa"/>
            <w:noWrap/>
          </w:tcPr>
          <w:p w14:paraId="68F09679" w14:textId="77777777" w:rsidR="003D42DA" w:rsidRPr="00041ECB" w:rsidRDefault="003D42DA" w:rsidP="00C73E8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475" w:type="dxa"/>
            <w:noWrap/>
          </w:tcPr>
          <w:p w14:paraId="68F0967A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303" w:type="dxa"/>
            <w:noWrap/>
          </w:tcPr>
          <w:p w14:paraId="68F0967B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303" w:type="dxa"/>
          </w:tcPr>
          <w:p w14:paraId="68F0967C" w14:textId="4035B320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794</w:t>
            </w:r>
            <w:r w:rsidR="00B13C6C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 xml:space="preserve"> </w:t>
            </w: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042</w:t>
            </w:r>
          </w:p>
        </w:tc>
        <w:tc>
          <w:tcPr>
            <w:tcW w:w="1554" w:type="dxa"/>
          </w:tcPr>
          <w:p w14:paraId="68F0967D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276" w:type="dxa"/>
          </w:tcPr>
          <w:p w14:paraId="68F0967E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37.8</w:t>
            </w:r>
          </w:p>
        </w:tc>
        <w:tc>
          <w:tcPr>
            <w:tcW w:w="1630" w:type="dxa"/>
          </w:tcPr>
          <w:p w14:paraId="68F0967F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</w:tr>
      <w:tr w:rsidR="00F76618" w:rsidRPr="00041ECB" w14:paraId="68F09689" w14:textId="77777777" w:rsidTr="00041ECB">
        <w:trPr>
          <w:trHeight w:val="353"/>
        </w:trPr>
        <w:tc>
          <w:tcPr>
            <w:tcW w:w="1723" w:type="dxa"/>
            <w:noWrap/>
          </w:tcPr>
          <w:p w14:paraId="68F09681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Total Urban area (SA)</w:t>
            </w:r>
          </w:p>
        </w:tc>
        <w:tc>
          <w:tcPr>
            <w:tcW w:w="725" w:type="dxa"/>
            <w:noWrap/>
          </w:tcPr>
          <w:p w14:paraId="68F09682" w14:textId="77777777" w:rsidR="003D42DA" w:rsidRPr="00041ECB" w:rsidRDefault="003D42DA" w:rsidP="00C73E8D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475" w:type="dxa"/>
            <w:noWrap/>
          </w:tcPr>
          <w:p w14:paraId="68F09683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303" w:type="dxa"/>
            <w:noWrap/>
          </w:tcPr>
          <w:p w14:paraId="68F09684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303" w:type="dxa"/>
          </w:tcPr>
          <w:p w14:paraId="68F09685" w14:textId="4E3B4945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5</w:t>
            </w:r>
            <w:r w:rsidR="00B13C6C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 </w:t>
            </w: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346</w:t>
            </w:r>
            <w:r w:rsidR="00B13C6C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 xml:space="preserve"> </w:t>
            </w: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000</w:t>
            </w:r>
          </w:p>
        </w:tc>
        <w:tc>
          <w:tcPr>
            <w:tcW w:w="1554" w:type="dxa"/>
          </w:tcPr>
          <w:p w14:paraId="68F09686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</w:p>
        </w:tc>
        <w:tc>
          <w:tcPr>
            <w:tcW w:w="1276" w:type="dxa"/>
          </w:tcPr>
          <w:p w14:paraId="68F09687" w14:textId="77777777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254.5</w:t>
            </w:r>
          </w:p>
        </w:tc>
        <w:tc>
          <w:tcPr>
            <w:tcW w:w="1630" w:type="dxa"/>
          </w:tcPr>
          <w:p w14:paraId="68F09688" w14:textId="0078ED0C" w:rsidR="003D42DA" w:rsidRPr="00041ECB" w:rsidRDefault="003D42DA" w:rsidP="00C73E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</w:pPr>
            <w:r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Calc</w:t>
            </w:r>
            <w:r w:rsidR="00B74F36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ZA"/>
              </w:rPr>
              <w:t>ulation</w:t>
            </w:r>
            <w:r w:rsidR="003F6C86" w:rsidRPr="00041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ZA"/>
              </w:rPr>
              <w:t>3</w:t>
            </w:r>
          </w:p>
        </w:tc>
      </w:tr>
    </w:tbl>
    <w:p w14:paraId="732781DD" w14:textId="77777777" w:rsidR="006E7D48" w:rsidRDefault="006E7D48" w:rsidP="003D42DA">
      <w:pPr>
        <w:rPr>
          <w:rStyle w:val="Emphasis"/>
        </w:rPr>
      </w:pPr>
    </w:p>
    <w:p w14:paraId="1527361F" w14:textId="5B3CE49C" w:rsidR="00BE78CE" w:rsidRPr="005558EC" w:rsidRDefault="00BE78CE" w:rsidP="003D42DA">
      <w:pPr>
        <w:rPr>
          <w:rStyle w:val="Emphasis"/>
        </w:rPr>
      </w:pPr>
      <w:r w:rsidRPr="005558EC">
        <w:rPr>
          <w:rStyle w:val="Emphasis"/>
        </w:rPr>
        <w:t>Notes:</w:t>
      </w:r>
    </w:p>
    <w:p w14:paraId="68F0968C" w14:textId="47217BD5" w:rsidR="003D42DA" w:rsidRPr="00041ECB" w:rsidRDefault="003D42DA" w:rsidP="003F6C86">
      <w:pPr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</w:pPr>
      <w:r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1</w:t>
      </w:r>
      <w:r w:rsid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)</w:t>
      </w:r>
      <w:r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</w:t>
      </w:r>
      <w:r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10</w:t>
      </w:r>
      <w:r w:rsidR="00971A4A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m trees</w:t>
      </w:r>
      <w:r w:rsidR="00B47484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 xml:space="preserve"> </w:t>
      </w:r>
      <w:r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/</w:t>
      </w:r>
      <w:r w:rsidR="00B47484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 xml:space="preserve"> </w:t>
      </w:r>
      <w:r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164</w:t>
      </w:r>
      <w:r w:rsidR="00B13C6C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 xml:space="preserve"> </w:t>
      </w:r>
      <w:r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542</w:t>
      </w:r>
      <w:r w:rsidR="00971A4A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ha</w:t>
      </w:r>
      <w:r w:rsidR="00B47484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 xml:space="preserve"> </w:t>
      </w:r>
      <w:r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/</w:t>
      </w:r>
      <w:r w:rsidR="00B47484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 xml:space="preserve"> </w:t>
      </w:r>
      <w:r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23.6</w:t>
      </w:r>
      <w:r w:rsidR="00971A4A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%</w:t>
      </w:r>
      <w:r w:rsidR="00B13C6C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 xml:space="preserve"> </w:t>
      </w:r>
      <w:r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*</w:t>
      </w:r>
      <w:r w:rsidR="00B13C6C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 xml:space="preserve"> </w:t>
      </w:r>
      <w:r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13.4</w:t>
      </w:r>
      <w:r w:rsidR="00971A4A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%</w:t>
      </w:r>
      <w:r w:rsidR="00B13C6C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 xml:space="preserve"> </w:t>
      </w:r>
      <w:r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*</w:t>
      </w:r>
      <w:r w:rsidR="00B13C6C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 xml:space="preserve"> </w:t>
      </w:r>
      <w:r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400</w:t>
      </w:r>
      <w:r w:rsidR="00B13C6C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 xml:space="preserve"> </w:t>
      </w:r>
      <w:r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300</w:t>
      </w:r>
      <w:r w:rsidR="00971A4A" w:rsidRPr="00041ECB">
        <w:rPr>
          <w:rFonts w:asciiTheme="majorBidi" w:eastAsia="Times New Roman" w:hAnsiTheme="majorBidi" w:cstheme="majorBidi"/>
          <w:i/>
          <w:iCs/>
          <w:color w:val="000000"/>
          <w:sz w:val="24"/>
          <w:szCs w:val="24"/>
          <w:vertAlign w:val="superscript"/>
          <w:lang w:eastAsia="en-ZA"/>
        </w:rPr>
        <w:t>ha</w:t>
      </w:r>
    </w:p>
    <w:p w14:paraId="3054BB7B" w14:textId="39E20DFB" w:rsidR="004F5C80" w:rsidRPr="00041ECB" w:rsidRDefault="004F5C80" w:rsidP="003F6C86">
      <w:pPr>
        <w:rPr>
          <w:rFonts w:asciiTheme="majorBidi" w:hAnsiTheme="majorBidi" w:cstheme="majorBidi"/>
          <w:i/>
          <w:iCs/>
          <w:sz w:val="24"/>
          <w:szCs w:val="24"/>
          <w:vertAlign w:val="superscript"/>
        </w:rPr>
      </w:pPr>
      <w:r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2</w:t>
      </w:r>
      <w:r w:rsid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)</w:t>
      </w:r>
      <w:r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10m trees /164 542ha / 23.6% * 23.7% * 229 200ha</w:t>
      </w:r>
    </w:p>
    <w:p w14:paraId="68F0968D" w14:textId="303F1B6B" w:rsidR="003D42DA" w:rsidRPr="00041ECB" w:rsidRDefault="003F6C86" w:rsidP="003F6C86">
      <w:pPr>
        <w:rPr>
          <w:rFonts w:asciiTheme="majorBidi" w:hAnsiTheme="majorBidi" w:cstheme="majorBidi"/>
          <w:i/>
          <w:iCs/>
          <w:sz w:val="24"/>
          <w:szCs w:val="24"/>
          <w:vertAlign w:val="superscript"/>
        </w:rPr>
      </w:pPr>
      <w:r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</w:t>
      </w:r>
      <w:r w:rsid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)</w:t>
      </w:r>
      <w:r w:rsidR="003D42DA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5</w:t>
      </w:r>
      <w:r w:rsidR="00B47484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 </w:t>
      </w:r>
      <w:r w:rsidR="003D42DA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346</w:t>
      </w:r>
      <w:r w:rsidR="00B47484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 </w:t>
      </w:r>
      <w:r w:rsidR="003D42DA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000</w:t>
      </w:r>
      <w:r w:rsidR="00B47484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</w:t>
      </w:r>
      <w:r w:rsidR="00971A4A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ha</w:t>
      </w:r>
      <w:r w:rsidR="00B47484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</w:t>
      </w:r>
      <w:r w:rsidR="003D42DA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/</w:t>
      </w:r>
      <w:r w:rsidR="00B47484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</w:t>
      </w:r>
      <w:r w:rsidR="003D42DA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794</w:t>
      </w:r>
      <w:r w:rsidR="00B47484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 </w:t>
      </w:r>
      <w:r w:rsidR="003D42DA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042</w:t>
      </w:r>
      <w:r w:rsidR="00B47484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</w:t>
      </w:r>
      <w:r w:rsidR="00971A4A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ha</w:t>
      </w:r>
      <w:r w:rsidR="00B47484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</w:t>
      </w:r>
      <w:r w:rsidR="003D42DA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*</w:t>
      </w:r>
      <w:r w:rsidR="00B47484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 xml:space="preserve"> </w:t>
      </w:r>
      <w:r w:rsidR="003D42DA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37.8</w:t>
      </w:r>
      <w:r w:rsidR="00971A4A" w:rsidRPr="00041ECB">
        <w:rPr>
          <w:rFonts w:asciiTheme="majorBidi" w:hAnsiTheme="majorBidi" w:cstheme="majorBidi"/>
          <w:i/>
          <w:iCs/>
          <w:sz w:val="24"/>
          <w:szCs w:val="24"/>
          <w:vertAlign w:val="superscript"/>
        </w:rPr>
        <w:t>m trees</w:t>
      </w:r>
    </w:p>
    <w:p w14:paraId="68F09694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</w:p>
    <w:p w14:paraId="68F09696" w14:textId="17FE1B83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5558EC">
        <w:rPr>
          <w:rFonts w:asciiTheme="majorBidi" w:hAnsiTheme="majorBidi" w:cstheme="majorBidi"/>
          <w:b/>
          <w:bCs/>
          <w:sz w:val="24"/>
          <w:szCs w:val="24"/>
        </w:rPr>
        <w:t xml:space="preserve">Equations used in the </w:t>
      </w:r>
      <w:proofErr w:type="gramStart"/>
      <w:r w:rsidRPr="005558EC">
        <w:rPr>
          <w:rFonts w:asciiTheme="majorBidi" w:hAnsiTheme="majorBidi" w:cstheme="majorBidi"/>
          <w:b/>
          <w:bCs/>
          <w:sz w:val="24"/>
          <w:szCs w:val="24"/>
        </w:rPr>
        <w:t>model</w:t>
      </w:r>
      <w:proofErr w:type="gramEnd"/>
    </w:p>
    <w:p w14:paraId="68F09697" w14:textId="77777777" w:rsidR="003D42DA" w:rsidRPr="00F76618" w:rsidRDefault="003D42DA" w:rsidP="003D42DA">
      <w:pPr>
        <w:pBdr>
          <w:top w:val="double" w:sz="6" w:space="1" w:color="auto"/>
          <w:bottom w:val="double" w:sz="6" w:space="1" w:color="auto"/>
        </w:pBd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Equations</w:t>
      </w:r>
    </w:p>
    <w:p w14:paraId="68F09698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Avocado trees with dieback= INTEG (avocado growth-avocado mortality,</w:t>
      </w:r>
    </w:p>
    <w:p w14:paraId="68F09699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</w:r>
      <w:r w:rsidRPr="00F76618">
        <w:rPr>
          <w:rFonts w:asciiTheme="majorBidi" w:hAnsiTheme="majorBidi" w:cstheme="majorBidi"/>
          <w:sz w:val="24"/>
          <w:szCs w:val="24"/>
        </w:rPr>
        <w:tab/>
        <w:t>initial number of avocado trees)</w:t>
      </w:r>
    </w:p>
    <w:p w14:paraId="68F0969A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</w:t>
      </w:r>
    </w:p>
    <w:p w14:paraId="68F0969B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growth price avocados=</w:t>
      </w:r>
      <w:r w:rsidRPr="00F76618">
        <w:rPr>
          <w:rFonts w:asciiTheme="majorBidi" w:hAnsiTheme="majorBidi" w:cstheme="majorBidi"/>
          <w:sz w:val="24"/>
          <w:szCs w:val="24"/>
        </w:rPr>
        <w:tab/>
        <w:t>growth rate price avocados*producer price Avocados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Dollar/(tonne*Month)</w:t>
      </w:r>
    </w:p>
    <w:p w14:paraId="68F0969C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External cost urban trees= INTEG (rate, 0)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</w:t>
      </w:r>
    </w:p>
    <w:p w14:paraId="68F0969D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tree spread= </w:t>
      </w:r>
      <w:r w:rsidRPr="00F76618">
        <w:rPr>
          <w:rFonts w:asciiTheme="majorBidi" w:hAnsiTheme="majorBidi" w:cstheme="majorBidi"/>
          <w:sz w:val="24"/>
          <w:szCs w:val="24"/>
        </w:rPr>
        <w:tab/>
        <w:t>urban tree growth rate*Urban trees</w:t>
      </w:r>
    </w:p>
    <w:p w14:paraId="68F0969E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9F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Polyphagous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Shothole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Borer= INTEG (</w:t>
      </w:r>
    </w:p>
    <w:p w14:paraId="68F096A0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>growth PSHB-mortality PSHB,</w:t>
      </w:r>
    </w:p>
    <w:p w14:paraId="68F096A1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</w:r>
      <w:r w:rsidRPr="00F76618">
        <w:rPr>
          <w:rFonts w:asciiTheme="majorBidi" w:hAnsiTheme="majorBidi" w:cstheme="majorBidi"/>
          <w:sz w:val="24"/>
          <w:szCs w:val="24"/>
        </w:rPr>
        <w:tab/>
        <w:t>initial proportion PSHB)</w:t>
      </w:r>
    </w:p>
    <w:p w14:paraId="68F096A2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Dmnl</w:t>
      </w:r>
      <w:proofErr w:type="spellEnd"/>
    </w:p>
    <w:p w14:paraId="68F096A3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no of trees infested (assumption) x no. of PSHB per tree</w:t>
      </w:r>
    </w:p>
    <w:p w14:paraId="68F096A4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Fusarium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euwallaceae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>= INTEG (</w:t>
      </w:r>
    </w:p>
    <w:p w14:paraId="68F096A5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lastRenderedPageBreak/>
        <w:tab/>
        <w:t>growth Fusarium-mortality Fusarium,</w:t>
      </w:r>
    </w:p>
    <w:p w14:paraId="68F096A6" w14:textId="77777777" w:rsidR="003D42DA" w:rsidRPr="00F76618" w:rsidRDefault="003D42DA" w:rsidP="003D42DA">
      <w:pPr>
        <w:pStyle w:val="ListParagraph"/>
        <w:numPr>
          <w:ilvl w:val="1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~</w:t>
      </w:r>
      <w:r w:rsidRPr="00F76618">
        <w:rPr>
          <w:rFonts w:asciiTheme="majorBidi" w:hAnsiTheme="majorBidi" w:cstheme="majorBidi"/>
          <w:sz w:val="24"/>
          <w:szCs w:val="24"/>
        </w:rPr>
        <w:tab/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Dmnl</w:t>
      </w:r>
      <w:proofErr w:type="spellEnd"/>
    </w:p>
    <w:p w14:paraId="68F096A7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growth Fusarium=</w:t>
      </w:r>
    </w:p>
    <w:p w14:paraId="68F096A8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 xml:space="preserve">growth rate Fusarium*Fusarium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euwallaceae+beta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*Polyphagous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Shothole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Borer*Fusarium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euwallaceae</w:t>
      </w:r>
      <w:proofErr w:type="spellEnd"/>
    </w:p>
    <w:p w14:paraId="68F096A9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1/Month</w:t>
      </w:r>
    </w:p>
    <w:p w14:paraId="68F096AA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growth PSHB=</w:t>
      </w:r>
    </w:p>
    <w:p w14:paraId="68F096AB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 xml:space="preserve">Polyphagous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Shothole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Borer*growth rate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PSHB+alpha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*Polyphagous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Shothole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Borer*Fusarium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euwallaceae</w:t>
      </w:r>
      <w:proofErr w:type="spellEnd"/>
    </w:p>
    <w:p w14:paraId="68F096AC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1/Month</w:t>
      </w:r>
    </w:p>
    <w:p w14:paraId="68F096AD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producer price Avocados= INTEG (growth price avocados,</w:t>
      </w:r>
    </w:p>
    <w:p w14:paraId="68F096AE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</w:r>
      <w:r w:rsidRPr="00F76618">
        <w:rPr>
          <w:rFonts w:asciiTheme="majorBidi" w:hAnsiTheme="majorBidi" w:cstheme="majorBidi"/>
          <w:sz w:val="24"/>
          <w:szCs w:val="24"/>
        </w:rPr>
        <w:tab/>
        <w:t xml:space="preserve">19343/14.5*17.68/13)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Dollar/tonne</w:t>
      </w:r>
    </w:p>
    <w:p w14:paraId="68F096AF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constant 2019 International US$</w:t>
      </w:r>
    </w:p>
    <w:p w14:paraId="68F096B0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NPC avocado= INTEG (rate avocado, 0)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</w:t>
      </w:r>
    </w:p>
    <w:p w14:paraId="68F096B1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growth wattles= Wattle trees with dieback*growth rate wattle</w:t>
      </w:r>
    </w:p>
    <w:p w14:paraId="68F096B2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B3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growth price wattle bark= growth rate price wattle*producer price wattle bark</w:t>
      </w:r>
    </w:p>
    <w:p w14:paraId="68F096B4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Dollar/(tonne*Month)</w:t>
      </w:r>
    </w:p>
    <w:p w14:paraId="68F096B5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producer price wattle bark= INTEG (growth price wattle bark,</w:t>
      </w:r>
    </w:p>
    <w:p w14:paraId="68F096B6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</w:r>
      <w:r w:rsidRPr="00F76618">
        <w:rPr>
          <w:rFonts w:asciiTheme="majorBidi" w:hAnsiTheme="majorBidi" w:cstheme="majorBidi"/>
          <w:sz w:val="24"/>
          <w:szCs w:val="24"/>
        </w:rPr>
        <w:tab/>
        <w:t xml:space="preserve">1545/14.5*17.68/13)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 xml:space="preserve">Dollar/tonne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constant 2019 prices</w:t>
      </w:r>
    </w:p>
    <w:p w14:paraId="68F096B7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NPC wattle= INTEG (rate wattle, 0)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</w:t>
      </w:r>
    </w:p>
    <w:p w14:paraId="68F096B8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avocado growth= Avocado trees with dieback*growth rate avocados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B9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Avocado producer value with dieback= </w:t>
      </w:r>
      <w:r w:rsidRPr="00F76618">
        <w:rPr>
          <w:rFonts w:asciiTheme="majorBidi" w:hAnsiTheme="majorBidi" w:cstheme="majorBidi"/>
          <w:sz w:val="24"/>
          <w:szCs w:val="24"/>
        </w:rPr>
        <w:tab/>
        <w:t xml:space="preserve">producer price Avocados*production volume avocados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Dollar/Month</w:t>
      </w:r>
    </w:p>
    <w:p w14:paraId="68F096BA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wattle mortality= growth rate wattle*Wattle trees with dieback^2/carrying capacity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wattle+Fusarium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mortality rate wattle*Wattle trees with dieback*Fusarium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euwallaceae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BB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rate avocado=</w:t>
      </w:r>
      <w:r w:rsidRPr="00F76618">
        <w:rPr>
          <w:rFonts w:asciiTheme="majorBidi" w:hAnsiTheme="majorBidi" w:cstheme="majorBidi"/>
          <w:sz w:val="24"/>
          <w:szCs w:val="24"/>
        </w:rPr>
        <w:tab/>
        <w:t>(Avocado producer value baseline-Avocado producer value with dieback)</w:t>
      </w:r>
      <w:proofErr w:type="gramStart"/>
      <w:r w:rsidRPr="00F76618">
        <w:rPr>
          <w:rFonts w:asciiTheme="majorBidi" w:hAnsiTheme="majorBidi" w:cstheme="majorBidi"/>
          <w:sz w:val="24"/>
          <w:szCs w:val="24"/>
        </w:rPr>
        <w:t>/(</w:t>
      </w:r>
      <w:proofErr w:type="gramEnd"/>
      <w:r w:rsidRPr="00F76618">
        <w:rPr>
          <w:rFonts w:asciiTheme="majorBidi" w:hAnsiTheme="majorBidi" w:cstheme="majorBidi"/>
          <w:sz w:val="24"/>
          <w:szCs w:val="24"/>
        </w:rPr>
        <w:t>(1+monthly effective discount rate)^(Time/TIME STEP))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Dollar/Month</w:t>
      </w:r>
    </w:p>
    <w:p w14:paraId="68F096BC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rate wattle= (wattle producer value baseline-wattle producer value with dieback)</w:t>
      </w:r>
      <w:proofErr w:type="gramStart"/>
      <w:r w:rsidRPr="00F76618">
        <w:rPr>
          <w:rFonts w:asciiTheme="majorBidi" w:hAnsiTheme="majorBidi" w:cstheme="majorBidi"/>
          <w:sz w:val="24"/>
          <w:szCs w:val="24"/>
        </w:rPr>
        <w:t>/(</w:t>
      </w:r>
      <w:proofErr w:type="gramEnd"/>
      <w:r w:rsidRPr="00F76618">
        <w:rPr>
          <w:rFonts w:asciiTheme="majorBidi" w:hAnsiTheme="majorBidi" w:cstheme="majorBidi"/>
          <w:sz w:val="24"/>
          <w:szCs w:val="24"/>
        </w:rPr>
        <w:t>(1+monthly effective discount rate)^(Time/TIME STEP))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Dollar/Month</w:t>
      </w:r>
    </w:p>
    <w:p w14:paraId="68F096BD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wattle trees baseline= INTEG (growth wattles baseline-mortality wattles baseline, 2.73304e+006)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</w:t>
      </w:r>
    </w:p>
    <w:p w14:paraId="68F096BE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lastRenderedPageBreak/>
        <w:t xml:space="preserve">growth wattles baseline= growth rate wattle*wattle trees baseline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BF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Wattle trees with dieback= INTEG (growth wattles-wattle mortality, Initial number of trees wattle bark)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</w:t>
      </w:r>
    </w:p>
    <w:p w14:paraId="68F096C0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avocado growth baseline= Avocado trees baseline*growth rate avocados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C1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avocado mortality= growth rate avocados*Avocado trees with dieback^2/carrying capacity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avocados+Avocado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trees with dieback*Fusarium mortality rate avocados*Fusarium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euwallaceae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C2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avocado mortality baseline= growth rate avocados*Avocado trees baseline^2/carrying capacity avocados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C3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mortality wattles baseline= growth rate wattle*wattle trees baseline^2/carrying capacity wattle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C4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Avocado trees baseline= INTEG (avocado growth baseline-avocado mortality baseline, initial number of avocado trees)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</w:t>
      </w:r>
    </w:p>
    <w:p w14:paraId="68F096C5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carrying capacity avocados= </w:t>
      </w:r>
      <w:r w:rsidRPr="00F76618">
        <w:rPr>
          <w:rFonts w:asciiTheme="majorBidi" w:hAnsiTheme="majorBidi" w:cstheme="majorBidi"/>
          <w:sz w:val="24"/>
          <w:szCs w:val="24"/>
        </w:rPr>
        <w:tab/>
        <w:t xml:space="preserve">initial number of avocado </w:t>
      </w:r>
      <w:proofErr w:type="gramStart"/>
      <w:r w:rsidRPr="00F76618">
        <w:rPr>
          <w:rFonts w:asciiTheme="majorBidi" w:hAnsiTheme="majorBidi" w:cstheme="majorBidi"/>
          <w:sz w:val="24"/>
          <w:szCs w:val="24"/>
        </w:rPr>
        <w:t>trees/proportion</w:t>
      </w:r>
      <w:proofErr w:type="gramEnd"/>
      <w:r w:rsidRPr="00F76618">
        <w:rPr>
          <w:rFonts w:asciiTheme="majorBidi" w:hAnsiTheme="majorBidi" w:cstheme="majorBidi"/>
          <w:sz w:val="24"/>
          <w:szCs w:val="24"/>
        </w:rPr>
        <w:t xml:space="preserve"> of total production</w:t>
      </w:r>
    </w:p>
    <w:p w14:paraId="68F096C6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</w:t>
      </w:r>
    </w:p>
    <w:p w14:paraId="68F096C7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carrying capacity wattle=Initial number of trees wattle bark*ratio maximum to initial wattle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</w:t>
      </w:r>
    </w:p>
    <w:p w14:paraId="68F096C8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production volume wattle bark= area planted wattle bark*production bark per hectare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tonne/Month</w:t>
      </w:r>
    </w:p>
    <w:p w14:paraId="68F096C9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urban tree mortality= urban tree growth rate*Urban trees^2/carrying capacity urban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trees+Fusarium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euwallaceae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*Fusarium mortality rate urban trees*Urban trees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CA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Carrying capacity PSHB number=</w:t>
      </w:r>
      <w:r w:rsidRPr="00F76618">
        <w:rPr>
          <w:rFonts w:asciiTheme="majorBidi" w:hAnsiTheme="majorBidi" w:cstheme="majorBidi"/>
          <w:sz w:val="24"/>
          <w:szCs w:val="24"/>
        </w:rPr>
        <w:tab/>
        <w:t>average number PSH</w:t>
      </w:r>
      <w:r w:rsidR="001C33DB" w:rsidRPr="00F76618">
        <w:rPr>
          <w:rFonts w:asciiTheme="majorBidi" w:hAnsiTheme="majorBidi" w:cstheme="majorBidi"/>
          <w:sz w:val="24"/>
          <w:szCs w:val="24"/>
        </w:rPr>
        <w:t xml:space="preserve">B per tree*maximum number of trees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number</w:t>
      </w:r>
    </w:p>
    <w:p w14:paraId="68F096CB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average number PSHB per tree= average weight of tree*number of PSHB per kilogram host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number/tree</w:t>
      </w:r>
    </w:p>
    <w:p w14:paraId="68F096CC" w14:textId="77777777" w:rsidR="003D42DA" w:rsidRPr="00F76618" w:rsidRDefault="003D42DA" w:rsidP="001C33DB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mortality PSHB= (growth rate PSHB*Polyphagous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Shothole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Borer^2)/carryin</w:t>
      </w:r>
      <w:r w:rsidR="001C33DB" w:rsidRPr="00F76618">
        <w:rPr>
          <w:rFonts w:asciiTheme="majorBidi" w:hAnsiTheme="majorBidi" w:cstheme="majorBidi"/>
          <w:sz w:val="24"/>
          <w:szCs w:val="24"/>
        </w:rPr>
        <w:t>g capacity PSHB proportion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1/Month</w:t>
      </w:r>
    </w:p>
    <w:p w14:paraId="68F096CD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wattle producer value with dieback= </w:t>
      </w:r>
      <w:r w:rsidRPr="00F76618">
        <w:rPr>
          <w:rFonts w:asciiTheme="majorBidi" w:hAnsiTheme="majorBidi" w:cstheme="majorBidi"/>
          <w:sz w:val="24"/>
          <w:szCs w:val="24"/>
        </w:rPr>
        <w:tab/>
        <w:t xml:space="preserve">producer price wattle bark*production volume wattle bark*adjustment factor for timber products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 xml:space="preserve">Dollar/Month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2019 constant prices</w:t>
      </w:r>
    </w:p>
    <w:p w14:paraId="68F096CE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decline trees treated=</w:t>
      </w:r>
      <w:r w:rsidRPr="00F76618">
        <w:rPr>
          <w:rFonts w:asciiTheme="majorBidi" w:hAnsiTheme="majorBidi" w:cstheme="majorBidi"/>
          <w:sz w:val="24"/>
          <w:szCs w:val="24"/>
        </w:rPr>
        <w:tab/>
        <w:t>growth rate trees treated*number of infected trees treated^2</w:t>
      </w:r>
      <w:proofErr w:type="gramStart"/>
      <w:r w:rsidRPr="00F76618">
        <w:rPr>
          <w:rFonts w:asciiTheme="majorBidi" w:hAnsiTheme="majorBidi" w:cstheme="majorBidi"/>
          <w:sz w:val="24"/>
          <w:szCs w:val="24"/>
        </w:rPr>
        <w:t>/(</w:t>
      </w:r>
      <w:proofErr w:type="gramEnd"/>
      <w:r w:rsidRPr="00F76618">
        <w:rPr>
          <w:rFonts w:asciiTheme="majorBidi" w:hAnsiTheme="majorBidi" w:cstheme="majorBidi"/>
          <w:sz w:val="24"/>
          <w:szCs w:val="24"/>
        </w:rPr>
        <w:t xml:space="preserve">maximum trees treated*Fusarium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euwallaceae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>)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CF" w14:textId="77777777" w:rsidR="003D42DA" w:rsidRPr="00F76618" w:rsidRDefault="003D42DA" w:rsidP="001C33DB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mortality Fusarium= (growth rate Fusarium*Fusarium euwallaceae^2)/carrying capacity Fusarium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1/Month</w:t>
      </w:r>
    </w:p>
    <w:p w14:paraId="68F096D0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primary forest mortality= Fusarium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euwallaceae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*Fusarium mortality rate primary forests*Primary forest with dieback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hectare/Month</w:t>
      </w:r>
    </w:p>
    <w:p w14:paraId="68F096D1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lastRenderedPageBreak/>
        <w:t xml:space="preserve">NPC primary forest= INTEG (rate forest, </w:t>
      </w:r>
      <w:r w:rsidRPr="00F76618">
        <w:rPr>
          <w:rFonts w:asciiTheme="majorBidi" w:hAnsiTheme="majorBidi" w:cstheme="majorBidi"/>
          <w:sz w:val="24"/>
          <w:szCs w:val="24"/>
        </w:rPr>
        <w:tab/>
        <w:t xml:space="preserve">0)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</w:t>
      </w:r>
    </w:p>
    <w:p w14:paraId="68F096D2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rate forest= (average carbon density*loss due to PSHB*unit carbon value*factor for other values from forests)</w:t>
      </w:r>
      <w:proofErr w:type="gramStart"/>
      <w:r w:rsidRPr="00F76618">
        <w:rPr>
          <w:rFonts w:asciiTheme="majorBidi" w:hAnsiTheme="majorBidi" w:cstheme="majorBidi"/>
          <w:sz w:val="24"/>
          <w:szCs w:val="24"/>
        </w:rPr>
        <w:t>/(</w:t>
      </w:r>
      <w:proofErr w:type="gramEnd"/>
      <w:r w:rsidRPr="00F76618">
        <w:rPr>
          <w:rFonts w:asciiTheme="majorBidi" w:hAnsiTheme="majorBidi" w:cstheme="majorBidi"/>
          <w:sz w:val="24"/>
          <w:szCs w:val="24"/>
        </w:rPr>
        <w:t>(1+monthly effective discount rate)^(Time/TIME STEP))</w:t>
      </w:r>
    </w:p>
    <w:p w14:paraId="68F096D3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Dollar/Month</w:t>
      </w:r>
    </w:p>
    <w:p w14:paraId="68F096D4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Primary forest with dieback= INTEG (growth forests-primary forest mortality,</w:t>
      </w:r>
      <w:r w:rsidRPr="00F76618">
        <w:rPr>
          <w:rFonts w:asciiTheme="majorBidi" w:hAnsiTheme="majorBidi" w:cstheme="majorBidi"/>
          <w:sz w:val="24"/>
          <w:szCs w:val="24"/>
        </w:rPr>
        <w:tab/>
      </w:r>
      <w:r w:rsidRPr="00F76618">
        <w:rPr>
          <w:rFonts w:asciiTheme="majorBidi" w:hAnsiTheme="majorBidi" w:cstheme="majorBidi"/>
          <w:sz w:val="24"/>
          <w:szCs w:val="24"/>
        </w:rPr>
        <w:tab/>
        <w:t>947000)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hectare</w:t>
      </w:r>
    </w:p>
    <w:p w14:paraId="68F096D5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Urban trees= INTEG (tree spread-urban tree mortality, urban trees no dieback)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</w:t>
      </w:r>
    </w:p>
    <w:p w14:paraId="68F096D6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Social cost= </w:t>
      </w:r>
      <w:r w:rsidRPr="00F76618">
        <w:rPr>
          <w:rFonts w:asciiTheme="majorBidi" w:hAnsiTheme="majorBidi" w:cstheme="majorBidi"/>
          <w:sz w:val="24"/>
          <w:szCs w:val="24"/>
        </w:rPr>
        <w:tab/>
        <w:t xml:space="preserve">Financial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cost+External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cost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 xml:space="preserve">Dollar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2019 International dollars</w:t>
      </w:r>
    </w:p>
    <w:p w14:paraId="68F096D7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External cost= </w:t>
      </w:r>
      <w:r w:rsidRPr="00F76618">
        <w:rPr>
          <w:rFonts w:asciiTheme="majorBidi" w:hAnsiTheme="majorBidi" w:cstheme="majorBidi"/>
          <w:sz w:val="24"/>
          <w:szCs w:val="24"/>
        </w:rPr>
        <w:tab/>
        <w:t xml:space="preserve">NPC primary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forest+External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cost urban trees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</w:t>
      </w:r>
    </w:p>
    <w:p w14:paraId="68F096D8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initial proportion PSHB= </w:t>
      </w:r>
      <w:r w:rsidRPr="00F76618">
        <w:rPr>
          <w:rFonts w:asciiTheme="majorBidi" w:hAnsiTheme="majorBidi" w:cstheme="majorBidi"/>
          <w:sz w:val="24"/>
          <w:szCs w:val="24"/>
        </w:rPr>
        <w:tab/>
        <w:t>number PSHB per tree*initial no of trees infested/Carrying capacity PSHB number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Dmnl</w:t>
      </w:r>
      <w:proofErr w:type="spellEnd"/>
    </w:p>
    <w:p w14:paraId="68F096D9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monthly effective discount rate= (1+annual discount </w:t>
      </w:r>
      <w:proofErr w:type="gramStart"/>
      <w:r w:rsidRPr="00F76618">
        <w:rPr>
          <w:rFonts w:asciiTheme="majorBidi" w:hAnsiTheme="majorBidi" w:cstheme="majorBidi"/>
          <w:sz w:val="24"/>
          <w:szCs w:val="24"/>
        </w:rPr>
        <w:t>rate)^</w:t>
      </w:r>
      <w:proofErr w:type="gramEnd"/>
      <w:r w:rsidRPr="00F76618">
        <w:rPr>
          <w:rFonts w:asciiTheme="majorBidi" w:hAnsiTheme="majorBidi" w:cstheme="majorBidi"/>
          <w:sz w:val="24"/>
          <w:szCs w:val="24"/>
        </w:rPr>
        <w:t xml:space="preserve">(1/12)-1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Dmnl</w:t>
      </w:r>
      <w:proofErr w:type="spellEnd"/>
    </w:p>
    <w:p w14:paraId="68F096DA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growth forests= growth rate natural forests*Primary forest with dieback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hectare/Month</w:t>
      </w:r>
    </w:p>
    <w:p w14:paraId="68F096DB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rate private cost</w:t>
      </w:r>
      <w:r w:rsidR="001C33DB" w:rsidRPr="00F76618">
        <w:rPr>
          <w:rFonts w:asciiTheme="majorBidi" w:hAnsiTheme="majorBidi" w:cstheme="majorBidi"/>
          <w:sz w:val="24"/>
          <w:szCs w:val="24"/>
        </w:rPr>
        <w:t>= (urban tree mortality</w:t>
      </w:r>
      <w:r w:rsidRPr="00F76618">
        <w:rPr>
          <w:rFonts w:asciiTheme="majorBidi" w:hAnsiTheme="majorBidi" w:cstheme="majorBidi"/>
          <w:sz w:val="24"/>
          <w:szCs w:val="24"/>
        </w:rPr>
        <w:t>*physical clearing cost)</w:t>
      </w:r>
      <w:proofErr w:type="gramStart"/>
      <w:r w:rsidRPr="00F76618">
        <w:rPr>
          <w:rFonts w:asciiTheme="majorBidi" w:hAnsiTheme="majorBidi" w:cstheme="majorBidi"/>
          <w:sz w:val="24"/>
          <w:szCs w:val="24"/>
        </w:rPr>
        <w:t>/(</w:t>
      </w:r>
      <w:proofErr w:type="gramEnd"/>
      <w:r w:rsidRPr="00F76618">
        <w:rPr>
          <w:rFonts w:asciiTheme="majorBidi" w:hAnsiTheme="majorBidi" w:cstheme="majorBidi"/>
          <w:sz w:val="24"/>
          <w:szCs w:val="24"/>
        </w:rPr>
        <w:t xml:space="preserve">(1+monthly effective discount rate)^(Time/TIME STEP))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Dollar/Month</w:t>
      </w:r>
    </w:p>
    <w:p w14:paraId="68F096DC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rate</w:t>
      </w:r>
      <w:r w:rsidR="001C33DB" w:rsidRPr="00F76618">
        <w:rPr>
          <w:rFonts w:asciiTheme="majorBidi" w:hAnsiTheme="majorBidi" w:cstheme="majorBidi"/>
          <w:sz w:val="24"/>
          <w:szCs w:val="24"/>
        </w:rPr>
        <w:t>= (urban tree mortality</w:t>
      </w:r>
      <w:r w:rsidRPr="00F76618">
        <w:rPr>
          <w:rFonts w:asciiTheme="majorBidi" w:hAnsiTheme="majorBidi" w:cstheme="majorBidi"/>
          <w:sz w:val="24"/>
          <w:szCs w:val="24"/>
        </w:rPr>
        <w:t>*Value of urban trees)</w:t>
      </w:r>
      <w:proofErr w:type="gramStart"/>
      <w:r w:rsidRPr="00F76618">
        <w:rPr>
          <w:rFonts w:asciiTheme="majorBidi" w:hAnsiTheme="majorBidi" w:cstheme="majorBidi"/>
          <w:sz w:val="24"/>
          <w:szCs w:val="24"/>
        </w:rPr>
        <w:t>/(</w:t>
      </w:r>
      <w:proofErr w:type="gramEnd"/>
      <w:r w:rsidRPr="00F76618">
        <w:rPr>
          <w:rFonts w:asciiTheme="majorBidi" w:hAnsiTheme="majorBidi" w:cstheme="majorBidi"/>
          <w:sz w:val="24"/>
          <w:szCs w:val="24"/>
        </w:rPr>
        <w:t>(1+monthly effective discount rate)^(Time/TIME STEP))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Dollar/Month</w:t>
      </w:r>
    </w:p>
    <w:p w14:paraId="68F096DD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effectiveness of treatment= biocontrol*IF THEN ELSE(Time&gt;</w:t>
      </w:r>
      <w:proofErr w:type="gramStart"/>
      <w:r w:rsidRPr="00F76618">
        <w:rPr>
          <w:rFonts w:asciiTheme="majorBidi" w:hAnsiTheme="majorBidi" w:cstheme="majorBidi"/>
          <w:sz w:val="24"/>
          <w:szCs w:val="24"/>
        </w:rPr>
        <w:t>59,effectiveness</w:t>
      </w:r>
      <w:proofErr w:type="gramEnd"/>
      <w:r w:rsidRPr="00F76618">
        <w:rPr>
          <w:rFonts w:asciiTheme="majorBidi" w:hAnsiTheme="majorBidi" w:cstheme="majorBidi"/>
          <w:sz w:val="24"/>
          <w:szCs w:val="24"/>
        </w:rPr>
        <w:t xml:space="preserve"> biocontrol,0)+physical clearing*effectiveness physical clearing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1/Month</w:t>
      </w:r>
    </w:p>
    <w:p w14:paraId="68F096DE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Private cost= INTEG (rate private cost, </w:t>
      </w:r>
      <w:r w:rsidRPr="00F76618">
        <w:rPr>
          <w:rFonts w:asciiTheme="majorBidi" w:hAnsiTheme="majorBidi" w:cstheme="majorBidi"/>
          <w:sz w:val="24"/>
          <w:szCs w:val="24"/>
        </w:rPr>
        <w:tab/>
      </w:r>
      <w:r w:rsidRPr="00F76618">
        <w:rPr>
          <w:rFonts w:asciiTheme="majorBidi" w:hAnsiTheme="majorBidi" w:cstheme="majorBidi"/>
          <w:sz w:val="24"/>
          <w:szCs w:val="24"/>
        </w:rPr>
        <w:tab/>
        <w:t>0)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</w:t>
      </w:r>
    </w:p>
    <w:p w14:paraId="68F096DF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maximum trees treated= carrying capacity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avocados+carrying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capacity urban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trees+carrying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capacity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wattle+initial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area primary forest\number of trees per hectare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</w:t>
      </w:r>
    </w:p>
    <w:p w14:paraId="68F096E0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Financial cost= NPC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avocado+NPC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76618">
        <w:rPr>
          <w:rFonts w:asciiTheme="majorBidi" w:hAnsiTheme="majorBidi" w:cstheme="majorBidi"/>
          <w:sz w:val="24"/>
          <w:szCs w:val="24"/>
        </w:rPr>
        <w:t>wattle+Private</w:t>
      </w:r>
      <w:proofErr w:type="spellEnd"/>
      <w:r w:rsidRPr="00F76618">
        <w:rPr>
          <w:rFonts w:asciiTheme="majorBidi" w:hAnsiTheme="majorBidi" w:cstheme="majorBidi"/>
          <w:sz w:val="24"/>
          <w:szCs w:val="24"/>
        </w:rPr>
        <w:t xml:space="preserve"> cost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</w:t>
      </w:r>
    </w:p>
    <w:p w14:paraId="68F096E1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production volume avocados= </w:t>
      </w:r>
      <w:r w:rsidRPr="00F76618">
        <w:rPr>
          <w:rFonts w:asciiTheme="majorBidi" w:hAnsiTheme="majorBidi" w:cstheme="majorBidi"/>
          <w:sz w:val="24"/>
          <w:szCs w:val="24"/>
        </w:rPr>
        <w:tab/>
        <w:t>avocado production per tree*net growth avocados with dieback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tonne/Month</w:t>
      </w:r>
    </w:p>
    <w:p w14:paraId="68F096E2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area planted wattle bark= net growth wattle with dieback/wattle trees planted per hectare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hectare/Month</w:t>
      </w:r>
    </w:p>
    <w:p w14:paraId="68F096E3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Avocado producer value baseline= net growth avocados baseline*avocado production per tree*producer price Avocados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Dollar/Month</w:t>
      </w:r>
    </w:p>
    <w:p w14:paraId="68F096E4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net growth wattle baseline= growth wattles baseline-mortality wattles baseline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E5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net growth wattle with dieback= growth wattles-wattle mortality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E6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loss due to PSHB= net growth primary forest no dieback-net growth forest with dieback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hectare/Month</w:t>
      </w:r>
    </w:p>
    <w:p w14:paraId="68F096E7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lastRenderedPageBreak/>
        <w:t>net growth avocados baseline=</w:t>
      </w:r>
      <w:r w:rsidRPr="00F76618">
        <w:rPr>
          <w:rFonts w:asciiTheme="majorBidi" w:hAnsiTheme="majorBidi" w:cstheme="majorBidi"/>
          <w:sz w:val="24"/>
          <w:szCs w:val="24"/>
        </w:rPr>
        <w:tab/>
        <w:t>avocado growth baseline-avocado mortality baseline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E8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net growth avocados with dieback= avocado growth-avocado mortality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tree/Month</w:t>
      </w:r>
    </w:p>
    <w:p w14:paraId="68F096E9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 xml:space="preserve">net growth forest with dieback= growth forests-primary forest mortality 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hectare/Month</w:t>
      </w:r>
    </w:p>
    <w:p w14:paraId="68F096EA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sz w:val="24"/>
          <w:szCs w:val="24"/>
        </w:rPr>
        <w:t>wattle producer value baseline= net growth wattle baseline/wattle trees planted per hectare*production bark per hectare*producer price wattle bark*adjustment factor for timber products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Dollar/Month</w:t>
      </w:r>
      <w:r w:rsidRPr="00F76618">
        <w:rPr>
          <w:rFonts w:asciiTheme="majorBidi" w:hAnsiTheme="majorBidi" w:cstheme="majorBidi"/>
          <w:sz w:val="24"/>
          <w:szCs w:val="24"/>
        </w:rPr>
        <w:tab/>
        <w:t>~</w:t>
      </w:r>
      <w:r w:rsidRPr="00F76618">
        <w:rPr>
          <w:rFonts w:asciiTheme="majorBidi" w:hAnsiTheme="majorBidi" w:cstheme="majorBidi"/>
          <w:sz w:val="24"/>
          <w:szCs w:val="24"/>
        </w:rPr>
        <w:tab/>
        <w:t>2019 international dollars</w:t>
      </w:r>
    </w:p>
    <w:p w14:paraId="68F096EB" w14:textId="77777777" w:rsidR="003D42DA" w:rsidRPr="00F76618" w:rsidRDefault="003D42DA" w:rsidP="003D42DA">
      <w:pPr>
        <w:rPr>
          <w:rFonts w:asciiTheme="majorBidi" w:hAnsiTheme="majorBidi" w:cstheme="majorBidi"/>
          <w:sz w:val="24"/>
          <w:szCs w:val="24"/>
        </w:rPr>
      </w:pPr>
    </w:p>
    <w:p w14:paraId="68F096ED" w14:textId="4C2C56F1" w:rsidR="006569FC" w:rsidRPr="00F76618" w:rsidRDefault="001A4F30" w:rsidP="006569FC">
      <w:pPr>
        <w:rPr>
          <w:rFonts w:asciiTheme="majorBidi" w:hAnsiTheme="majorBidi" w:cstheme="majorBidi"/>
          <w:sz w:val="24"/>
          <w:szCs w:val="24"/>
        </w:rPr>
      </w:pPr>
      <w:r w:rsidRPr="001A2657">
        <w:rPr>
          <w:rFonts w:asciiTheme="majorBidi" w:hAnsiTheme="majorBidi" w:cstheme="majorBidi"/>
          <w:b/>
          <w:bCs/>
          <w:sz w:val="24"/>
          <w:szCs w:val="24"/>
        </w:rPr>
        <w:t>Table S.5</w:t>
      </w:r>
      <w:r w:rsidR="006569FC" w:rsidRPr="001A2657">
        <w:rPr>
          <w:rFonts w:asciiTheme="majorBidi" w:hAnsiTheme="majorBidi" w:cstheme="majorBidi"/>
          <w:b/>
          <w:bCs/>
          <w:sz w:val="24"/>
          <w:szCs w:val="24"/>
        </w:rPr>
        <w:t xml:space="preserve">. Input parameters used in the </w:t>
      </w:r>
      <w:proofErr w:type="gramStart"/>
      <w:r w:rsidR="006569FC" w:rsidRPr="001A2657">
        <w:rPr>
          <w:rFonts w:asciiTheme="majorBidi" w:hAnsiTheme="majorBidi" w:cstheme="majorBidi"/>
          <w:b/>
          <w:bCs/>
          <w:sz w:val="24"/>
          <w:szCs w:val="24"/>
        </w:rPr>
        <w:t>model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7"/>
        <w:gridCol w:w="1521"/>
        <w:gridCol w:w="1538"/>
        <w:gridCol w:w="4610"/>
      </w:tblGrid>
      <w:tr w:rsidR="006569FC" w:rsidRPr="00041ECB" w14:paraId="68F096F2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6EE" w14:textId="77777777" w:rsidR="006569FC" w:rsidRPr="00041ECB" w:rsidRDefault="006569FC" w:rsidP="00C73E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1254" w:type="dxa"/>
            <w:noWrap/>
            <w:hideMark/>
          </w:tcPr>
          <w:p w14:paraId="68F096EF" w14:textId="77777777" w:rsidR="006569FC" w:rsidRPr="00041ECB" w:rsidRDefault="006569FC" w:rsidP="00C73E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1480" w:type="dxa"/>
            <w:noWrap/>
            <w:hideMark/>
          </w:tcPr>
          <w:p w14:paraId="68F096F0" w14:textId="77777777" w:rsidR="006569FC" w:rsidRPr="00041ECB" w:rsidRDefault="006569FC" w:rsidP="00C73E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</w:t>
            </w:r>
          </w:p>
        </w:tc>
        <w:tc>
          <w:tcPr>
            <w:tcW w:w="4869" w:type="dxa"/>
            <w:noWrap/>
            <w:hideMark/>
          </w:tcPr>
          <w:p w14:paraId="68F096F1" w14:textId="77777777" w:rsidR="006569FC" w:rsidRPr="00041ECB" w:rsidRDefault="006569FC" w:rsidP="00C73E8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</w:t>
            </w:r>
          </w:p>
        </w:tc>
      </w:tr>
      <w:tr w:rsidR="006569FC" w:rsidRPr="00041ECB" w14:paraId="68F096F7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6F3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adjustment factor for timber products</w:t>
            </w:r>
          </w:p>
        </w:tc>
        <w:tc>
          <w:tcPr>
            <w:tcW w:w="1254" w:type="dxa"/>
            <w:noWrap/>
            <w:hideMark/>
          </w:tcPr>
          <w:p w14:paraId="68F096F4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9.15 </w:t>
            </w:r>
          </w:p>
        </w:tc>
        <w:tc>
          <w:tcPr>
            <w:tcW w:w="1480" w:type="dxa"/>
            <w:noWrap/>
            <w:hideMark/>
          </w:tcPr>
          <w:p w14:paraId="68F096F5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Dmnl</w:t>
            </w:r>
            <w:proofErr w:type="spellEnd"/>
          </w:p>
        </w:tc>
        <w:tc>
          <w:tcPr>
            <w:tcW w:w="4869" w:type="dxa"/>
            <w:noWrap/>
            <w:hideMark/>
          </w:tcPr>
          <w:p w14:paraId="68F096F6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Forestry South Africa (2020)</w:t>
            </w:r>
          </w:p>
        </w:tc>
      </w:tr>
      <w:tr w:rsidR="006569FC" w:rsidRPr="00041ECB" w14:paraId="68F096FC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6F8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Alpha</w:t>
            </w:r>
          </w:p>
        </w:tc>
        <w:tc>
          <w:tcPr>
            <w:tcW w:w="1254" w:type="dxa"/>
            <w:noWrap/>
            <w:hideMark/>
          </w:tcPr>
          <w:p w14:paraId="68F096F9" w14:textId="5FE91D3A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0.3 </w:t>
            </w:r>
          </w:p>
        </w:tc>
        <w:tc>
          <w:tcPr>
            <w:tcW w:w="1480" w:type="dxa"/>
            <w:noWrap/>
            <w:hideMark/>
          </w:tcPr>
          <w:p w14:paraId="68F096FA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6FB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effect of beetle-fungus interactions on PSHB spread [calibration]</w:t>
            </w:r>
          </w:p>
        </w:tc>
      </w:tr>
      <w:tr w:rsidR="006569FC" w:rsidRPr="00041ECB" w14:paraId="68F09701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6FD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annual discount rate</w:t>
            </w:r>
          </w:p>
        </w:tc>
        <w:tc>
          <w:tcPr>
            <w:tcW w:w="1254" w:type="dxa"/>
            <w:noWrap/>
            <w:hideMark/>
          </w:tcPr>
          <w:p w14:paraId="68F096FE" w14:textId="57110981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0.06 </w:t>
            </w:r>
          </w:p>
        </w:tc>
        <w:tc>
          <w:tcPr>
            <w:tcW w:w="1480" w:type="dxa"/>
            <w:noWrap/>
            <w:hideMark/>
          </w:tcPr>
          <w:p w14:paraId="68F096FF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Dmnl</w:t>
            </w:r>
            <w:proofErr w:type="spellEnd"/>
          </w:p>
        </w:tc>
        <w:tc>
          <w:tcPr>
            <w:tcW w:w="4869" w:type="dxa"/>
            <w:noWrap/>
            <w:hideMark/>
          </w:tcPr>
          <w:p w14:paraId="68F09700" w14:textId="3A250486" w:rsidR="006569FC" w:rsidRPr="00041ECB" w:rsidRDefault="001A593E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alculation based on </w:t>
            </w:r>
            <w:r w:rsidR="00E714B9"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t>Van Zyl and De Wit (2013)</w:t>
            </w:r>
            <w:r w:rsidR="00F12BEF"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ange: 0.04</w:t>
            </w:r>
            <w:r w:rsidR="00FF5F49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F5F49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0.08)</w:t>
            </w:r>
          </w:p>
        </w:tc>
      </w:tr>
      <w:tr w:rsidR="006569FC" w:rsidRPr="00041ECB" w14:paraId="68F09706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02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average carbon density</w:t>
            </w:r>
          </w:p>
        </w:tc>
        <w:tc>
          <w:tcPr>
            <w:tcW w:w="1254" w:type="dxa"/>
            <w:noWrap/>
            <w:hideMark/>
          </w:tcPr>
          <w:p w14:paraId="68F09703" w14:textId="4FEEC625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29/12 </w:t>
            </w:r>
          </w:p>
        </w:tc>
        <w:tc>
          <w:tcPr>
            <w:tcW w:w="1480" w:type="dxa"/>
            <w:noWrap/>
            <w:hideMark/>
          </w:tcPr>
          <w:p w14:paraId="68F09704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tC</w:t>
            </w:r>
            <w:proofErr w:type="spellEnd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/hectare </w:t>
            </w:r>
          </w:p>
        </w:tc>
        <w:tc>
          <w:tcPr>
            <w:tcW w:w="4869" w:type="dxa"/>
            <w:noWrap/>
            <w:hideMark/>
          </w:tcPr>
          <w:p w14:paraId="68F09705" w14:textId="60704ADD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Mongab</w:t>
            </w:r>
            <w:r w:rsidR="009D6181" w:rsidRPr="00041EC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proofErr w:type="spellEnd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(2011)</w:t>
            </w:r>
          </w:p>
        </w:tc>
      </w:tr>
      <w:tr w:rsidR="006569FC" w:rsidRPr="00041ECB" w14:paraId="68F0970B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07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average weight of tree</w:t>
            </w:r>
          </w:p>
        </w:tc>
        <w:tc>
          <w:tcPr>
            <w:tcW w:w="1254" w:type="dxa"/>
            <w:noWrap/>
            <w:hideMark/>
          </w:tcPr>
          <w:p w14:paraId="68F09708" w14:textId="037C720F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6141D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384 </w:t>
            </w:r>
          </w:p>
        </w:tc>
        <w:tc>
          <w:tcPr>
            <w:tcW w:w="1480" w:type="dxa"/>
            <w:noWrap/>
            <w:hideMark/>
          </w:tcPr>
          <w:p w14:paraId="68F09709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kg/tree</w:t>
            </w:r>
          </w:p>
        </w:tc>
        <w:tc>
          <w:tcPr>
            <w:tcW w:w="4869" w:type="dxa"/>
            <w:noWrap/>
            <w:hideMark/>
          </w:tcPr>
          <w:p w14:paraId="68F0970A" w14:textId="207456E6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Jacaranda</w:t>
            </w:r>
            <w:r w:rsidR="001A593E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as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A593E" w:rsidRPr="00041ECB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ndicative of urban tree</w:t>
            </w:r>
            <w:r w:rsidR="001A593E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099E"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fldChar w:fldCharType="begin" w:fldLock="1"/>
            </w:r>
            <w:r w:rsidR="006A0AE1"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instrText>ADDIN CSL_CITATION {"citationItems":[{"id":"ITEM-1","itemData":{"author":[{"dropping-particle":"","family":"Stoffberg","given":"Gerrit Hendrik","non-dropping-particle":"","parse-names":false,"suffix":""}],"id":"ITEM-1","issued":{"date-parts":[["2006"]]},"publisher":"University of Pretoria","title":"Growth and carbon sequestration by street trees in the City of Tshwane, South Africa","type":"thesis"},"uris":["http://www.mendeley.com/documents/?uuid=4b1bf022-c2d1-3b87-a87a-71847b991048"]}],"mendeley":{"formattedCitation":"(Stoffberg 2006)","plainTextFormattedCitation":"(Stoffberg 2006)","previouslyFormattedCitation":"(Stoffberg 2006)"},"properties":{"noteIndex":0},"schema":"https://github.com/citation-style-language/schema/raw/master/csl-citation.json"}</w:instrText>
            </w:r>
            <w:r w:rsidR="00F8099E"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fldChar w:fldCharType="separate"/>
            </w:r>
            <w:r w:rsidR="00F8099E"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t>(Stoffberg 2006)</w:t>
            </w:r>
            <w:r w:rsidR="00F8099E"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fldChar w:fldCharType="end"/>
            </w:r>
          </w:p>
        </w:tc>
      </w:tr>
      <w:tr w:rsidR="006569FC" w:rsidRPr="00041ECB" w14:paraId="68F09710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0C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avocado production per tree</w:t>
            </w:r>
          </w:p>
        </w:tc>
        <w:tc>
          <w:tcPr>
            <w:tcW w:w="1254" w:type="dxa"/>
            <w:noWrap/>
            <w:hideMark/>
          </w:tcPr>
          <w:p w14:paraId="68F0970D" w14:textId="2FFCE7E2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0.0272155 </w:t>
            </w:r>
          </w:p>
        </w:tc>
        <w:tc>
          <w:tcPr>
            <w:tcW w:w="1480" w:type="dxa"/>
            <w:noWrap/>
            <w:hideMark/>
          </w:tcPr>
          <w:p w14:paraId="68F0970E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tonne/tree</w:t>
            </w:r>
          </w:p>
        </w:tc>
        <w:tc>
          <w:tcPr>
            <w:tcW w:w="4869" w:type="dxa"/>
            <w:noWrap/>
            <w:hideMark/>
          </w:tcPr>
          <w:p w14:paraId="68F0970F" w14:textId="673E1B84" w:rsidR="006569FC" w:rsidRPr="00041ECB" w:rsidRDefault="00366C8A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9465C2" w:rsidRPr="00041ECB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https://homeguides.sfgate.com/much-avocado-trees-yield-56000.html</w:t>
              </w:r>
            </w:hyperlink>
          </w:p>
        </w:tc>
      </w:tr>
      <w:tr w:rsidR="006569FC" w:rsidRPr="00041ECB" w14:paraId="68F09715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11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1254" w:type="dxa"/>
            <w:noWrap/>
            <w:hideMark/>
          </w:tcPr>
          <w:p w14:paraId="68F09712" w14:textId="7107A8D9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0.3 </w:t>
            </w:r>
          </w:p>
        </w:tc>
        <w:tc>
          <w:tcPr>
            <w:tcW w:w="1480" w:type="dxa"/>
            <w:noWrap/>
            <w:hideMark/>
          </w:tcPr>
          <w:p w14:paraId="68F09713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14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effect of beetle-fungus interactions on Fusarium spread [calibration]</w:t>
            </w:r>
          </w:p>
        </w:tc>
      </w:tr>
      <w:tr w:rsidR="006569FC" w:rsidRPr="00041ECB" w14:paraId="68F0971A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16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carrying capacity Fusarium</w:t>
            </w:r>
          </w:p>
        </w:tc>
        <w:tc>
          <w:tcPr>
            <w:tcW w:w="1254" w:type="dxa"/>
            <w:noWrap/>
            <w:hideMark/>
          </w:tcPr>
          <w:p w14:paraId="68F09717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80" w:type="dxa"/>
            <w:noWrap/>
            <w:hideMark/>
          </w:tcPr>
          <w:p w14:paraId="68F09718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Dmnl</w:t>
            </w:r>
            <w:proofErr w:type="spellEnd"/>
          </w:p>
        </w:tc>
        <w:tc>
          <w:tcPr>
            <w:tcW w:w="4869" w:type="dxa"/>
            <w:noWrap/>
            <w:hideMark/>
          </w:tcPr>
          <w:p w14:paraId="68F09719" w14:textId="5DDEE689" w:rsidR="006569FC" w:rsidRPr="00041ECB" w:rsidRDefault="00DD437E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aximum=100% of area</w:t>
            </w:r>
          </w:p>
        </w:tc>
      </w:tr>
      <w:tr w:rsidR="006569FC" w:rsidRPr="00041ECB" w14:paraId="68F0971F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1B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carrying capacity PSHB proportion</w:t>
            </w:r>
          </w:p>
        </w:tc>
        <w:tc>
          <w:tcPr>
            <w:tcW w:w="1254" w:type="dxa"/>
            <w:noWrap/>
            <w:hideMark/>
          </w:tcPr>
          <w:p w14:paraId="68F0971C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80" w:type="dxa"/>
            <w:noWrap/>
            <w:hideMark/>
          </w:tcPr>
          <w:p w14:paraId="68F0971D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Dmnl</w:t>
            </w:r>
            <w:proofErr w:type="spellEnd"/>
          </w:p>
        </w:tc>
        <w:tc>
          <w:tcPr>
            <w:tcW w:w="4869" w:type="dxa"/>
            <w:noWrap/>
            <w:hideMark/>
          </w:tcPr>
          <w:p w14:paraId="68F0971E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100% of area</w:t>
            </w:r>
          </w:p>
        </w:tc>
      </w:tr>
      <w:tr w:rsidR="006569FC" w:rsidRPr="00041ECB" w14:paraId="68F09724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20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carrying capacity urban trees</w:t>
            </w:r>
          </w:p>
        </w:tc>
        <w:tc>
          <w:tcPr>
            <w:tcW w:w="1254" w:type="dxa"/>
            <w:noWrap/>
            <w:hideMark/>
          </w:tcPr>
          <w:p w14:paraId="68F09721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2.55e+008 </w:t>
            </w:r>
          </w:p>
        </w:tc>
        <w:tc>
          <w:tcPr>
            <w:tcW w:w="1480" w:type="dxa"/>
            <w:noWrap/>
            <w:hideMark/>
          </w:tcPr>
          <w:p w14:paraId="68F09722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4869" w:type="dxa"/>
            <w:noWrap/>
            <w:hideMark/>
          </w:tcPr>
          <w:p w14:paraId="68F09723" w14:textId="7FC17CE6" w:rsidR="006569FC" w:rsidRPr="00041ECB" w:rsidRDefault="00DD437E" w:rsidP="00971A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alculation [see </w:t>
            </w:r>
            <w:r w:rsidR="00971A4A" w:rsidRPr="00041ECB">
              <w:rPr>
                <w:rFonts w:ascii="Times New Roman" w:hAnsi="Times New Roman" w:cs="Times New Roman"/>
                <w:sz w:val="24"/>
                <w:szCs w:val="24"/>
              </w:rPr>
              <w:t>Table S.4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6569FC" w:rsidRPr="00041ECB" w14:paraId="68F09729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25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factor for other values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from forests</w:t>
            </w:r>
          </w:p>
        </w:tc>
        <w:tc>
          <w:tcPr>
            <w:tcW w:w="1254" w:type="dxa"/>
            <w:noWrap/>
            <w:hideMark/>
          </w:tcPr>
          <w:p w14:paraId="68F09726" w14:textId="7B8A8368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6.75 </w:t>
            </w:r>
          </w:p>
        </w:tc>
        <w:tc>
          <w:tcPr>
            <w:tcW w:w="1480" w:type="dxa"/>
            <w:noWrap/>
            <w:hideMark/>
          </w:tcPr>
          <w:p w14:paraId="68F09727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Dmnl</w:t>
            </w:r>
            <w:proofErr w:type="spellEnd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69" w:type="dxa"/>
            <w:noWrap/>
            <w:hideMark/>
          </w:tcPr>
          <w:p w14:paraId="68F09728" w14:textId="255C1432" w:rsidR="006569FC" w:rsidRPr="00041ECB" w:rsidRDefault="00E714B9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Turpie et al. </w:t>
            </w:r>
            <w:r w:rsidR="003C1117"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t>(</w:t>
            </w:r>
            <w:r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t>2017)</w:t>
            </w:r>
          </w:p>
        </w:tc>
      </w:tr>
      <w:tr w:rsidR="006569FC" w:rsidRPr="00041ECB" w14:paraId="68F0972E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2A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Fusarium mortality rate avocados</w:t>
            </w:r>
          </w:p>
        </w:tc>
        <w:tc>
          <w:tcPr>
            <w:tcW w:w="1254" w:type="dxa"/>
            <w:noWrap/>
            <w:hideMark/>
          </w:tcPr>
          <w:p w14:paraId="68F0972B" w14:textId="767AF965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0.04 </w:t>
            </w:r>
          </w:p>
        </w:tc>
        <w:tc>
          <w:tcPr>
            <w:tcW w:w="1480" w:type="dxa"/>
            <w:noWrap/>
            <w:hideMark/>
          </w:tcPr>
          <w:p w14:paraId="68F0972C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2D" w14:textId="521D0B2D" w:rsidR="006569FC" w:rsidRPr="00041ECB" w:rsidRDefault="00DD437E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1C33DB" w:rsidRPr="00041ECB">
              <w:rPr>
                <w:rFonts w:ascii="Times New Roman" w:hAnsi="Times New Roman" w:cs="Times New Roman"/>
                <w:sz w:val="24"/>
                <w:szCs w:val="24"/>
              </w:rPr>
              <w:t>alibrated to achieve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33DB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25% decrease in avocado tre</w:t>
            </w:r>
            <w:r w:rsidR="001C33DB" w:rsidRPr="00041ECB">
              <w:rPr>
                <w:rFonts w:ascii="Times New Roman" w:hAnsi="Times New Roman" w:cs="Times New Roman"/>
                <w:sz w:val="24"/>
                <w:szCs w:val="24"/>
              </w:rPr>
              <w:t>es over 10 years</w:t>
            </w:r>
          </w:p>
        </w:tc>
      </w:tr>
      <w:tr w:rsidR="006569FC" w:rsidRPr="00041ECB" w14:paraId="68F09733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2F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Fusarium mortality rate primary forests</w:t>
            </w:r>
          </w:p>
        </w:tc>
        <w:tc>
          <w:tcPr>
            <w:tcW w:w="1254" w:type="dxa"/>
            <w:noWrap/>
            <w:hideMark/>
          </w:tcPr>
          <w:p w14:paraId="68F09730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0.0065 </w:t>
            </w:r>
          </w:p>
        </w:tc>
        <w:tc>
          <w:tcPr>
            <w:tcW w:w="1480" w:type="dxa"/>
            <w:noWrap/>
            <w:hideMark/>
          </w:tcPr>
          <w:p w14:paraId="68F09731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32" w14:textId="219F020B" w:rsidR="006569FC" w:rsidRPr="00041ECB" w:rsidRDefault="00DD437E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1C33DB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alibrated 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to ge</w:t>
            </w:r>
            <w:r w:rsidR="001C33DB" w:rsidRPr="00041ECB">
              <w:rPr>
                <w:rFonts w:ascii="Times New Roman" w:hAnsi="Times New Roman" w:cs="Times New Roman"/>
                <w:sz w:val="24"/>
                <w:szCs w:val="24"/>
              </w:rPr>
              <w:t>nerate a 5% decline over 10 years</w:t>
            </w:r>
          </w:p>
        </w:tc>
      </w:tr>
      <w:tr w:rsidR="006569FC" w:rsidRPr="00041ECB" w14:paraId="68F09738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34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Fusarium mortality rate urban trees</w:t>
            </w:r>
          </w:p>
        </w:tc>
        <w:tc>
          <w:tcPr>
            <w:tcW w:w="1254" w:type="dxa"/>
            <w:noWrap/>
            <w:hideMark/>
          </w:tcPr>
          <w:p w14:paraId="68F09735" w14:textId="45F369D1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0.0378 </w:t>
            </w:r>
          </w:p>
        </w:tc>
        <w:tc>
          <w:tcPr>
            <w:tcW w:w="1480" w:type="dxa"/>
            <w:noWrap/>
            <w:hideMark/>
          </w:tcPr>
          <w:p w14:paraId="68F09736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37" w14:textId="7CDA87F0" w:rsidR="006569FC" w:rsidRPr="00041ECB" w:rsidRDefault="00DD437E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1C33DB" w:rsidRPr="00041ECB">
              <w:rPr>
                <w:rFonts w:ascii="Times New Roman" w:hAnsi="Times New Roman" w:cs="Times New Roman"/>
                <w:sz w:val="24"/>
                <w:szCs w:val="24"/>
              </w:rPr>
              <w:t>alibrated to achieve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C33DB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25% decrease in urban tre</w:t>
            </w:r>
            <w:r w:rsidR="001C33DB" w:rsidRPr="00041ECB">
              <w:rPr>
                <w:rFonts w:ascii="Times New Roman" w:hAnsi="Times New Roman" w:cs="Times New Roman"/>
                <w:sz w:val="24"/>
                <w:szCs w:val="24"/>
              </w:rPr>
              <w:t>es over 10 years</w:t>
            </w:r>
          </w:p>
        </w:tc>
      </w:tr>
      <w:tr w:rsidR="006569FC" w:rsidRPr="00041ECB" w14:paraId="68F0973D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39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Fusarium mortality rate wattle</w:t>
            </w:r>
          </w:p>
        </w:tc>
        <w:tc>
          <w:tcPr>
            <w:tcW w:w="1254" w:type="dxa"/>
            <w:noWrap/>
            <w:hideMark/>
          </w:tcPr>
          <w:p w14:paraId="68F0973A" w14:textId="7ECB692A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0.008 </w:t>
            </w:r>
          </w:p>
        </w:tc>
        <w:tc>
          <w:tcPr>
            <w:tcW w:w="1480" w:type="dxa"/>
            <w:noWrap/>
            <w:hideMark/>
          </w:tcPr>
          <w:p w14:paraId="68F0973B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3C" w14:textId="1240876D" w:rsidR="006569FC" w:rsidRPr="00041ECB" w:rsidRDefault="00DD437E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1C33DB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aseline calibrated to achieve a 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5% decrease wattle tree</w:t>
            </w:r>
            <w:r w:rsidR="001C33DB" w:rsidRPr="00041ECB">
              <w:rPr>
                <w:rFonts w:ascii="Times New Roman" w:hAnsi="Times New Roman" w:cs="Times New Roman"/>
                <w:sz w:val="24"/>
                <w:szCs w:val="24"/>
              </w:rPr>
              <w:t>s over 10 years</w:t>
            </w:r>
          </w:p>
        </w:tc>
      </w:tr>
      <w:tr w:rsidR="006569FC" w:rsidRPr="00041ECB" w14:paraId="68F09742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3E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growth rate avocados</w:t>
            </w:r>
          </w:p>
        </w:tc>
        <w:tc>
          <w:tcPr>
            <w:tcW w:w="1254" w:type="dxa"/>
            <w:noWrap/>
            <w:hideMark/>
          </w:tcPr>
          <w:p w14:paraId="68F0973F" w14:textId="5EBD5E74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0.002 </w:t>
            </w:r>
          </w:p>
        </w:tc>
        <w:tc>
          <w:tcPr>
            <w:tcW w:w="1480" w:type="dxa"/>
            <w:noWrap/>
            <w:hideMark/>
          </w:tcPr>
          <w:p w14:paraId="68F09740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41" w14:textId="7D9610FF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average monthly growth rate in number of trees based on historical trends in DAFF (2020)</w:t>
            </w:r>
          </w:p>
        </w:tc>
      </w:tr>
      <w:tr w:rsidR="006569FC" w:rsidRPr="00041ECB" w14:paraId="68F09747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43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growth rate Fusarium</w:t>
            </w:r>
          </w:p>
        </w:tc>
        <w:tc>
          <w:tcPr>
            <w:tcW w:w="1254" w:type="dxa"/>
            <w:noWrap/>
            <w:hideMark/>
          </w:tcPr>
          <w:p w14:paraId="68F09744" w14:textId="45374AFA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0.025 </w:t>
            </w:r>
          </w:p>
        </w:tc>
        <w:tc>
          <w:tcPr>
            <w:tcW w:w="1480" w:type="dxa"/>
            <w:noWrap/>
            <w:hideMark/>
          </w:tcPr>
          <w:p w14:paraId="68F09745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46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calibrated to match expectation of future trends in PSHB spread</w:t>
            </w:r>
          </w:p>
        </w:tc>
      </w:tr>
      <w:tr w:rsidR="006569FC" w:rsidRPr="00041ECB" w14:paraId="68F0974C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48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growth rate natural forests</w:t>
            </w:r>
          </w:p>
        </w:tc>
        <w:tc>
          <w:tcPr>
            <w:tcW w:w="1254" w:type="dxa"/>
            <w:noWrap/>
            <w:hideMark/>
          </w:tcPr>
          <w:p w14:paraId="68F09749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1480" w:type="dxa"/>
            <w:noWrap/>
            <w:hideMark/>
          </w:tcPr>
          <w:p w14:paraId="68F0974A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4B" w14:textId="5924DED9" w:rsidR="006569FC" w:rsidRPr="00041ECB" w:rsidRDefault="00F8638A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ssumption</w:t>
            </w:r>
          </w:p>
        </w:tc>
      </w:tr>
      <w:tr w:rsidR="006569FC" w:rsidRPr="00041ECB" w14:paraId="68F09751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4D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growth rate price avocados</w:t>
            </w:r>
          </w:p>
        </w:tc>
        <w:tc>
          <w:tcPr>
            <w:tcW w:w="1254" w:type="dxa"/>
            <w:noWrap/>
            <w:hideMark/>
          </w:tcPr>
          <w:p w14:paraId="68F0974E" w14:textId="26EF6323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0.003 </w:t>
            </w:r>
          </w:p>
        </w:tc>
        <w:tc>
          <w:tcPr>
            <w:tcW w:w="1480" w:type="dxa"/>
            <w:noWrap/>
            <w:hideMark/>
          </w:tcPr>
          <w:p w14:paraId="68F0974F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50" w14:textId="0116F90E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average real monthly growth rate based on historical trends in DAFF (2020)</w:t>
            </w:r>
          </w:p>
        </w:tc>
      </w:tr>
      <w:tr w:rsidR="006569FC" w:rsidRPr="00041ECB" w14:paraId="68F09756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52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growth rate price wattle</w:t>
            </w:r>
          </w:p>
        </w:tc>
        <w:tc>
          <w:tcPr>
            <w:tcW w:w="1254" w:type="dxa"/>
            <w:noWrap/>
            <w:hideMark/>
          </w:tcPr>
          <w:p w14:paraId="68F09753" w14:textId="622206A9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0.003 </w:t>
            </w:r>
          </w:p>
        </w:tc>
        <w:tc>
          <w:tcPr>
            <w:tcW w:w="1480" w:type="dxa"/>
            <w:noWrap/>
            <w:hideMark/>
          </w:tcPr>
          <w:p w14:paraId="68F09754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55" w14:textId="695D4FA5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average real monthly growth rate based on historical trends in DAFF (2020)</w:t>
            </w:r>
          </w:p>
        </w:tc>
      </w:tr>
      <w:tr w:rsidR="006569FC" w:rsidRPr="00041ECB" w14:paraId="68F0975B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57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growth rate PSHB</w:t>
            </w:r>
          </w:p>
        </w:tc>
        <w:tc>
          <w:tcPr>
            <w:tcW w:w="1254" w:type="dxa"/>
            <w:noWrap/>
            <w:hideMark/>
          </w:tcPr>
          <w:p w14:paraId="68F09758" w14:textId="5A0B02EE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0.08 </w:t>
            </w:r>
          </w:p>
        </w:tc>
        <w:tc>
          <w:tcPr>
            <w:tcW w:w="1480" w:type="dxa"/>
            <w:noWrap/>
            <w:hideMark/>
          </w:tcPr>
          <w:p w14:paraId="68F09759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5A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calibrated to match expectation of future trends in PSHB spread </w:t>
            </w:r>
          </w:p>
        </w:tc>
      </w:tr>
      <w:tr w:rsidR="006569FC" w:rsidRPr="00041ECB" w14:paraId="68F09760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5C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growth rate wattle</w:t>
            </w:r>
          </w:p>
        </w:tc>
        <w:tc>
          <w:tcPr>
            <w:tcW w:w="1254" w:type="dxa"/>
            <w:noWrap/>
            <w:hideMark/>
          </w:tcPr>
          <w:p w14:paraId="68F0975D" w14:textId="439DD9D8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1480" w:type="dxa"/>
            <w:noWrap/>
            <w:hideMark/>
          </w:tcPr>
          <w:p w14:paraId="68F0975E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5F" w14:textId="3BC56AAC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average monthly growth rate </w:t>
            </w:r>
            <w:r w:rsidR="00DD437E" w:rsidRPr="00041ECB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n number of trees based on historical trends </w:t>
            </w:r>
            <w:r w:rsidR="00CB3100" w:rsidRPr="00041EC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DAFF</w:t>
            </w:r>
            <w:r w:rsidR="00CB3100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2020)</w:t>
            </w:r>
            <w:r w:rsidR="00CB3100" w:rsidRPr="00041E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569FC" w:rsidRPr="00041ECB" w14:paraId="68F09765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61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initial area primary forest</w:t>
            </w:r>
          </w:p>
        </w:tc>
        <w:tc>
          <w:tcPr>
            <w:tcW w:w="1254" w:type="dxa"/>
            <w:noWrap/>
            <w:hideMark/>
          </w:tcPr>
          <w:p w14:paraId="68F09762" w14:textId="11E6D19F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947</w:t>
            </w:r>
            <w:r w:rsidR="00FF5F49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000 </w:t>
            </w:r>
          </w:p>
        </w:tc>
        <w:tc>
          <w:tcPr>
            <w:tcW w:w="1480" w:type="dxa"/>
            <w:noWrap/>
            <w:hideMark/>
          </w:tcPr>
          <w:p w14:paraId="68F09763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hectare </w:t>
            </w:r>
          </w:p>
        </w:tc>
        <w:tc>
          <w:tcPr>
            <w:tcW w:w="4869" w:type="dxa"/>
            <w:noWrap/>
            <w:hideMark/>
          </w:tcPr>
          <w:p w14:paraId="68F09764" w14:textId="45BD92E8" w:rsidR="006569FC" w:rsidRPr="00041ECB" w:rsidRDefault="005939E6" w:rsidP="00593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Mongab</w:t>
            </w:r>
            <w:r w:rsidR="009D6181" w:rsidRPr="00041EC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proofErr w:type="spellEnd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(2011)</w:t>
            </w:r>
          </w:p>
        </w:tc>
      </w:tr>
      <w:tr w:rsidR="006569FC" w:rsidRPr="00041ECB" w14:paraId="68F0976A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66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initial no of trees infested</w:t>
            </w:r>
          </w:p>
        </w:tc>
        <w:tc>
          <w:tcPr>
            <w:tcW w:w="1254" w:type="dxa"/>
            <w:noWrap/>
            <w:hideMark/>
          </w:tcPr>
          <w:p w14:paraId="68F09767" w14:textId="19B1B804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5F49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000 </w:t>
            </w:r>
          </w:p>
        </w:tc>
        <w:tc>
          <w:tcPr>
            <w:tcW w:w="1480" w:type="dxa"/>
            <w:noWrap/>
            <w:hideMark/>
          </w:tcPr>
          <w:p w14:paraId="68F09768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tree </w:t>
            </w:r>
          </w:p>
        </w:tc>
        <w:tc>
          <w:tcPr>
            <w:tcW w:w="4869" w:type="dxa"/>
            <w:noWrap/>
            <w:hideMark/>
          </w:tcPr>
          <w:p w14:paraId="68F09769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no of trees infested (assumption)</w:t>
            </w:r>
          </w:p>
        </w:tc>
      </w:tr>
      <w:tr w:rsidR="006569FC" w:rsidRPr="00041ECB" w14:paraId="68F0976F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6B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initial number of avocado trees</w:t>
            </w:r>
          </w:p>
        </w:tc>
        <w:tc>
          <w:tcPr>
            <w:tcW w:w="1254" w:type="dxa"/>
            <w:noWrap/>
            <w:hideMark/>
          </w:tcPr>
          <w:p w14:paraId="68F0976C" w14:textId="279A6C1D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303</w:t>
            </w:r>
            <w:r w:rsidR="00FF5F49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686 </w:t>
            </w:r>
          </w:p>
        </w:tc>
        <w:tc>
          <w:tcPr>
            <w:tcW w:w="1480" w:type="dxa"/>
            <w:noWrap/>
            <w:hideMark/>
          </w:tcPr>
          <w:p w14:paraId="68F0976D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4869" w:type="dxa"/>
            <w:noWrap/>
            <w:hideMark/>
          </w:tcPr>
          <w:p w14:paraId="68F0976E" w14:textId="74463A36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forecasted monthly production June 2020 </w:t>
            </w:r>
            <w:r w:rsidR="00981A27" w:rsidRPr="00041EC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based on DAFF 2020</w:t>
            </w:r>
            <w:r w:rsidR="00981A27" w:rsidRPr="00041EC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divided by avocado production per tree]</w:t>
            </w:r>
          </w:p>
        </w:tc>
      </w:tr>
      <w:tr w:rsidR="006569FC" w:rsidRPr="00041ECB" w14:paraId="68F09774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70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Initial number of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trees wattle bark</w:t>
            </w:r>
          </w:p>
        </w:tc>
        <w:tc>
          <w:tcPr>
            <w:tcW w:w="1254" w:type="dxa"/>
            <w:noWrap/>
            <w:hideMark/>
          </w:tcPr>
          <w:p w14:paraId="68F09771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2.73304e+006 </w:t>
            </w:r>
          </w:p>
        </w:tc>
        <w:tc>
          <w:tcPr>
            <w:tcW w:w="1480" w:type="dxa"/>
            <w:noWrap/>
            <w:hideMark/>
          </w:tcPr>
          <w:p w14:paraId="68F09772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4869" w:type="dxa"/>
            <w:noWrap/>
            <w:hideMark/>
          </w:tcPr>
          <w:p w14:paraId="68F09773" w14:textId="3183AE82" w:rsidR="006569FC" w:rsidRPr="00041ECB" w:rsidRDefault="00F8638A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alculat</w:t>
            </w:r>
            <w:r w:rsidR="00D3430D" w:rsidRPr="00041ECB">
              <w:rPr>
                <w:rFonts w:ascii="Times New Roman" w:hAnsi="Times New Roman" w:cs="Times New Roman"/>
                <w:sz w:val="24"/>
                <w:szCs w:val="24"/>
              </w:rPr>
              <w:t>ion*</w:t>
            </w:r>
          </w:p>
        </w:tc>
      </w:tr>
      <w:tr w:rsidR="006569FC" w:rsidRPr="00041ECB" w14:paraId="68F09779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75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net growth primary forest no dieback</w:t>
            </w:r>
          </w:p>
        </w:tc>
        <w:tc>
          <w:tcPr>
            <w:tcW w:w="1254" w:type="dxa"/>
            <w:noWrap/>
            <w:hideMark/>
          </w:tcPr>
          <w:p w14:paraId="68F09776" w14:textId="60286978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1480" w:type="dxa"/>
            <w:noWrap/>
            <w:hideMark/>
          </w:tcPr>
          <w:p w14:paraId="68F09777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hectare/Month </w:t>
            </w:r>
          </w:p>
        </w:tc>
        <w:tc>
          <w:tcPr>
            <w:tcW w:w="4869" w:type="dxa"/>
            <w:noWrap/>
            <w:hideMark/>
          </w:tcPr>
          <w:p w14:paraId="68F09778" w14:textId="227D8E01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Mongab</w:t>
            </w:r>
            <w:r w:rsidR="009D6181" w:rsidRPr="00041EC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proofErr w:type="spellEnd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(2011)</w:t>
            </w:r>
          </w:p>
        </w:tc>
      </w:tr>
      <w:tr w:rsidR="006569FC" w:rsidRPr="00041ECB" w14:paraId="68F0977E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7A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number of PSHB per kilogram host</w:t>
            </w:r>
          </w:p>
        </w:tc>
        <w:tc>
          <w:tcPr>
            <w:tcW w:w="1254" w:type="dxa"/>
            <w:noWrap/>
            <w:hideMark/>
          </w:tcPr>
          <w:p w14:paraId="68F0977B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1480" w:type="dxa"/>
            <w:noWrap/>
            <w:hideMark/>
          </w:tcPr>
          <w:p w14:paraId="68F0977C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number/kg</w:t>
            </w:r>
          </w:p>
        </w:tc>
        <w:tc>
          <w:tcPr>
            <w:tcW w:w="4869" w:type="dxa"/>
            <w:noWrap/>
            <w:hideMark/>
          </w:tcPr>
          <w:p w14:paraId="68F0977D" w14:textId="3D411135" w:rsidR="006569FC" w:rsidRPr="00041ECB" w:rsidRDefault="00201195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Jones and Paine </w:t>
            </w:r>
            <w:r w:rsidR="00281260"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t>(</w:t>
            </w:r>
            <w:r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t>2015)</w:t>
            </w:r>
          </w:p>
        </w:tc>
      </w:tr>
      <w:tr w:rsidR="006569FC" w:rsidRPr="00041ECB" w14:paraId="68F09783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7F" w14:textId="000EB62B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r w:rsidR="007778C4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which?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trees per hectare</w:t>
            </w:r>
          </w:p>
        </w:tc>
        <w:tc>
          <w:tcPr>
            <w:tcW w:w="1254" w:type="dxa"/>
            <w:noWrap/>
            <w:hideMark/>
          </w:tcPr>
          <w:p w14:paraId="68F09780" w14:textId="2E88BC7C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5F49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500 </w:t>
            </w:r>
          </w:p>
        </w:tc>
        <w:tc>
          <w:tcPr>
            <w:tcW w:w="1480" w:type="dxa"/>
            <w:noWrap/>
            <w:hideMark/>
          </w:tcPr>
          <w:p w14:paraId="68F09781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tree/hectare </w:t>
            </w:r>
          </w:p>
        </w:tc>
        <w:tc>
          <w:tcPr>
            <w:tcW w:w="4869" w:type="dxa"/>
            <w:noWrap/>
            <w:hideMark/>
          </w:tcPr>
          <w:p w14:paraId="68F09782" w14:textId="2FA9D649" w:rsidR="006569FC" w:rsidRPr="00041ECB" w:rsidRDefault="00F8638A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ssumed the same as for wattle</w:t>
            </w:r>
          </w:p>
        </w:tc>
      </w:tr>
      <w:tr w:rsidR="006569FC" w:rsidRPr="00041ECB" w14:paraId="68F09788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84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physical clearing cost</w:t>
            </w:r>
          </w:p>
        </w:tc>
        <w:tc>
          <w:tcPr>
            <w:tcW w:w="1254" w:type="dxa"/>
            <w:noWrap/>
            <w:hideMark/>
          </w:tcPr>
          <w:p w14:paraId="68F09785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656.55 </w:t>
            </w:r>
          </w:p>
        </w:tc>
        <w:tc>
          <w:tcPr>
            <w:tcW w:w="1480" w:type="dxa"/>
            <w:noWrap/>
            <w:hideMark/>
          </w:tcPr>
          <w:p w14:paraId="68F09786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Dollar/tree </w:t>
            </w:r>
          </w:p>
        </w:tc>
        <w:tc>
          <w:tcPr>
            <w:tcW w:w="4869" w:type="dxa"/>
            <w:noWrap/>
            <w:hideMark/>
          </w:tcPr>
          <w:p w14:paraId="68F09787" w14:textId="12B68CC0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R7000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17.68/1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Int.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$ 656.55 (2019). Range:  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Int.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$281.38 - 3282.76 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>per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tree)</w:t>
            </w:r>
          </w:p>
        </w:tc>
      </w:tr>
      <w:tr w:rsidR="006569FC" w:rsidRPr="00041ECB" w14:paraId="68F0978D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89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production bark per hectare</w:t>
            </w:r>
          </w:p>
        </w:tc>
        <w:tc>
          <w:tcPr>
            <w:tcW w:w="1254" w:type="dxa"/>
            <w:noWrap/>
            <w:hideMark/>
          </w:tcPr>
          <w:p w14:paraId="68F0978A" w14:textId="62F88413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480" w:type="dxa"/>
            <w:noWrap/>
            <w:hideMark/>
          </w:tcPr>
          <w:p w14:paraId="68F0978B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tonne/hectare </w:t>
            </w:r>
          </w:p>
        </w:tc>
        <w:tc>
          <w:tcPr>
            <w:tcW w:w="4869" w:type="dxa"/>
            <w:noWrap/>
            <w:hideMark/>
          </w:tcPr>
          <w:p w14:paraId="68F0978C" w14:textId="480737FD" w:rsidR="006569FC" w:rsidRPr="00041ECB" w:rsidRDefault="00281260" w:rsidP="00E975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verage production of 18 tons wattle bark per hectare and 3 tonnes bark makes 1 tonne saleable product</w:t>
            </w:r>
            <w:r w:rsidR="00E9751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(SA Forestry Online, 2009)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. So average production is 6 tonnes of saleable product per hectare</w:t>
            </w:r>
          </w:p>
        </w:tc>
      </w:tr>
      <w:tr w:rsidR="006569FC" w:rsidRPr="00041ECB" w14:paraId="68F09792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8E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proportion of total production</w:t>
            </w:r>
          </w:p>
        </w:tc>
        <w:tc>
          <w:tcPr>
            <w:tcW w:w="1254" w:type="dxa"/>
            <w:noWrap/>
            <w:hideMark/>
          </w:tcPr>
          <w:p w14:paraId="68F0978F" w14:textId="53D93BAD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0.5 </w:t>
            </w:r>
          </w:p>
        </w:tc>
        <w:tc>
          <w:tcPr>
            <w:tcW w:w="1480" w:type="dxa"/>
            <w:noWrap/>
            <w:hideMark/>
          </w:tcPr>
          <w:p w14:paraId="68F09790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Dmnl</w:t>
            </w:r>
            <w:proofErr w:type="spellEnd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69" w:type="dxa"/>
            <w:noWrap/>
            <w:hideMark/>
          </w:tcPr>
          <w:p w14:paraId="68F09791" w14:textId="21B590EE" w:rsidR="006569FC" w:rsidRPr="00041ECB" w:rsidRDefault="00744F11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Garret (2016)</w:t>
            </w:r>
          </w:p>
        </w:tc>
      </w:tr>
      <w:tr w:rsidR="006569FC" w:rsidRPr="00041ECB" w14:paraId="68F09797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93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ratio Fusarium mortality to PSHB mortality</w:t>
            </w:r>
          </w:p>
        </w:tc>
        <w:tc>
          <w:tcPr>
            <w:tcW w:w="1254" w:type="dxa"/>
            <w:noWrap/>
            <w:hideMark/>
          </w:tcPr>
          <w:p w14:paraId="68F09794" w14:textId="2F1ED2FA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480" w:type="dxa"/>
            <w:noWrap/>
            <w:hideMark/>
          </w:tcPr>
          <w:p w14:paraId="68F09795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Dmnl</w:t>
            </w:r>
            <w:proofErr w:type="spellEnd"/>
          </w:p>
        </w:tc>
        <w:tc>
          <w:tcPr>
            <w:tcW w:w="4869" w:type="dxa"/>
            <w:noWrap/>
            <w:hideMark/>
          </w:tcPr>
          <w:p w14:paraId="68F09796" w14:textId="7F59BDF8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assumption 1:1 ratio</w:t>
            </w:r>
          </w:p>
        </w:tc>
      </w:tr>
      <w:tr w:rsidR="006569FC" w:rsidRPr="00041ECB" w14:paraId="68F0979C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98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ratio maximum to initial wattle</w:t>
            </w:r>
          </w:p>
        </w:tc>
        <w:tc>
          <w:tcPr>
            <w:tcW w:w="1254" w:type="dxa"/>
            <w:noWrap/>
            <w:hideMark/>
          </w:tcPr>
          <w:p w14:paraId="68F09799" w14:textId="23168045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000 </w:t>
            </w:r>
          </w:p>
        </w:tc>
        <w:tc>
          <w:tcPr>
            <w:tcW w:w="1480" w:type="dxa"/>
            <w:noWrap/>
            <w:hideMark/>
          </w:tcPr>
          <w:p w14:paraId="68F0979A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Dmnl</w:t>
            </w:r>
            <w:proofErr w:type="spellEnd"/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69" w:type="dxa"/>
            <w:noWrap/>
            <w:hideMark/>
          </w:tcPr>
          <w:p w14:paraId="68F0979B" w14:textId="6DA279A2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1973 value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s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000 hectares. 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C0570A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values =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around 110</w:t>
            </w:r>
            <w:r w:rsidR="00DF0028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000 hectares</w:t>
            </w:r>
          </w:p>
        </w:tc>
      </w:tr>
      <w:tr w:rsidR="006569FC" w:rsidRPr="00041ECB" w14:paraId="68F097A1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9D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unit carbon value</w:t>
            </w:r>
          </w:p>
        </w:tc>
        <w:tc>
          <w:tcPr>
            <w:tcW w:w="1254" w:type="dxa"/>
            <w:noWrap/>
            <w:hideMark/>
          </w:tcPr>
          <w:p w14:paraId="68F0979E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11.26</w:t>
            </w:r>
          </w:p>
        </w:tc>
        <w:tc>
          <w:tcPr>
            <w:tcW w:w="1480" w:type="dxa"/>
            <w:noWrap/>
            <w:hideMark/>
          </w:tcPr>
          <w:p w14:paraId="68F0979F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Dollar/tonne </w:t>
            </w:r>
          </w:p>
        </w:tc>
        <w:tc>
          <w:tcPr>
            <w:tcW w:w="4869" w:type="dxa"/>
            <w:noWrap/>
            <w:hideMark/>
          </w:tcPr>
          <w:p w14:paraId="68F097A0" w14:textId="1A9A8485" w:rsidR="006569FC" w:rsidRPr="00041ECB" w:rsidRDefault="00133274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noProof/>
                <w:sz w:val="24"/>
                <w:szCs w:val="24"/>
              </w:rPr>
              <w:t>Crookes (2012)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, converted to 2019 Int</w:t>
            </w:r>
            <w:r w:rsidR="001B6AFA" w:rsidRPr="00041E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0570A" w:rsidRPr="00041ECB">
              <w:rPr>
                <w:rFonts w:ascii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6569FC" w:rsidRPr="00041ECB" w14:paraId="68F097A6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A2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urban tree growth rate</w:t>
            </w:r>
          </w:p>
        </w:tc>
        <w:tc>
          <w:tcPr>
            <w:tcW w:w="1254" w:type="dxa"/>
            <w:noWrap/>
            <w:hideMark/>
          </w:tcPr>
          <w:p w14:paraId="68F097A3" w14:textId="7D26B60F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1480" w:type="dxa"/>
            <w:noWrap/>
            <w:hideMark/>
          </w:tcPr>
          <w:p w14:paraId="68F097A4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1/Month</w:t>
            </w:r>
          </w:p>
        </w:tc>
        <w:tc>
          <w:tcPr>
            <w:tcW w:w="4869" w:type="dxa"/>
            <w:noWrap/>
            <w:hideMark/>
          </w:tcPr>
          <w:p w14:paraId="68F097A5" w14:textId="4A1EFCBB" w:rsidR="006569FC" w:rsidRPr="00041ECB" w:rsidRDefault="00F8638A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>ssumption</w:t>
            </w:r>
          </w:p>
        </w:tc>
      </w:tr>
      <w:tr w:rsidR="006569FC" w:rsidRPr="00041ECB" w14:paraId="68F097AB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A7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urban trees no dieback</w:t>
            </w:r>
          </w:p>
        </w:tc>
        <w:tc>
          <w:tcPr>
            <w:tcW w:w="1254" w:type="dxa"/>
            <w:noWrap/>
            <w:hideMark/>
          </w:tcPr>
          <w:p w14:paraId="68F097A8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2.55e+008 </w:t>
            </w:r>
          </w:p>
        </w:tc>
        <w:tc>
          <w:tcPr>
            <w:tcW w:w="1480" w:type="dxa"/>
            <w:noWrap/>
            <w:hideMark/>
          </w:tcPr>
          <w:p w14:paraId="68F097A9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4869" w:type="dxa"/>
            <w:noWrap/>
            <w:hideMark/>
          </w:tcPr>
          <w:p w14:paraId="68F097AA" w14:textId="11FF2DF6" w:rsidR="006569FC" w:rsidRPr="00041ECB" w:rsidRDefault="00281260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alculation </w:t>
            </w:r>
            <w:r w:rsidR="00926776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see Supplementary </w:t>
            </w:r>
            <w:r w:rsidR="00926776" w:rsidRPr="00041ECB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aterial </w:t>
            </w:r>
            <w:r w:rsidR="008E1A69" w:rsidRPr="00041ECB">
              <w:rPr>
                <w:rFonts w:ascii="Times New Roman" w:hAnsi="Times New Roman" w:cs="Times New Roman"/>
                <w:sz w:val="24"/>
                <w:szCs w:val="24"/>
              </w:rPr>
              <w:t>Table S.4</w:t>
            </w:r>
          </w:p>
        </w:tc>
      </w:tr>
      <w:tr w:rsidR="006569FC" w:rsidRPr="00041ECB" w14:paraId="68F097B0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AC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Value of urban trees</w:t>
            </w:r>
          </w:p>
        </w:tc>
        <w:tc>
          <w:tcPr>
            <w:tcW w:w="1254" w:type="dxa"/>
            <w:noWrap/>
            <w:hideMark/>
          </w:tcPr>
          <w:p w14:paraId="68F097AD" w14:textId="7F7A7A5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25.07 </w:t>
            </w:r>
          </w:p>
        </w:tc>
        <w:tc>
          <w:tcPr>
            <w:tcW w:w="1480" w:type="dxa"/>
            <w:noWrap/>
            <w:hideMark/>
          </w:tcPr>
          <w:p w14:paraId="68F097AE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Dollar/tree </w:t>
            </w:r>
          </w:p>
        </w:tc>
        <w:tc>
          <w:tcPr>
            <w:tcW w:w="4869" w:type="dxa"/>
            <w:noWrap/>
            <w:hideMark/>
          </w:tcPr>
          <w:p w14:paraId="6A1018A0" w14:textId="5C17E040" w:rsidR="00C604A4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2019 values: R87.66 - R469.57 ($8.22 - $44.04 / tree). </w:t>
            </w:r>
          </w:p>
          <w:p w14:paraId="68F097AF" w14:textId="4F963B9E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Int</w:t>
            </w:r>
            <w:r w:rsidR="00C604A4" w:rsidRPr="00041ECB">
              <w:rPr>
                <w:rFonts w:ascii="Times New Roman" w:hAnsi="Times New Roman" w:cs="Times New Roman"/>
                <w:sz w:val="24"/>
                <w:szCs w:val="24"/>
              </w:rPr>
              <w:t>. $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: R14.5</w:t>
            </w:r>
            <w:r w:rsidR="00DB0417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DB0417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$ (PPP adjustment) R267.24</w:t>
            </w:r>
            <w:r w:rsidR="0095620B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5620B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  <w:r w:rsidR="0095620B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95620B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17.68</w:t>
            </w:r>
            <w:r w:rsidR="0095620B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95620B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13 = Int $ 25.07</w:t>
            </w:r>
          </w:p>
        </w:tc>
      </w:tr>
      <w:tr w:rsidR="006569FC" w:rsidRPr="00041ECB" w14:paraId="68F097B5" w14:textId="77777777" w:rsidTr="00041ECB">
        <w:trPr>
          <w:trHeight w:val="300"/>
        </w:trPr>
        <w:tc>
          <w:tcPr>
            <w:tcW w:w="1413" w:type="dxa"/>
            <w:noWrap/>
            <w:hideMark/>
          </w:tcPr>
          <w:p w14:paraId="68F097B1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wattle trees planted per hectare</w:t>
            </w:r>
          </w:p>
        </w:tc>
        <w:tc>
          <w:tcPr>
            <w:tcW w:w="1254" w:type="dxa"/>
            <w:noWrap/>
            <w:hideMark/>
          </w:tcPr>
          <w:p w14:paraId="68F097B2" w14:textId="6C4B45BC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B6AFA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500 </w:t>
            </w:r>
          </w:p>
        </w:tc>
        <w:tc>
          <w:tcPr>
            <w:tcW w:w="1480" w:type="dxa"/>
            <w:noWrap/>
            <w:hideMark/>
          </w:tcPr>
          <w:p w14:paraId="68F097B3" w14:textId="77777777" w:rsidR="006569FC" w:rsidRPr="00041ECB" w:rsidRDefault="006569FC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tree/hectare</w:t>
            </w:r>
          </w:p>
        </w:tc>
        <w:tc>
          <w:tcPr>
            <w:tcW w:w="4869" w:type="dxa"/>
            <w:noWrap/>
            <w:hideMark/>
          </w:tcPr>
          <w:p w14:paraId="68F097B4" w14:textId="0F306A90" w:rsidR="006569FC" w:rsidRPr="00041ECB" w:rsidRDefault="003C1117" w:rsidP="00C73E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1EC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6569FC" w:rsidRPr="00041ECB">
              <w:rPr>
                <w:rFonts w:ascii="Times New Roman" w:hAnsi="Times New Roman" w:cs="Times New Roman"/>
                <w:sz w:val="24"/>
                <w:szCs w:val="24"/>
              </w:rPr>
              <w:t xml:space="preserve">alculation </w:t>
            </w:r>
            <w:r w:rsidR="009465C2" w:rsidRPr="00041EC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B0E4D" w:rsidRPr="00041ECB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9465C2" w:rsidRPr="00041ECB">
              <w:rPr>
                <w:rFonts w:ascii="Times New Roman" w:hAnsi="Times New Roman" w:cs="Times New Roman"/>
                <w:sz w:val="24"/>
                <w:szCs w:val="24"/>
              </w:rPr>
              <w:t>ote 1)</w:t>
            </w:r>
          </w:p>
        </w:tc>
      </w:tr>
    </w:tbl>
    <w:p w14:paraId="68F097B7" w14:textId="57EA602C" w:rsidR="006569FC" w:rsidRPr="00CA50A4" w:rsidRDefault="00CB3100" w:rsidP="003D42DA">
      <w:pPr>
        <w:rPr>
          <w:rFonts w:asciiTheme="majorBidi" w:hAnsiTheme="majorBidi" w:cstheme="majorBidi"/>
          <w:sz w:val="16"/>
          <w:szCs w:val="16"/>
        </w:rPr>
      </w:pPr>
      <w:r w:rsidRPr="00CA50A4">
        <w:rPr>
          <w:rFonts w:asciiTheme="majorBidi" w:hAnsiTheme="majorBidi" w:cstheme="majorBidi"/>
          <w:sz w:val="16"/>
          <w:szCs w:val="16"/>
        </w:rPr>
        <w:t>Notes:</w:t>
      </w:r>
    </w:p>
    <w:p w14:paraId="10363CB9" w14:textId="2D8D6B33" w:rsidR="00B20FB9" w:rsidRPr="00041ECB" w:rsidRDefault="00F863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41ECB">
        <w:rPr>
          <w:rFonts w:asciiTheme="majorBidi" w:hAnsiTheme="majorBidi" w:cstheme="majorBidi"/>
          <w:sz w:val="24"/>
          <w:szCs w:val="24"/>
          <w:vertAlign w:val="superscript"/>
        </w:rPr>
        <w:lastRenderedPageBreak/>
        <w:t>1</w:t>
      </w:r>
      <w:r w:rsidR="00BC585C" w:rsidRPr="00041ECB">
        <w:rPr>
          <w:rFonts w:asciiTheme="majorBidi" w:hAnsiTheme="majorBidi" w:cstheme="majorBidi"/>
          <w:sz w:val="24"/>
          <w:szCs w:val="24"/>
        </w:rPr>
        <w:t xml:space="preserve">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Calculation of initial number of wattle trees</w:t>
      </w:r>
      <w:r w:rsidR="00BA19F9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: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Monthly production volume wattle bark: 10,932 tonnes </w:t>
      </w:r>
      <w:r w:rsidR="00E311E8" w:rsidRPr="00041ECB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forecasted monthly production volume based on historical trends reported in DAFF (2020)</w:t>
      </w:r>
      <w:r w:rsidR="00E311E8" w:rsidRPr="00041ECB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="004B30D6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.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The wattle is grown on a 10-year rotation with 10% harvested each year and average production of 18 tons bark per hectare and 3 tonnes bark makes 1 tonne saleable product </w:t>
      </w:r>
      <w:r w:rsidR="00ED2C24" w:rsidRPr="00041ECB">
        <w:rPr>
          <w:rFonts w:ascii="Times New Roman" w:hAnsi="Times New Roman" w:cs="Times New Roman"/>
          <w:sz w:val="24"/>
          <w:szCs w:val="24"/>
          <w:vertAlign w:val="superscript"/>
        </w:rPr>
        <w:t>(SA Forestry Online, 2009)</w:t>
      </w:r>
      <w:r w:rsidR="00BC585C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.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Wattle tree density: 1500 trees/ha</w:t>
      </w:r>
      <w:r w:rsidR="00ED2C24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(NCT Forestry Co-Operative Ltd, 2014)</w:t>
      </w:r>
      <w:r w:rsidR="00BC585C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.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Therefore</w:t>
      </w:r>
      <w:r w:rsidR="004B30D6" w:rsidRPr="00041ECB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initial number of trees per month grown for wattle bark</w:t>
      </w:r>
      <w:r w:rsidR="002D4F4C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: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932</w:t>
      </w:r>
      <w:r w:rsidR="00ED2C24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tonnes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/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="000D624D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tonnes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0D624D" w:rsidRPr="00041ECB">
        <w:rPr>
          <w:rFonts w:ascii="Times New Roman" w:hAnsi="Times New Roman" w:cs="Times New Roman"/>
          <w:sz w:val="24"/>
          <w:szCs w:val="24"/>
          <w:vertAlign w:val="superscript"/>
        </w:rPr>
        <w:t>/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0D624D" w:rsidRPr="00041ECB">
        <w:rPr>
          <w:rFonts w:ascii="Times New Roman" w:hAnsi="Times New Roman" w:cs="Times New Roman"/>
          <w:sz w:val="24"/>
          <w:szCs w:val="24"/>
          <w:vertAlign w:val="superscript"/>
        </w:rPr>
        <w:t>hectare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D624D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tonnes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500</w:t>
      </w:r>
      <w:r w:rsidR="000D624D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trees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0D624D" w:rsidRPr="00041ECB">
        <w:rPr>
          <w:rFonts w:ascii="Times New Roman" w:hAnsi="Times New Roman" w:cs="Times New Roman"/>
          <w:sz w:val="24"/>
          <w:szCs w:val="24"/>
          <w:vertAlign w:val="superscript"/>
        </w:rPr>
        <w:t>/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0D624D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hectare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=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CB3100" w:rsidRPr="00041ECB">
        <w:rPr>
          <w:rFonts w:ascii="Times New Roman" w:hAnsi="Times New Roman" w:cs="Times New Roman"/>
          <w:sz w:val="24"/>
          <w:szCs w:val="24"/>
          <w:vertAlign w:val="superscript"/>
        </w:rPr>
        <w:t>2.733 million trees</w:t>
      </w:r>
      <w:r w:rsidR="00004F1B" w:rsidRPr="00041ECB">
        <w:rPr>
          <w:rFonts w:ascii="Times New Roman" w:hAnsi="Times New Roman" w:cs="Times New Roman"/>
          <w:sz w:val="24"/>
          <w:szCs w:val="24"/>
          <w:vertAlign w:val="superscript"/>
        </w:rPr>
        <w:t>.</w:t>
      </w:r>
    </w:p>
    <w:p w14:paraId="64A4631C" w14:textId="77777777" w:rsidR="001C22A7" w:rsidRDefault="001C22A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68F097B8" w14:textId="62E775F0" w:rsidR="003D42DA" w:rsidRPr="00CA50A4" w:rsidRDefault="003D42DA" w:rsidP="003D42D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A50A4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Stock flow diagrams for the </w:t>
      </w:r>
      <w:r w:rsidR="00E41B64" w:rsidRPr="00CA50A4">
        <w:rPr>
          <w:rFonts w:asciiTheme="majorBidi" w:hAnsiTheme="majorBidi" w:cstheme="majorBidi"/>
          <w:b/>
          <w:bCs/>
          <w:sz w:val="24"/>
          <w:szCs w:val="24"/>
        </w:rPr>
        <w:t>sub-</w:t>
      </w:r>
      <w:r w:rsidRPr="00CA50A4">
        <w:rPr>
          <w:rFonts w:asciiTheme="majorBidi" w:hAnsiTheme="majorBidi" w:cstheme="majorBidi"/>
          <w:b/>
          <w:bCs/>
          <w:sz w:val="24"/>
          <w:szCs w:val="24"/>
        </w:rPr>
        <w:t>model</w:t>
      </w:r>
      <w:r w:rsidR="00E41B64" w:rsidRPr="00CA50A4">
        <w:rPr>
          <w:rFonts w:asciiTheme="majorBidi" w:hAnsiTheme="majorBidi" w:cstheme="majorBidi"/>
          <w:b/>
          <w:bCs/>
          <w:sz w:val="24"/>
          <w:szCs w:val="24"/>
        </w:rPr>
        <w:t>s</w:t>
      </w:r>
    </w:p>
    <w:p w14:paraId="68F097B9" w14:textId="0657AA80" w:rsidR="00E41B64" w:rsidRPr="00CA50A4" w:rsidRDefault="003C1117" w:rsidP="00E41B64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Diagram 1: </w:t>
      </w:r>
      <w:r w:rsidR="00E41B64" w:rsidRPr="00CA50A4">
        <w:rPr>
          <w:rFonts w:asciiTheme="majorBidi" w:hAnsiTheme="majorBidi" w:cstheme="majorBidi"/>
          <w:b/>
          <w:bCs/>
          <w:sz w:val="24"/>
          <w:szCs w:val="24"/>
        </w:rPr>
        <w:t>Forestry</w:t>
      </w:r>
    </w:p>
    <w:p w14:paraId="68F097BA" w14:textId="77777777" w:rsidR="00E41B64" w:rsidRPr="00F76618" w:rsidRDefault="00E41B64" w:rsidP="00E41B64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noProof/>
          <w:sz w:val="24"/>
          <w:szCs w:val="24"/>
          <w:lang w:eastAsia="en-ZA"/>
        </w:rPr>
        <w:drawing>
          <wp:inline distT="0" distB="0" distL="0" distR="0" wp14:anchorId="68F097DD" wp14:editId="68F097DE">
            <wp:extent cx="5731510" cy="3207601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07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097BB" w14:textId="2D8BCB94" w:rsidR="00E41B64" w:rsidRPr="00F76618" w:rsidRDefault="003C1117" w:rsidP="00E41B64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Diagram 2: </w:t>
      </w:r>
      <w:r w:rsidR="00E41B64" w:rsidRPr="00CA50A4">
        <w:rPr>
          <w:rFonts w:asciiTheme="majorBidi" w:hAnsiTheme="majorBidi" w:cstheme="majorBidi"/>
          <w:b/>
          <w:bCs/>
          <w:sz w:val="24"/>
          <w:szCs w:val="24"/>
        </w:rPr>
        <w:t>Crops</w:t>
      </w:r>
    </w:p>
    <w:p w14:paraId="68F097BC" w14:textId="77777777" w:rsidR="00E41B64" w:rsidRPr="00F76618" w:rsidRDefault="00E41B64" w:rsidP="00E41B64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noProof/>
          <w:sz w:val="24"/>
          <w:szCs w:val="24"/>
          <w:lang w:eastAsia="en-ZA"/>
        </w:rPr>
        <w:drawing>
          <wp:inline distT="0" distB="0" distL="0" distR="0" wp14:anchorId="68F097DF" wp14:editId="68F097E0">
            <wp:extent cx="5731510" cy="4023491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23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097BD" w14:textId="77777777" w:rsidR="00956929" w:rsidRPr="00F76618" w:rsidRDefault="00956929" w:rsidP="00E41B64">
      <w:pPr>
        <w:rPr>
          <w:rFonts w:asciiTheme="majorBidi" w:hAnsiTheme="majorBidi" w:cstheme="majorBidi"/>
          <w:sz w:val="24"/>
          <w:szCs w:val="24"/>
        </w:rPr>
      </w:pPr>
    </w:p>
    <w:p w14:paraId="68F097BE" w14:textId="77777777" w:rsidR="00956929" w:rsidRPr="00F76618" w:rsidRDefault="00956929" w:rsidP="00E41B64">
      <w:pPr>
        <w:rPr>
          <w:rFonts w:asciiTheme="majorBidi" w:hAnsiTheme="majorBidi" w:cstheme="majorBidi"/>
          <w:sz w:val="24"/>
          <w:szCs w:val="24"/>
        </w:rPr>
      </w:pPr>
    </w:p>
    <w:p w14:paraId="68F097BF" w14:textId="75268AE6" w:rsidR="00956929" w:rsidRPr="00F76618" w:rsidRDefault="003C1117" w:rsidP="00E41B64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Diagram 3: </w:t>
      </w:r>
      <w:r w:rsidR="00956929" w:rsidRPr="00CA50A4">
        <w:rPr>
          <w:rFonts w:asciiTheme="majorBidi" w:hAnsiTheme="majorBidi" w:cstheme="majorBidi"/>
          <w:b/>
          <w:bCs/>
          <w:sz w:val="24"/>
          <w:szCs w:val="24"/>
        </w:rPr>
        <w:t>Primary forest</w:t>
      </w:r>
    </w:p>
    <w:p w14:paraId="68F097C0" w14:textId="77777777" w:rsidR="00956929" w:rsidRPr="00F76618" w:rsidRDefault="005E3389" w:rsidP="00E41B64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noProof/>
          <w:sz w:val="24"/>
          <w:szCs w:val="24"/>
          <w:lang w:eastAsia="en-ZA"/>
        </w:rPr>
        <w:drawing>
          <wp:inline distT="0" distB="0" distL="0" distR="0" wp14:anchorId="68F097E1" wp14:editId="68F097E2">
            <wp:extent cx="5731510" cy="245967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59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097C1" w14:textId="77777777" w:rsidR="001C33DB" w:rsidRPr="00F76618" w:rsidRDefault="001C33DB" w:rsidP="00E41B64">
      <w:pPr>
        <w:rPr>
          <w:rFonts w:asciiTheme="majorBidi" w:hAnsiTheme="majorBidi" w:cstheme="majorBidi"/>
          <w:sz w:val="24"/>
          <w:szCs w:val="24"/>
        </w:rPr>
      </w:pPr>
    </w:p>
    <w:p w14:paraId="68F097C2" w14:textId="5F27EDE4" w:rsidR="001C33DB" w:rsidRPr="00CA50A4" w:rsidRDefault="003C1117" w:rsidP="00E41B64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Diagram 4: </w:t>
      </w:r>
      <w:r w:rsidR="001C33DB" w:rsidRPr="00CA50A4">
        <w:rPr>
          <w:rFonts w:asciiTheme="majorBidi" w:hAnsiTheme="majorBidi" w:cstheme="majorBidi"/>
          <w:b/>
          <w:bCs/>
          <w:sz w:val="24"/>
          <w:szCs w:val="24"/>
        </w:rPr>
        <w:t>Urban trees</w:t>
      </w:r>
    </w:p>
    <w:p w14:paraId="68F097C3" w14:textId="77777777" w:rsidR="00956929" w:rsidRPr="00F76618" w:rsidRDefault="001C33DB" w:rsidP="00E41B64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noProof/>
          <w:sz w:val="24"/>
          <w:szCs w:val="24"/>
          <w:lang w:eastAsia="en-ZA"/>
        </w:rPr>
        <w:drawing>
          <wp:inline distT="0" distB="0" distL="0" distR="0" wp14:anchorId="68F097E3" wp14:editId="68F097E4">
            <wp:extent cx="5731510" cy="155046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50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097C4" w14:textId="77777777" w:rsidR="001C33DB" w:rsidRPr="00F76618" w:rsidRDefault="001C33DB" w:rsidP="00E41B64">
      <w:pPr>
        <w:rPr>
          <w:rFonts w:asciiTheme="majorBidi" w:hAnsiTheme="majorBidi" w:cstheme="majorBidi"/>
          <w:sz w:val="24"/>
          <w:szCs w:val="24"/>
        </w:rPr>
      </w:pPr>
    </w:p>
    <w:p w14:paraId="04296772" w14:textId="77777777" w:rsidR="00B20FB9" w:rsidRDefault="00B20FB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68F097C5" w14:textId="20B282BB" w:rsidR="00956929" w:rsidRPr="00F76618" w:rsidRDefault="003C1117" w:rsidP="00E41B64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Diagram 5: </w:t>
      </w:r>
      <w:r w:rsidR="00956929" w:rsidRPr="00CA50A4">
        <w:rPr>
          <w:rFonts w:asciiTheme="majorBidi" w:hAnsiTheme="majorBidi" w:cstheme="majorBidi"/>
          <w:b/>
          <w:bCs/>
          <w:sz w:val="24"/>
          <w:szCs w:val="24"/>
        </w:rPr>
        <w:t>Economics</w:t>
      </w:r>
    </w:p>
    <w:p w14:paraId="68F097C6" w14:textId="77777777" w:rsidR="00956929" w:rsidRPr="00F76618" w:rsidRDefault="00956929" w:rsidP="00E41B64">
      <w:pPr>
        <w:rPr>
          <w:rFonts w:asciiTheme="majorBidi" w:hAnsiTheme="majorBidi" w:cstheme="majorBidi"/>
          <w:sz w:val="24"/>
          <w:szCs w:val="24"/>
        </w:rPr>
      </w:pPr>
      <w:r w:rsidRPr="00F76618">
        <w:rPr>
          <w:rFonts w:asciiTheme="majorBidi" w:hAnsiTheme="majorBidi" w:cstheme="majorBidi"/>
          <w:noProof/>
          <w:sz w:val="24"/>
          <w:szCs w:val="24"/>
          <w:lang w:eastAsia="en-ZA"/>
        </w:rPr>
        <w:drawing>
          <wp:inline distT="0" distB="0" distL="0" distR="0" wp14:anchorId="68F097E5" wp14:editId="68F097E6">
            <wp:extent cx="5731510" cy="4095526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95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097C7" w14:textId="77777777" w:rsidR="00956929" w:rsidRPr="00F76618" w:rsidRDefault="00956929" w:rsidP="00E41B64">
      <w:pPr>
        <w:rPr>
          <w:rFonts w:asciiTheme="majorBidi" w:hAnsiTheme="majorBidi" w:cstheme="majorBidi"/>
          <w:sz w:val="24"/>
          <w:szCs w:val="24"/>
        </w:rPr>
      </w:pPr>
    </w:p>
    <w:p w14:paraId="68F097C8" w14:textId="77777777" w:rsidR="00EC65D5" w:rsidRPr="00F76618" w:rsidRDefault="00EC65D5" w:rsidP="00C71151">
      <w:pPr>
        <w:rPr>
          <w:rFonts w:asciiTheme="majorBidi" w:hAnsiTheme="majorBidi" w:cstheme="majorBidi"/>
          <w:sz w:val="24"/>
          <w:szCs w:val="24"/>
        </w:rPr>
      </w:pPr>
    </w:p>
    <w:p w14:paraId="0E9F6A9E" w14:textId="77777777" w:rsidR="00B20FB9" w:rsidRDefault="00B20FB9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68F097CA" w14:textId="13E85CB2" w:rsidR="00C71151" w:rsidRPr="00F76618" w:rsidRDefault="00C71151" w:rsidP="00C71151">
      <w:pPr>
        <w:rPr>
          <w:rFonts w:asciiTheme="majorBidi" w:hAnsiTheme="majorBidi" w:cstheme="majorBidi"/>
          <w:sz w:val="24"/>
          <w:szCs w:val="24"/>
        </w:rPr>
      </w:pPr>
      <w:r w:rsidRPr="00CA50A4">
        <w:rPr>
          <w:rFonts w:asciiTheme="majorBidi" w:hAnsiTheme="majorBidi" w:cstheme="majorBidi"/>
          <w:b/>
          <w:bCs/>
          <w:sz w:val="24"/>
          <w:szCs w:val="24"/>
        </w:rPr>
        <w:lastRenderedPageBreak/>
        <w:t>Reference</w:t>
      </w:r>
      <w:r w:rsidR="00EC65D5" w:rsidRPr="00CA50A4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4B4A24" w:rsidRPr="00F76618">
        <w:rPr>
          <w:rFonts w:asciiTheme="majorBidi" w:hAnsiTheme="majorBidi" w:cstheme="majorBidi"/>
          <w:sz w:val="24"/>
          <w:szCs w:val="24"/>
        </w:rPr>
        <w:t xml:space="preserve"> </w:t>
      </w:r>
    </w:p>
    <w:p w14:paraId="5806F84C" w14:textId="118BFC23" w:rsidR="003C1117" w:rsidRPr="003C1117" w:rsidRDefault="003C1117" w:rsidP="003C111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C1117">
        <w:rPr>
          <w:rFonts w:ascii="Times New Roman" w:hAnsi="Times New Roman" w:cs="Times New Roman"/>
          <w:noProof/>
          <w:sz w:val="24"/>
          <w:szCs w:val="24"/>
        </w:rPr>
        <w:t>Crookes DJ (2012) Modelling the ecological-economic impacts of restoring natural capital, with a special focus on water and agriculture, at eight sites in South Africa. Stellenbosch</w:t>
      </w:r>
      <w:r w:rsidR="00981A27">
        <w:rPr>
          <w:rFonts w:ascii="Times New Roman" w:hAnsi="Times New Roman" w:cs="Times New Roman"/>
          <w:noProof/>
          <w:sz w:val="24"/>
          <w:szCs w:val="24"/>
        </w:rPr>
        <w:t>.</w:t>
      </w:r>
      <w:r w:rsidR="009D73D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3C1117">
        <w:rPr>
          <w:rFonts w:ascii="Times New Roman" w:hAnsi="Times New Roman" w:cs="Times New Roman"/>
          <w:noProof/>
          <w:sz w:val="24"/>
          <w:szCs w:val="24"/>
        </w:rPr>
        <w:t>Stellenbosch University</w:t>
      </w:r>
    </w:p>
    <w:p w14:paraId="3D9E3E39" w14:textId="6B47EE1C" w:rsidR="008652D0" w:rsidRDefault="003559D9" w:rsidP="003C111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559D9">
        <w:rPr>
          <w:rFonts w:ascii="Times New Roman" w:hAnsi="Times New Roman" w:cs="Times New Roman"/>
          <w:noProof/>
          <w:sz w:val="24"/>
          <w:szCs w:val="24"/>
        </w:rPr>
        <w:t xml:space="preserve">Brenner J, Jiménez JA, Sardá R, Garola A (2010) An assessment of the non-market value of the ecosystem services provided by the Catalan coastal zone, Spain. Ocean Coast Manag 53:27–38. </w:t>
      </w:r>
      <w:hyperlink r:id="rId16" w:history="1">
        <w:r w:rsidR="008652D0" w:rsidRPr="007E0D88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https://doi.org/10.1016/j.ocecoaman.2009.10.008</w:t>
        </w:r>
      </w:hyperlink>
    </w:p>
    <w:p w14:paraId="7FE6DB7F" w14:textId="29588340" w:rsidR="008652D0" w:rsidRPr="00B43352" w:rsidRDefault="00B43352" w:rsidP="009D73D8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B43352">
        <w:rPr>
          <w:rFonts w:ascii="Times New Roman" w:hAnsi="Times New Roman" w:cs="Times New Roman"/>
          <w:noProof/>
          <w:sz w:val="24"/>
          <w:szCs w:val="24"/>
        </w:rPr>
        <w:t xml:space="preserve">De Groot R, Brander L, van der Ploeg S, et al (2012) Global estimates of the value of ecosystems and their services in monetary units. Ecosyst Serv 1:50–61 </w:t>
      </w:r>
      <w:hyperlink r:id="rId17" w:history="1">
        <w:r w:rsidR="008652D0" w:rsidRPr="007E0D88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https://doi.org/10.1016/j.ecoser.2012.07.005</w:t>
        </w:r>
      </w:hyperlink>
    </w:p>
    <w:p w14:paraId="0772C6F5" w14:textId="07A0AFDF" w:rsidR="00B43352" w:rsidRDefault="00B43352" w:rsidP="009D73D8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B43352">
        <w:rPr>
          <w:rFonts w:ascii="Times New Roman" w:hAnsi="Times New Roman" w:cs="Times New Roman"/>
          <w:noProof/>
          <w:sz w:val="24"/>
          <w:szCs w:val="24"/>
        </w:rPr>
        <w:t xml:space="preserve">De Groot RS, Blignaut J, Van der Ploeg S, et al (2013) Benefits of investing in ecosystem restoration. Conserv Biol 27:1286–1293. </w:t>
      </w:r>
      <w:hyperlink r:id="rId18" w:history="1">
        <w:r w:rsidRPr="009A4C43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https://doi.org/10.1111/cobi.12158</w:t>
        </w:r>
      </w:hyperlink>
    </w:p>
    <w:p w14:paraId="7E1A2AC8" w14:textId="5A5B9BBF" w:rsidR="005939E6" w:rsidRDefault="005939E6" w:rsidP="003C111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5939E6">
        <w:rPr>
          <w:rFonts w:ascii="Times New Roman" w:hAnsi="Times New Roman" w:cs="Times New Roman"/>
          <w:noProof/>
          <w:sz w:val="24"/>
          <w:szCs w:val="24"/>
        </w:rPr>
        <w:t>Department of Agriculture, Forestry and Fisheries (DAFF) (2020) Abstract of Agricultural Statistics 2019 [Excel spreadsheet]. Government Printer, Pretoria</w:t>
      </w:r>
    </w:p>
    <w:p w14:paraId="3C7A9ECB" w14:textId="42E3626B" w:rsidR="005939E6" w:rsidRDefault="005939E6" w:rsidP="003C111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5939E6">
        <w:rPr>
          <w:rFonts w:ascii="Times New Roman" w:hAnsi="Times New Roman" w:cs="Times New Roman"/>
          <w:noProof/>
          <w:sz w:val="24"/>
          <w:szCs w:val="24"/>
        </w:rPr>
        <w:t>Forestry South Africa (2020) South African Forestry &amp; Forest Products Industry Facts:  1980 - 2017 (Excel document). https://forestry.co.za/statistical-data. Accessed: 11 June 2020</w:t>
      </w:r>
    </w:p>
    <w:p w14:paraId="253E175D" w14:textId="3C6C5182" w:rsidR="003F6C86" w:rsidRDefault="003F6C86" w:rsidP="003F6C86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Garret C</w:t>
      </w:r>
      <w:r w:rsidRPr="003F6C8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(</w:t>
      </w:r>
      <w:r w:rsidRPr="003F6C86">
        <w:rPr>
          <w:rFonts w:ascii="Times New Roman" w:hAnsi="Times New Roman" w:cs="Times New Roman"/>
          <w:noProof/>
          <w:sz w:val="24"/>
          <w:szCs w:val="24"/>
        </w:rPr>
        <w:t>2016</w:t>
      </w:r>
      <w:r>
        <w:rPr>
          <w:rFonts w:ascii="Times New Roman" w:hAnsi="Times New Roman" w:cs="Times New Roman"/>
          <w:noProof/>
          <w:sz w:val="24"/>
          <w:szCs w:val="24"/>
        </w:rPr>
        <w:t>)</w:t>
      </w:r>
      <w:r w:rsidRPr="003F6C86">
        <w:rPr>
          <w:rFonts w:ascii="Times New Roman" w:hAnsi="Times New Roman" w:cs="Times New Roman"/>
          <w:noProof/>
          <w:sz w:val="24"/>
          <w:szCs w:val="24"/>
        </w:rPr>
        <w:t xml:space="preserve"> South Africa: ramp</w:t>
      </w:r>
      <w:r>
        <w:rPr>
          <w:rFonts w:ascii="Times New Roman" w:hAnsi="Times New Roman" w:cs="Times New Roman"/>
          <w:noProof/>
          <w:sz w:val="24"/>
          <w:szCs w:val="24"/>
        </w:rPr>
        <w:t xml:space="preserve">ing up avocado production. </w:t>
      </w:r>
      <w:hyperlink r:id="rId19" w:history="1">
        <w:r w:rsidRPr="002701C4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https://www.freshplaza.com/article/2155043/south-africa-ramping-up-avocado-production/</w:t>
        </w:r>
      </w:hyperlink>
      <w:r>
        <w:rPr>
          <w:rFonts w:ascii="Times New Roman" w:hAnsi="Times New Roman" w:cs="Times New Roman"/>
          <w:noProof/>
          <w:sz w:val="24"/>
          <w:szCs w:val="24"/>
        </w:rPr>
        <w:t xml:space="preserve">. Accessed: </w:t>
      </w:r>
      <w:r w:rsidRPr="003F6C86">
        <w:rPr>
          <w:rFonts w:ascii="Times New Roman" w:hAnsi="Times New Roman" w:cs="Times New Roman"/>
          <w:noProof/>
          <w:sz w:val="24"/>
          <w:szCs w:val="24"/>
        </w:rPr>
        <w:t>23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November </w:t>
      </w:r>
      <w:r w:rsidRPr="003F6C86">
        <w:rPr>
          <w:rFonts w:ascii="Times New Roman" w:hAnsi="Times New Roman" w:cs="Times New Roman"/>
          <w:noProof/>
          <w:sz w:val="24"/>
          <w:szCs w:val="24"/>
        </w:rPr>
        <w:t>2020</w:t>
      </w:r>
    </w:p>
    <w:p w14:paraId="4144D403" w14:textId="31BD6137" w:rsidR="003F6C86" w:rsidRDefault="003F6C86" w:rsidP="003F6C86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F6C86">
        <w:rPr>
          <w:rFonts w:ascii="Times New Roman" w:hAnsi="Times New Roman" w:cs="Times New Roman"/>
          <w:noProof/>
          <w:sz w:val="24"/>
          <w:szCs w:val="24"/>
        </w:rPr>
        <w:t xml:space="preserve">Global Finance. 2020. GDP-GNI-Definitions https://www.gfmag.com/global-data/glossary/gdp-gni-definitions#:~:text=PPP%20GNI%20is%20gross%20national,has%20in%20the%20United%20States.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Accessed </w:t>
      </w:r>
      <w:r w:rsidRPr="003F6C86">
        <w:rPr>
          <w:rFonts w:ascii="Times New Roman" w:hAnsi="Times New Roman" w:cs="Times New Roman"/>
          <w:noProof/>
          <w:sz w:val="24"/>
          <w:szCs w:val="24"/>
        </w:rPr>
        <w:t>12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November 2020</w:t>
      </w:r>
    </w:p>
    <w:p w14:paraId="036F9EB0" w14:textId="5AF81146" w:rsidR="003F6C86" w:rsidRDefault="003F6C86" w:rsidP="003F6C86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F6C86">
        <w:rPr>
          <w:rFonts w:ascii="Times New Roman" w:hAnsi="Times New Roman" w:cs="Times New Roman"/>
          <w:noProof/>
          <w:sz w:val="24"/>
          <w:szCs w:val="24"/>
        </w:rPr>
        <w:t xml:space="preserve">Investing.com. 2020. </w:t>
      </w:r>
      <w:r>
        <w:rPr>
          <w:rFonts w:ascii="Times New Roman" w:hAnsi="Times New Roman" w:cs="Times New Roman"/>
          <w:noProof/>
          <w:sz w:val="24"/>
          <w:szCs w:val="24"/>
        </w:rPr>
        <w:t>USD/ZAR Historical Data</w:t>
      </w:r>
      <w:r w:rsidRPr="003F6C86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hyperlink r:id="rId20" w:history="1">
        <w:r w:rsidRPr="002701C4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https://za.investing.com/currencies/</w:t>
        </w:r>
      </w:hyperlink>
      <w:r>
        <w:rPr>
          <w:rFonts w:ascii="Times New Roman" w:hAnsi="Times New Roman" w:cs="Times New Roman"/>
          <w:noProof/>
          <w:sz w:val="24"/>
          <w:szCs w:val="24"/>
        </w:rPr>
        <w:t xml:space="preserve">. Accessed </w:t>
      </w:r>
      <w:r w:rsidRPr="003F6C86">
        <w:rPr>
          <w:rFonts w:ascii="Times New Roman" w:hAnsi="Times New Roman" w:cs="Times New Roman"/>
          <w:noProof/>
          <w:sz w:val="24"/>
          <w:szCs w:val="24"/>
        </w:rPr>
        <w:t>12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November 2020</w:t>
      </w:r>
    </w:p>
    <w:p w14:paraId="3F09604B" w14:textId="5EB24FD2" w:rsidR="003F6C86" w:rsidRPr="003C1117" w:rsidRDefault="003F6C86" w:rsidP="003F6C86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F6C86">
        <w:rPr>
          <w:rFonts w:ascii="Times New Roman" w:hAnsi="Times New Roman" w:cs="Times New Roman"/>
          <w:noProof/>
          <w:sz w:val="24"/>
          <w:szCs w:val="24"/>
        </w:rPr>
        <w:t>Joh</w:t>
      </w:r>
      <w:r>
        <w:rPr>
          <w:rFonts w:ascii="Times New Roman" w:hAnsi="Times New Roman" w:cs="Times New Roman"/>
          <w:noProof/>
          <w:sz w:val="24"/>
          <w:szCs w:val="24"/>
        </w:rPr>
        <w:t xml:space="preserve">annesburg </w:t>
      </w:r>
      <w:r w:rsidR="00887EEC">
        <w:rPr>
          <w:rFonts w:ascii="Times New Roman" w:hAnsi="Times New Roman" w:cs="Times New Roman"/>
          <w:noProof/>
          <w:sz w:val="24"/>
          <w:szCs w:val="24"/>
        </w:rPr>
        <w:t>U</w:t>
      </w:r>
      <w:r>
        <w:rPr>
          <w:rFonts w:ascii="Times New Roman" w:hAnsi="Times New Roman" w:cs="Times New Roman"/>
          <w:noProof/>
          <w:sz w:val="24"/>
          <w:szCs w:val="24"/>
        </w:rPr>
        <w:t xml:space="preserve">rban </w:t>
      </w:r>
      <w:r w:rsidR="00887EEC">
        <w:rPr>
          <w:rFonts w:ascii="Times New Roman" w:hAnsi="Times New Roman" w:cs="Times New Roman"/>
          <w:noProof/>
          <w:sz w:val="24"/>
          <w:szCs w:val="24"/>
        </w:rPr>
        <w:t>F</w:t>
      </w:r>
      <w:r>
        <w:rPr>
          <w:rFonts w:ascii="Times New Roman" w:hAnsi="Times New Roman" w:cs="Times New Roman"/>
          <w:noProof/>
          <w:sz w:val="24"/>
          <w:szCs w:val="24"/>
        </w:rPr>
        <w:t xml:space="preserve">orest </w:t>
      </w:r>
      <w:r w:rsidR="00887EEC">
        <w:rPr>
          <w:rFonts w:ascii="Times New Roman" w:hAnsi="Times New Roman" w:cs="Times New Roman"/>
          <w:noProof/>
          <w:sz w:val="24"/>
          <w:szCs w:val="24"/>
        </w:rPr>
        <w:t>A</w:t>
      </w:r>
      <w:r>
        <w:rPr>
          <w:rFonts w:ascii="Times New Roman" w:hAnsi="Times New Roman" w:cs="Times New Roman"/>
          <w:noProof/>
          <w:sz w:val="24"/>
          <w:szCs w:val="24"/>
        </w:rPr>
        <w:t>lliance (JUFA) (2020).</w:t>
      </w:r>
      <w:r w:rsidRPr="003F6C8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Johannesburg as an urban forest </w:t>
      </w:r>
      <w:r w:rsidRPr="003F6C86">
        <w:rPr>
          <w:rFonts w:ascii="Times New Roman" w:hAnsi="Times New Roman" w:cs="Times New Roman"/>
          <w:noProof/>
          <w:sz w:val="24"/>
          <w:szCs w:val="24"/>
        </w:rPr>
        <w:t>http://www.jufa.org.za/about.html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. Accessed: 23 November 2020</w:t>
      </w:r>
    </w:p>
    <w:p w14:paraId="19581208" w14:textId="2E2053F7" w:rsidR="008652D0" w:rsidRDefault="003C1117" w:rsidP="003C111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C1117">
        <w:rPr>
          <w:rFonts w:ascii="Times New Roman" w:hAnsi="Times New Roman" w:cs="Times New Roman"/>
          <w:noProof/>
          <w:sz w:val="24"/>
          <w:szCs w:val="24"/>
        </w:rPr>
        <w:t xml:space="preserve">Jones ME, Paine TD (2015) Effect of </w:t>
      </w:r>
      <w:r w:rsidR="00AB7894">
        <w:rPr>
          <w:rFonts w:ascii="Times New Roman" w:hAnsi="Times New Roman" w:cs="Times New Roman"/>
          <w:noProof/>
          <w:sz w:val="24"/>
          <w:szCs w:val="24"/>
        </w:rPr>
        <w:t>c</w:t>
      </w:r>
      <w:r w:rsidRPr="003C1117">
        <w:rPr>
          <w:rFonts w:ascii="Times New Roman" w:hAnsi="Times New Roman" w:cs="Times New Roman"/>
          <w:noProof/>
          <w:sz w:val="24"/>
          <w:szCs w:val="24"/>
        </w:rPr>
        <w:t xml:space="preserve">hipping and </w:t>
      </w:r>
      <w:r w:rsidR="00AB7894">
        <w:rPr>
          <w:rFonts w:ascii="Times New Roman" w:hAnsi="Times New Roman" w:cs="Times New Roman"/>
          <w:noProof/>
          <w:sz w:val="24"/>
          <w:szCs w:val="24"/>
        </w:rPr>
        <w:t>s</w:t>
      </w:r>
      <w:r w:rsidRPr="003C1117">
        <w:rPr>
          <w:rFonts w:ascii="Times New Roman" w:hAnsi="Times New Roman" w:cs="Times New Roman"/>
          <w:noProof/>
          <w:sz w:val="24"/>
          <w:szCs w:val="24"/>
        </w:rPr>
        <w:t xml:space="preserve">olarization on </w:t>
      </w:r>
      <w:r w:rsidR="00AB7894">
        <w:rPr>
          <w:rFonts w:ascii="Times New Roman" w:hAnsi="Times New Roman" w:cs="Times New Roman"/>
          <w:noProof/>
          <w:sz w:val="24"/>
          <w:szCs w:val="24"/>
        </w:rPr>
        <w:t>e</w:t>
      </w:r>
      <w:r w:rsidRPr="003C1117">
        <w:rPr>
          <w:rFonts w:ascii="Times New Roman" w:hAnsi="Times New Roman" w:cs="Times New Roman"/>
          <w:noProof/>
          <w:sz w:val="24"/>
          <w:szCs w:val="24"/>
        </w:rPr>
        <w:t xml:space="preserve">mergence and </w:t>
      </w:r>
      <w:r w:rsidR="00AB7894">
        <w:rPr>
          <w:rFonts w:ascii="Times New Roman" w:hAnsi="Times New Roman" w:cs="Times New Roman"/>
          <w:noProof/>
          <w:sz w:val="24"/>
          <w:szCs w:val="24"/>
        </w:rPr>
        <w:t>b</w:t>
      </w:r>
      <w:r w:rsidRPr="003C1117">
        <w:rPr>
          <w:rFonts w:ascii="Times New Roman" w:hAnsi="Times New Roman" w:cs="Times New Roman"/>
          <w:noProof/>
          <w:sz w:val="24"/>
          <w:szCs w:val="24"/>
        </w:rPr>
        <w:t xml:space="preserve">oring </w:t>
      </w:r>
      <w:r w:rsidR="00AB7894">
        <w:rPr>
          <w:rFonts w:ascii="Times New Roman" w:hAnsi="Times New Roman" w:cs="Times New Roman"/>
          <w:noProof/>
          <w:sz w:val="24"/>
          <w:szCs w:val="24"/>
        </w:rPr>
        <w:t>a</w:t>
      </w:r>
      <w:r w:rsidRPr="003C1117">
        <w:rPr>
          <w:rFonts w:ascii="Times New Roman" w:hAnsi="Times New Roman" w:cs="Times New Roman"/>
          <w:noProof/>
          <w:sz w:val="24"/>
          <w:szCs w:val="24"/>
        </w:rPr>
        <w:t xml:space="preserve">ctivity of a </w:t>
      </w:r>
      <w:r w:rsidR="00AB7894">
        <w:rPr>
          <w:rFonts w:ascii="Times New Roman" w:hAnsi="Times New Roman" w:cs="Times New Roman"/>
          <w:noProof/>
          <w:sz w:val="24"/>
          <w:szCs w:val="24"/>
        </w:rPr>
        <w:t>r</w:t>
      </w:r>
      <w:r w:rsidRPr="003C1117">
        <w:rPr>
          <w:rFonts w:ascii="Times New Roman" w:hAnsi="Times New Roman" w:cs="Times New Roman"/>
          <w:noProof/>
          <w:sz w:val="24"/>
          <w:szCs w:val="24"/>
        </w:rPr>
        <w:t xml:space="preserve">ecently </w:t>
      </w:r>
      <w:r w:rsidR="00AB7894">
        <w:rPr>
          <w:rFonts w:ascii="Times New Roman" w:hAnsi="Times New Roman" w:cs="Times New Roman"/>
          <w:noProof/>
          <w:sz w:val="24"/>
          <w:szCs w:val="24"/>
        </w:rPr>
        <w:t>i</w:t>
      </w:r>
      <w:r w:rsidRPr="003C1117">
        <w:rPr>
          <w:rFonts w:ascii="Times New Roman" w:hAnsi="Times New Roman" w:cs="Times New Roman"/>
          <w:noProof/>
          <w:sz w:val="24"/>
          <w:szCs w:val="24"/>
        </w:rPr>
        <w:t xml:space="preserve">ntroduced Ambrosia Beetle (Euwallacea sp., Coleoptera: Curculionidae: Scolytinae) in Southern California. J Econ Entomol 108:1852–1859. </w:t>
      </w:r>
      <w:hyperlink r:id="rId21" w:history="1">
        <w:r w:rsidR="008652D0" w:rsidRPr="007E0D88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https://doi.org/10.1093/jee/tov169</w:t>
        </w:r>
      </w:hyperlink>
    </w:p>
    <w:p w14:paraId="610CFDFC" w14:textId="3A7052CB" w:rsidR="00C85686" w:rsidRPr="003C1117" w:rsidRDefault="00C85686" w:rsidP="009D73D8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85686">
        <w:rPr>
          <w:rFonts w:ascii="Times New Roman" w:hAnsi="Times New Roman" w:cs="Times New Roman"/>
          <w:noProof/>
          <w:sz w:val="24"/>
          <w:szCs w:val="24"/>
        </w:rPr>
        <w:t>NCT Forestry Co-Operative Ltd, 2014. News an</w:t>
      </w:r>
      <w:r>
        <w:rPr>
          <w:rFonts w:ascii="Times New Roman" w:hAnsi="Times New Roman" w:cs="Times New Roman"/>
          <w:noProof/>
          <w:sz w:val="24"/>
          <w:szCs w:val="24"/>
        </w:rPr>
        <w:t xml:space="preserve">d Views No. 84 April 2014. </w:t>
      </w:r>
      <w:hyperlink r:id="rId22" w:history="1">
        <w:r w:rsidRPr="002701C4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http://www.nctforest.com/upload/Publications/News%20n%20Views%20April%202014%20electronic.pdf</w:t>
        </w:r>
      </w:hyperlink>
      <w:r>
        <w:rPr>
          <w:rFonts w:ascii="Times New Roman" w:hAnsi="Times New Roman" w:cs="Times New Roman"/>
          <w:noProof/>
          <w:sz w:val="24"/>
          <w:szCs w:val="24"/>
        </w:rPr>
        <w:t xml:space="preserve">. Accessed: </w:t>
      </w:r>
      <w:r w:rsidRPr="00C85686">
        <w:rPr>
          <w:rFonts w:ascii="Times New Roman" w:hAnsi="Times New Roman" w:cs="Times New Roman"/>
          <w:noProof/>
          <w:sz w:val="24"/>
          <w:szCs w:val="24"/>
        </w:rPr>
        <w:t>23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November 2020</w:t>
      </w:r>
    </w:p>
    <w:p w14:paraId="3E4CCB20" w14:textId="77777777" w:rsidR="003C1117" w:rsidRDefault="003C1117" w:rsidP="003C111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C1117">
        <w:rPr>
          <w:rFonts w:ascii="Times New Roman" w:hAnsi="Times New Roman" w:cs="Times New Roman"/>
          <w:noProof/>
          <w:sz w:val="24"/>
          <w:szCs w:val="24"/>
        </w:rPr>
        <w:t>McPherson EG (2003) A benefit-cost analysis of ten tree species in Modesto, California, U.S.A. J Arboric 29:1–8</w:t>
      </w:r>
    </w:p>
    <w:p w14:paraId="745F2CA9" w14:textId="762665D9" w:rsidR="003F6C86" w:rsidRDefault="003F6C86" w:rsidP="003C111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F6C86">
        <w:rPr>
          <w:rFonts w:ascii="Times New Roman" w:hAnsi="Times New Roman" w:cs="Times New Roman"/>
          <w:noProof/>
          <w:sz w:val="24"/>
          <w:szCs w:val="24"/>
        </w:rPr>
        <w:t>Mongab</w:t>
      </w:r>
      <w:r w:rsidR="009D6181">
        <w:rPr>
          <w:rFonts w:ascii="Times New Roman" w:hAnsi="Times New Roman" w:cs="Times New Roman"/>
          <w:noProof/>
          <w:sz w:val="24"/>
          <w:szCs w:val="24"/>
        </w:rPr>
        <w:t>a</w:t>
      </w:r>
      <w:r w:rsidRPr="003F6C86">
        <w:rPr>
          <w:rFonts w:ascii="Times New Roman" w:hAnsi="Times New Roman" w:cs="Times New Roman"/>
          <w:noProof/>
          <w:sz w:val="24"/>
          <w:szCs w:val="24"/>
        </w:rPr>
        <w:t>y (2011) South Africa Forest Information and Data.   https://rainforests.mongabay.com/deforestation/2000/South_Africa.htm. Accessed: 11 June 2020</w:t>
      </w:r>
    </w:p>
    <w:p w14:paraId="7D126BE4" w14:textId="77777777" w:rsidR="003679A5" w:rsidRDefault="003157CD" w:rsidP="003C111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157CD">
        <w:rPr>
          <w:rFonts w:ascii="Times New Roman" w:hAnsi="Times New Roman" w:cs="Times New Roman"/>
          <w:noProof/>
          <w:sz w:val="24"/>
          <w:szCs w:val="24"/>
        </w:rPr>
        <w:t>Oberholzer F, Godsmark R (2020). Forestry South Africa Roundwood Sales Analysis for 2019 Financial Year. Forestry South Africa. 1–31.</w:t>
      </w:r>
    </w:p>
    <w:p w14:paraId="14B32BD3" w14:textId="77777777" w:rsidR="003679A5" w:rsidRDefault="003C1117" w:rsidP="00C85686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C1117">
        <w:rPr>
          <w:rFonts w:ascii="Times New Roman" w:hAnsi="Times New Roman" w:cs="Times New Roman"/>
          <w:noProof/>
          <w:sz w:val="24"/>
          <w:szCs w:val="24"/>
        </w:rPr>
        <w:lastRenderedPageBreak/>
        <w:t>Peper P, McPherson EG, Simpson JR, et al (2007) New York City, New York. Municipal Forest Resource Analysis. Davis, CA</w:t>
      </w:r>
    </w:p>
    <w:p w14:paraId="67A2FD0A" w14:textId="43E3C96D" w:rsidR="00C85686" w:rsidRPr="003C1117" w:rsidRDefault="00C85686" w:rsidP="00C85686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SA Forestry Online (2009)</w:t>
      </w:r>
      <w:r w:rsidRPr="00C85686">
        <w:rPr>
          <w:rFonts w:ascii="Times New Roman" w:hAnsi="Times New Roman" w:cs="Times New Roman"/>
          <w:noProof/>
          <w:sz w:val="24"/>
          <w:szCs w:val="24"/>
        </w:rPr>
        <w:t xml:space="preserve"> Harvesting wattle bark the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UCL way. </w:t>
      </w:r>
      <w:hyperlink r:id="rId23" w:history="1">
        <w:r w:rsidRPr="002701C4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http://saforestryonline.co.za/articles/harvesting_silviculture/harvesting_wattle_bark_the_ucl_way/</w:t>
        </w:r>
      </w:hyperlink>
      <w:r>
        <w:rPr>
          <w:rFonts w:ascii="Times New Roman" w:hAnsi="Times New Roman" w:cs="Times New Roman"/>
          <w:noProof/>
          <w:sz w:val="24"/>
          <w:szCs w:val="24"/>
        </w:rPr>
        <w:t>. Accessed: 23 November 2020</w:t>
      </w:r>
      <w:r w:rsidRPr="00C85686">
        <w:rPr>
          <w:rFonts w:ascii="Times New Roman" w:hAnsi="Times New Roman" w:cs="Times New Roman"/>
          <w:noProof/>
          <w:sz w:val="24"/>
          <w:szCs w:val="24"/>
        </w:rPr>
        <w:t>.</w:t>
      </w:r>
    </w:p>
    <w:p w14:paraId="21F62679" w14:textId="5FA2AF21" w:rsidR="003C1117" w:rsidRPr="003C1117" w:rsidRDefault="003C1117" w:rsidP="003C111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C1117">
        <w:rPr>
          <w:rFonts w:ascii="Times New Roman" w:hAnsi="Times New Roman" w:cs="Times New Roman"/>
          <w:noProof/>
          <w:sz w:val="24"/>
          <w:szCs w:val="24"/>
        </w:rPr>
        <w:t>Schäffler A, Christopher N, Bobbins K, et al (2013) State of Green Infrastructure in the Gauteng City-Region</w:t>
      </w:r>
      <w:r w:rsidR="00DD34D0">
        <w:rPr>
          <w:rFonts w:ascii="Times New Roman" w:hAnsi="Times New Roman" w:cs="Times New Roman"/>
          <w:noProof/>
          <w:sz w:val="24"/>
          <w:szCs w:val="24"/>
        </w:rPr>
        <w:t>. G</w:t>
      </w:r>
      <w:r w:rsidR="00882F55">
        <w:rPr>
          <w:rFonts w:ascii="Times New Roman" w:hAnsi="Times New Roman" w:cs="Times New Roman"/>
          <w:noProof/>
          <w:sz w:val="24"/>
          <w:szCs w:val="24"/>
        </w:rPr>
        <w:t>auteng City-Region Observatory</w:t>
      </w:r>
      <w:r w:rsidR="00DD34D0">
        <w:rPr>
          <w:rFonts w:ascii="Times New Roman" w:hAnsi="Times New Roman" w:cs="Times New Roman"/>
          <w:noProof/>
          <w:sz w:val="24"/>
          <w:szCs w:val="24"/>
        </w:rPr>
        <w:t>, Jo</w:t>
      </w:r>
      <w:r w:rsidR="008628FA">
        <w:rPr>
          <w:rFonts w:ascii="Times New Roman" w:hAnsi="Times New Roman" w:cs="Times New Roman"/>
          <w:noProof/>
          <w:sz w:val="24"/>
          <w:szCs w:val="24"/>
        </w:rPr>
        <w:t>hannesburg.</w:t>
      </w:r>
    </w:p>
    <w:p w14:paraId="51117557" w14:textId="3B170A9D" w:rsidR="009D73D8" w:rsidRDefault="003C1117" w:rsidP="003C111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C1117">
        <w:rPr>
          <w:rFonts w:ascii="Times New Roman" w:hAnsi="Times New Roman" w:cs="Times New Roman"/>
          <w:noProof/>
          <w:sz w:val="24"/>
          <w:szCs w:val="24"/>
        </w:rPr>
        <w:t xml:space="preserve">Soares AL, Rego FC, McPherson EG, et al (2011) Benefits and costs of street trees in Lisbon, Portugal. Urban For Urban Green 10:69–78. </w:t>
      </w:r>
      <w:hyperlink r:id="rId24" w:history="1">
        <w:r w:rsidR="009D73D8" w:rsidRPr="007E0D88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https://doi.org/10.1016/j.ufug.2010.12.001</w:t>
        </w:r>
      </w:hyperlink>
    </w:p>
    <w:p w14:paraId="31461E1D" w14:textId="72264A9C" w:rsidR="003F6C86" w:rsidRPr="003F6C86" w:rsidRDefault="003F6C86" w:rsidP="009D73D8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StatsSA</w:t>
      </w:r>
      <w:r w:rsidRPr="003F6C8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(</w:t>
      </w:r>
      <w:r w:rsidRPr="003F6C86">
        <w:rPr>
          <w:rFonts w:ascii="Times New Roman" w:hAnsi="Times New Roman" w:cs="Times New Roman"/>
          <w:noProof/>
          <w:sz w:val="24"/>
          <w:szCs w:val="24"/>
        </w:rPr>
        <w:t>2013</w:t>
      </w:r>
      <w:r>
        <w:rPr>
          <w:rFonts w:ascii="Times New Roman" w:hAnsi="Times New Roman" w:cs="Times New Roman"/>
          <w:noProof/>
          <w:sz w:val="24"/>
          <w:szCs w:val="24"/>
        </w:rPr>
        <w:t>)</w:t>
      </w:r>
      <w:r w:rsidRPr="003F6C86">
        <w:rPr>
          <w:rFonts w:ascii="Times New Roman" w:hAnsi="Times New Roman" w:cs="Times New Roman"/>
          <w:noProof/>
          <w:sz w:val="24"/>
          <w:szCs w:val="24"/>
        </w:rPr>
        <w:t xml:space="preserve"> What is the Consumer Price Index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  <w:r w:rsidRPr="003F6C8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hyperlink r:id="rId25" w:history="1">
        <w:r w:rsidRPr="002701C4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http://www.statssa.gov.za/?p=955</w:t>
        </w:r>
      </w:hyperlink>
      <w:r>
        <w:rPr>
          <w:rFonts w:ascii="Times New Roman" w:hAnsi="Times New Roman" w:cs="Times New Roman"/>
          <w:noProof/>
          <w:sz w:val="24"/>
          <w:szCs w:val="24"/>
        </w:rPr>
        <w:t xml:space="preserve">. Accessed </w:t>
      </w:r>
      <w:r w:rsidRPr="003F6C86">
        <w:rPr>
          <w:rFonts w:ascii="Times New Roman" w:hAnsi="Times New Roman" w:cs="Times New Roman"/>
          <w:noProof/>
          <w:sz w:val="24"/>
          <w:szCs w:val="24"/>
        </w:rPr>
        <w:t>12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November 2020</w:t>
      </w:r>
    </w:p>
    <w:p w14:paraId="32C8FB04" w14:textId="54B84EF4" w:rsidR="006A0AE1" w:rsidRPr="006A0AE1" w:rsidRDefault="003F6C86" w:rsidP="006A0AE1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8142AF">
        <w:rPr>
          <w:rFonts w:ascii="Times New Roman" w:hAnsi="Times New Roman" w:cs="Times New Roman"/>
          <w:noProof/>
          <w:sz w:val="24"/>
          <w:szCs w:val="24"/>
        </w:rPr>
        <w:t xml:space="preserve">StatsSA (2020) Consumer Price Index (CPI) </w:t>
      </w:r>
      <w:hyperlink r:id="rId26" w:history="1">
        <w:r w:rsidRPr="008142AF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http://www.statssa.gov.za/</w:t>
        </w:r>
      </w:hyperlink>
      <w:r w:rsidRPr="008142AF">
        <w:rPr>
          <w:rFonts w:ascii="Times New Roman" w:hAnsi="Times New Roman" w:cs="Times New Roman"/>
          <w:noProof/>
          <w:sz w:val="24"/>
          <w:szCs w:val="24"/>
        </w:rPr>
        <w:t>. Accessed: 12 November 2020</w:t>
      </w:r>
      <w:r w:rsidR="003C1117" w:rsidRPr="003C1117">
        <w:rPr>
          <w:rFonts w:ascii="Times New Roman" w:hAnsi="Times New Roman" w:cs="Times New Roman"/>
          <w:noProof/>
          <w:sz w:val="24"/>
          <w:szCs w:val="24"/>
        </w:rPr>
        <w:t>Stoffberg GH (2006) Growth and carbon sequestration by street trees in the City of Tshwane, South Africa. University of Pretoria</w:t>
      </w:r>
    </w:p>
    <w:p w14:paraId="0E13EDA3" w14:textId="77777777" w:rsidR="006A0AE1" w:rsidRDefault="006A0AE1" w:rsidP="003F6C86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6A0AE1">
        <w:rPr>
          <w:rFonts w:ascii="Times New Roman" w:hAnsi="Times New Roman" w:cs="Times New Roman"/>
          <w:noProof/>
          <w:sz w:val="24"/>
          <w:szCs w:val="24"/>
        </w:rPr>
        <w:t>Stoffberg GH (2006) Growth and carbon sequestration by street trees in the City of Tshwane, South Africa. University of Pretoria</w:t>
      </w:r>
    </w:p>
    <w:p w14:paraId="4ED699E5" w14:textId="0B59C62A" w:rsidR="00C85686" w:rsidRPr="003C1117" w:rsidRDefault="00C85686" w:rsidP="003F6C86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C85686">
        <w:rPr>
          <w:rFonts w:ascii="Times New Roman" w:hAnsi="Times New Roman" w:cs="Times New Roman"/>
          <w:noProof/>
          <w:sz w:val="24"/>
          <w:szCs w:val="24"/>
        </w:rPr>
        <w:t>Treepedia (2020) Exploring the green canopy in cities around the world. http://senseable.mit.edu/treepedia/cities/cape%20town. Accessed: 23 November 2020</w:t>
      </w:r>
    </w:p>
    <w:p w14:paraId="46554828" w14:textId="146FFF53" w:rsidR="00903888" w:rsidRDefault="00085F7D" w:rsidP="003C111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085F7D">
        <w:rPr>
          <w:rFonts w:ascii="Times New Roman" w:hAnsi="Times New Roman" w:cs="Times New Roman"/>
          <w:noProof/>
          <w:sz w:val="24"/>
          <w:szCs w:val="24"/>
        </w:rPr>
        <w:t xml:space="preserve">Turpie JK, Forsythe KJ, Knowles A, et al (2017) Mapping and valuation of South Africa’s ecosystem services: A local perspective. Ecosyst Serv 27:179-192 </w:t>
      </w:r>
      <w:hyperlink r:id="rId27" w:history="1">
        <w:r w:rsidR="00903888" w:rsidRPr="009A4C43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https://doi.org/10.1016/j.ecoser.2017.07.008</w:t>
        </w:r>
      </w:hyperlink>
    </w:p>
    <w:p w14:paraId="30AA6622" w14:textId="777E60D2" w:rsidR="003C1117" w:rsidRDefault="003C1117" w:rsidP="003C1117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 w:val="24"/>
          <w:szCs w:val="24"/>
        </w:rPr>
      </w:pPr>
      <w:r w:rsidRPr="003C1117">
        <w:rPr>
          <w:rFonts w:ascii="Times New Roman" w:hAnsi="Times New Roman" w:cs="Times New Roman"/>
          <w:noProof/>
          <w:sz w:val="24"/>
          <w:szCs w:val="24"/>
        </w:rPr>
        <w:t>Van Zyl H, De Wit MP (2013) Environmental Impact Assessment for the proposed National Road 3: Keeversfontein To Warden (De Beers Pass Section). Environmental Resource Economics Draft Specialist Report</w:t>
      </w:r>
    </w:p>
    <w:p w14:paraId="1C510DC0" w14:textId="7F25D08B" w:rsidR="000D624D" w:rsidRPr="00F76618" w:rsidRDefault="00F1665E" w:rsidP="00041ECB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Theme="majorBidi" w:hAnsiTheme="majorBidi" w:cstheme="majorBidi"/>
          <w:sz w:val="24"/>
          <w:szCs w:val="24"/>
        </w:rPr>
      </w:pPr>
      <w:r w:rsidRPr="00F1665E">
        <w:rPr>
          <w:rFonts w:ascii="Times New Roman" w:hAnsi="Times New Roman" w:cs="Times New Roman"/>
          <w:noProof/>
          <w:sz w:val="24"/>
        </w:rPr>
        <w:t>World Bank (2020) GDP per capita, PPP (current international $) - South Africa https://data.worldbank.org/indicator/NY.GDP.PCAP.PP.CD?locations=ZA&amp;name_desc=true. Accessed 13 November 2020</w:t>
      </w:r>
    </w:p>
    <w:sectPr w:rsidR="000D624D" w:rsidRPr="00F76618">
      <w:footerReference w:type="default" r:id="rId2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9B5093" w14:textId="77777777" w:rsidR="00E02E93" w:rsidRDefault="00E02E93" w:rsidP="00E13F2E">
      <w:pPr>
        <w:spacing w:after="0" w:line="240" w:lineRule="auto"/>
      </w:pPr>
      <w:r>
        <w:separator/>
      </w:r>
    </w:p>
  </w:endnote>
  <w:endnote w:type="continuationSeparator" w:id="0">
    <w:p w14:paraId="1500E87B" w14:textId="77777777" w:rsidR="00E02E93" w:rsidRDefault="00E02E93" w:rsidP="00E13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633648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AA45B6" w14:textId="3F0F5D17" w:rsidR="00E13F2E" w:rsidRDefault="00E13F2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6E9C352" w14:textId="77777777" w:rsidR="00E13F2E" w:rsidRDefault="00E13F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832165" w14:textId="77777777" w:rsidR="00E02E93" w:rsidRDefault="00E02E93" w:rsidP="00E13F2E">
      <w:pPr>
        <w:spacing w:after="0" w:line="240" w:lineRule="auto"/>
      </w:pPr>
      <w:r>
        <w:separator/>
      </w:r>
    </w:p>
  </w:footnote>
  <w:footnote w:type="continuationSeparator" w:id="0">
    <w:p w14:paraId="5232F80B" w14:textId="77777777" w:rsidR="00E02E93" w:rsidRDefault="00E02E93" w:rsidP="00E13F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F53766"/>
    <w:multiLevelType w:val="hybridMultilevel"/>
    <w:tmpl w:val="C9625984"/>
    <w:lvl w:ilvl="0" w:tplc="40264A32">
      <w:start w:val="2019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ajorBidi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931067"/>
    <w:multiLevelType w:val="multilevel"/>
    <w:tmpl w:val="98F0BE74"/>
    <w:lvl w:ilvl="0"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Zero"/>
      <w:lvlText w:val="%1.%2)"/>
      <w:lvlJc w:val="left"/>
      <w:pPr>
        <w:ind w:left="1890" w:hanging="45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332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D0D"/>
    <w:rsid w:val="00000ADF"/>
    <w:rsid w:val="00000C0B"/>
    <w:rsid w:val="00001E3B"/>
    <w:rsid w:val="00004F1B"/>
    <w:rsid w:val="000066EF"/>
    <w:rsid w:val="00014268"/>
    <w:rsid w:val="00021797"/>
    <w:rsid w:val="00021891"/>
    <w:rsid w:val="0002754D"/>
    <w:rsid w:val="00034BA3"/>
    <w:rsid w:val="00041662"/>
    <w:rsid w:val="00041ECB"/>
    <w:rsid w:val="00052FDD"/>
    <w:rsid w:val="00054853"/>
    <w:rsid w:val="00054D0F"/>
    <w:rsid w:val="000553C4"/>
    <w:rsid w:val="00061BE0"/>
    <w:rsid w:val="000628D2"/>
    <w:rsid w:val="00063BE7"/>
    <w:rsid w:val="00070E02"/>
    <w:rsid w:val="000730EC"/>
    <w:rsid w:val="0008245F"/>
    <w:rsid w:val="00083F45"/>
    <w:rsid w:val="00085258"/>
    <w:rsid w:val="000856CC"/>
    <w:rsid w:val="00085F7D"/>
    <w:rsid w:val="000865F5"/>
    <w:rsid w:val="0009218C"/>
    <w:rsid w:val="0009306F"/>
    <w:rsid w:val="00097FCF"/>
    <w:rsid w:val="000A4985"/>
    <w:rsid w:val="000A5229"/>
    <w:rsid w:val="000B4E31"/>
    <w:rsid w:val="000B5E4B"/>
    <w:rsid w:val="000B7AC8"/>
    <w:rsid w:val="000C06CA"/>
    <w:rsid w:val="000C0753"/>
    <w:rsid w:val="000C0BBB"/>
    <w:rsid w:val="000C1AF5"/>
    <w:rsid w:val="000C3E74"/>
    <w:rsid w:val="000C75FE"/>
    <w:rsid w:val="000D2DD5"/>
    <w:rsid w:val="000D5A19"/>
    <w:rsid w:val="000D624D"/>
    <w:rsid w:val="000D62E3"/>
    <w:rsid w:val="000E7EF1"/>
    <w:rsid w:val="000F4E0A"/>
    <w:rsid w:val="000F5623"/>
    <w:rsid w:val="000F69B2"/>
    <w:rsid w:val="00100387"/>
    <w:rsid w:val="00100F5E"/>
    <w:rsid w:val="0010303C"/>
    <w:rsid w:val="00103B80"/>
    <w:rsid w:val="0010788D"/>
    <w:rsid w:val="001116EE"/>
    <w:rsid w:val="001129E8"/>
    <w:rsid w:val="00123F80"/>
    <w:rsid w:val="00124310"/>
    <w:rsid w:val="001263CE"/>
    <w:rsid w:val="0013061E"/>
    <w:rsid w:val="001308EF"/>
    <w:rsid w:val="00133274"/>
    <w:rsid w:val="00146BE9"/>
    <w:rsid w:val="00153C3B"/>
    <w:rsid w:val="00156B75"/>
    <w:rsid w:val="001718F8"/>
    <w:rsid w:val="00174B64"/>
    <w:rsid w:val="00176E2E"/>
    <w:rsid w:val="00177F5E"/>
    <w:rsid w:val="0018672A"/>
    <w:rsid w:val="00196F71"/>
    <w:rsid w:val="001A1C26"/>
    <w:rsid w:val="001A2657"/>
    <w:rsid w:val="001A4F30"/>
    <w:rsid w:val="001A593E"/>
    <w:rsid w:val="001B56D8"/>
    <w:rsid w:val="001B6AFA"/>
    <w:rsid w:val="001C00B4"/>
    <w:rsid w:val="001C22A7"/>
    <w:rsid w:val="001C33DB"/>
    <w:rsid w:val="001C3858"/>
    <w:rsid w:val="001C7AAA"/>
    <w:rsid w:val="001D155A"/>
    <w:rsid w:val="001D4B3A"/>
    <w:rsid w:val="001D7B12"/>
    <w:rsid w:val="001E43C0"/>
    <w:rsid w:val="001E6736"/>
    <w:rsid w:val="001F0E35"/>
    <w:rsid w:val="001F38E1"/>
    <w:rsid w:val="001F3A82"/>
    <w:rsid w:val="001F7862"/>
    <w:rsid w:val="00201195"/>
    <w:rsid w:val="0020175F"/>
    <w:rsid w:val="00207639"/>
    <w:rsid w:val="002108DB"/>
    <w:rsid w:val="00226F24"/>
    <w:rsid w:val="00227D0D"/>
    <w:rsid w:val="00232C65"/>
    <w:rsid w:val="002352AB"/>
    <w:rsid w:val="00237601"/>
    <w:rsid w:val="00247E6E"/>
    <w:rsid w:val="00250683"/>
    <w:rsid w:val="00256956"/>
    <w:rsid w:val="002602B8"/>
    <w:rsid w:val="002640FD"/>
    <w:rsid w:val="002708F1"/>
    <w:rsid w:val="0027474F"/>
    <w:rsid w:val="00280713"/>
    <w:rsid w:val="00281260"/>
    <w:rsid w:val="00284255"/>
    <w:rsid w:val="00290E66"/>
    <w:rsid w:val="00295934"/>
    <w:rsid w:val="00297997"/>
    <w:rsid w:val="002A2E95"/>
    <w:rsid w:val="002A5B97"/>
    <w:rsid w:val="002B0E36"/>
    <w:rsid w:val="002B53EC"/>
    <w:rsid w:val="002C2173"/>
    <w:rsid w:val="002D4F4C"/>
    <w:rsid w:val="002E1779"/>
    <w:rsid w:val="002E19A5"/>
    <w:rsid w:val="002E4830"/>
    <w:rsid w:val="003118CA"/>
    <w:rsid w:val="003157CD"/>
    <w:rsid w:val="003319FB"/>
    <w:rsid w:val="00332E06"/>
    <w:rsid w:val="00343558"/>
    <w:rsid w:val="0035049B"/>
    <w:rsid w:val="00350B1B"/>
    <w:rsid w:val="00351F54"/>
    <w:rsid w:val="003559D9"/>
    <w:rsid w:val="00366C8A"/>
    <w:rsid w:val="003679A5"/>
    <w:rsid w:val="00371789"/>
    <w:rsid w:val="00376B63"/>
    <w:rsid w:val="0038036B"/>
    <w:rsid w:val="0038075C"/>
    <w:rsid w:val="0038791B"/>
    <w:rsid w:val="003948EC"/>
    <w:rsid w:val="0039497C"/>
    <w:rsid w:val="003A3E1E"/>
    <w:rsid w:val="003A585E"/>
    <w:rsid w:val="003B0601"/>
    <w:rsid w:val="003B08A9"/>
    <w:rsid w:val="003B7797"/>
    <w:rsid w:val="003C1117"/>
    <w:rsid w:val="003C6325"/>
    <w:rsid w:val="003C6D9C"/>
    <w:rsid w:val="003D42DA"/>
    <w:rsid w:val="003D6046"/>
    <w:rsid w:val="003E0106"/>
    <w:rsid w:val="003E3612"/>
    <w:rsid w:val="003F1040"/>
    <w:rsid w:val="003F2DE2"/>
    <w:rsid w:val="003F3776"/>
    <w:rsid w:val="003F39EE"/>
    <w:rsid w:val="003F6C86"/>
    <w:rsid w:val="00400E4D"/>
    <w:rsid w:val="004017C7"/>
    <w:rsid w:val="00405F3E"/>
    <w:rsid w:val="004133DB"/>
    <w:rsid w:val="0041472A"/>
    <w:rsid w:val="004242BC"/>
    <w:rsid w:val="00427A30"/>
    <w:rsid w:val="004348DB"/>
    <w:rsid w:val="00450AE5"/>
    <w:rsid w:val="0045327B"/>
    <w:rsid w:val="00456748"/>
    <w:rsid w:val="004573F6"/>
    <w:rsid w:val="004612B6"/>
    <w:rsid w:val="004621A3"/>
    <w:rsid w:val="00465CC2"/>
    <w:rsid w:val="004849B2"/>
    <w:rsid w:val="004870EF"/>
    <w:rsid w:val="004A1AD9"/>
    <w:rsid w:val="004B30D6"/>
    <w:rsid w:val="004B4866"/>
    <w:rsid w:val="004B4A24"/>
    <w:rsid w:val="004C3135"/>
    <w:rsid w:val="004C5213"/>
    <w:rsid w:val="004F1B67"/>
    <w:rsid w:val="004F2FD3"/>
    <w:rsid w:val="004F4A8C"/>
    <w:rsid w:val="004F5C80"/>
    <w:rsid w:val="004F6D71"/>
    <w:rsid w:val="0050732E"/>
    <w:rsid w:val="0051006A"/>
    <w:rsid w:val="00512EF5"/>
    <w:rsid w:val="0052158E"/>
    <w:rsid w:val="00531EDA"/>
    <w:rsid w:val="005354BB"/>
    <w:rsid w:val="00541242"/>
    <w:rsid w:val="00541FAE"/>
    <w:rsid w:val="0054293E"/>
    <w:rsid w:val="00547F1F"/>
    <w:rsid w:val="00550214"/>
    <w:rsid w:val="005558EC"/>
    <w:rsid w:val="0056264C"/>
    <w:rsid w:val="0056324E"/>
    <w:rsid w:val="00574666"/>
    <w:rsid w:val="005746F9"/>
    <w:rsid w:val="00575D27"/>
    <w:rsid w:val="00580BB6"/>
    <w:rsid w:val="0058648C"/>
    <w:rsid w:val="00591972"/>
    <w:rsid w:val="005939E6"/>
    <w:rsid w:val="005A4571"/>
    <w:rsid w:val="005A65BB"/>
    <w:rsid w:val="005B2D4E"/>
    <w:rsid w:val="005B6A8F"/>
    <w:rsid w:val="005D38C3"/>
    <w:rsid w:val="005D64F3"/>
    <w:rsid w:val="005D7F54"/>
    <w:rsid w:val="005E3389"/>
    <w:rsid w:val="005F79D5"/>
    <w:rsid w:val="0060038F"/>
    <w:rsid w:val="0060666A"/>
    <w:rsid w:val="0061705E"/>
    <w:rsid w:val="0062626B"/>
    <w:rsid w:val="0062766D"/>
    <w:rsid w:val="00627F5F"/>
    <w:rsid w:val="006569FC"/>
    <w:rsid w:val="006647A2"/>
    <w:rsid w:val="00665458"/>
    <w:rsid w:val="0066560D"/>
    <w:rsid w:val="00666300"/>
    <w:rsid w:val="0067315D"/>
    <w:rsid w:val="00682A9C"/>
    <w:rsid w:val="006846E5"/>
    <w:rsid w:val="0068476B"/>
    <w:rsid w:val="00684F3B"/>
    <w:rsid w:val="00695DCB"/>
    <w:rsid w:val="006A009E"/>
    <w:rsid w:val="006A0AE1"/>
    <w:rsid w:val="006A1B84"/>
    <w:rsid w:val="006B58D9"/>
    <w:rsid w:val="006C1B45"/>
    <w:rsid w:val="006C37B4"/>
    <w:rsid w:val="006C4F80"/>
    <w:rsid w:val="006D3493"/>
    <w:rsid w:val="006D67A3"/>
    <w:rsid w:val="006E2D3C"/>
    <w:rsid w:val="006E7D48"/>
    <w:rsid w:val="006F0279"/>
    <w:rsid w:val="006F09E6"/>
    <w:rsid w:val="006F1570"/>
    <w:rsid w:val="006F7FE7"/>
    <w:rsid w:val="0071225F"/>
    <w:rsid w:val="007130E9"/>
    <w:rsid w:val="00715AD4"/>
    <w:rsid w:val="007205C1"/>
    <w:rsid w:val="00725C6D"/>
    <w:rsid w:val="00731CC1"/>
    <w:rsid w:val="00731EAB"/>
    <w:rsid w:val="00743777"/>
    <w:rsid w:val="00744F11"/>
    <w:rsid w:val="00747729"/>
    <w:rsid w:val="0075024F"/>
    <w:rsid w:val="00751336"/>
    <w:rsid w:val="007625D4"/>
    <w:rsid w:val="00762660"/>
    <w:rsid w:val="007777E4"/>
    <w:rsid w:val="007778C4"/>
    <w:rsid w:val="00783422"/>
    <w:rsid w:val="007852DD"/>
    <w:rsid w:val="007864A5"/>
    <w:rsid w:val="007909EA"/>
    <w:rsid w:val="007A079F"/>
    <w:rsid w:val="007A26D7"/>
    <w:rsid w:val="007A373E"/>
    <w:rsid w:val="007A37D7"/>
    <w:rsid w:val="007A4E7C"/>
    <w:rsid w:val="007B10C7"/>
    <w:rsid w:val="007B42F8"/>
    <w:rsid w:val="007B5243"/>
    <w:rsid w:val="007C3293"/>
    <w:rsid w:val="007C3F48"/>
    <w:rsid w:val="007D0062"/>
    <w:rsid w:val="007D7A10"/>
    <w:rsid w:val="007E634D"/>
    <w:rsid w:val="007E7ED8"/>
    <w:rsid w:val="007F1364"/>
    <w:rsid w:val="007F6CB2"/>
    <w:rsid w:val="008001EE"/>
    <w:rsid w:val="00800407"/>
    <w:rsid w:val="008079A5"/>
    <w:rsid w:val="008142AF"/>
    <w:rsid w:val="00817B56"/>
    <w:rsid w:val="00823691"/>
    <w:rsid w:val="008242EB"/>
    <w:rsid w:val="008257E2"/>
    <w:rsid w:val="00825D8E"/>
    <w:rsid w:val="008364BB"/>
    <w:rsid w:val="0083656B"/>
    <w:rsid w:val="008367B4"/>
    <w:rsid w:val="00837804"/>
    <w:rsid w:val="008436B2"/>
    <w:rsid w:val="00846DB9"/>
    <w:rsid w:val="008518C1"/>
    <w:rsid w:val="008521CB"/>
    <w:rsid w:val="00853D2A"/>
    <w:rsid w:val="00855D83"/>
    <w:rsid w:val="00856B63"/>
    <w:rsid w:val="008628FA"/>
    <w:rsid w:val="008652D0"/>
    <w:rsid w:val="00866848"/>
    <w:rsid w:val="0087506A"/>
    <w:rsid w:val="00876EB1"/>
    <w:rsid w:val="00880DCB"/>
    <w:rsid w:val="00882F55"/>
    <w:rsid w:val="00887EEC"/>
    <w:rsid w:val="00893D7C"/>
    <w:rsid w:val="00894A78"/>
    <w:rsid w:val="00895006"/>
    <w:rsid w:val="008A0C1A"/>
    <w:rsid w:val="008A2C24"/>
    <w:rsid w:val="008A34A9"/>
    <w:rsid w:val="008B0E4D"/>
    <w:rsid w:val="008B1BD7"/>
    <w:rsid w:val="008B5854"/>
    <w:rsid w:val="008B58A4"/>
    <w:rsid w:val="008C0050"/>
    <w:rsid w:val="008C0BF3"/>
    <w:rsid w:val="008C0ED8"/>
    <w:rsid w:val="008C3674"/>
    <w:rsid w:val="008C5E99"/>
    <w:rsid w:val="008D176B"/>
    <w:rsid w:val="008D67BE"/>
    <w:rsid w:val="008D7614"/>
    <w:rsid w:val="008E1A69"/>
    <w:rsid w:val="008E59D7"/>
    <w:rsid w:val="008F0EFA"/>
    <w:rsid w:val="008F1B24"/>
    <w:rsid w:val="008F63D0"/>
    <w:rsid w:val="00903888"/>
    <w:rsid w:val="00905399"/>
    <w:rsid w:val="00912FE1"/>
    <w:rsid w:val="0091624F"/>
    <w:rsid w:val="009203F4"/>
    <w:rsid w:val="00925736"/>
    <w:rsid w:val="00926776"/>
    <w:rsid w:val="009365C4"/>
    <w:rsid w:val="00937E14"/>
    <w:rsid w:val="009465C2"/>
    <w:rsid w:val="00946A99"/>
    <w:rsid w:val="009559CA"/>
    <w:rsid w:val="0095620B"/>
    <w:rsid w:val="00956929"/>
    <w:rsid w:val="00957140"/>
    <w:rsid w:val="009632CD"/>
    <w:rsid w:val="00966CAF"/>
    <w:rsid w:val="00971740"/>
    <w:rsid w:val="00971A4A"/>
    <w:rsid w:val="00971FEA"/>
    <w:rsid w:val="009731FD"/>
    <w:rsid w:val="009778D8"/>
    <w:rsid w:val="00977A6A"/>
    <w:rsid w:val="00981A27"/>
    <w:rsid w:val="00985618"/>
    <w:rsid w:val="009959E3"/>
    <w:rsid w:val="009B057E"/>
    <w:rsid w:val="009B3BEC"/>
    <w:rsid w:val="009B45ED"/>
    <w:rsid w:val="009B6814"/>
    <w:rsid w:val="009C375C"/>
    <w:rsid w:val="009D6181"/>
    <w:rsid w:val="009D73D8"/>
    <w:rsid w:val="009E006E"/>
    <w:rsid w:val="009E127F"/>
    <w:rsid w:val="009E2FA6"/>
    <w:rsid w:val="009E7692"/>
    <w:rsid w:val="009F66D3"/>
    <w:rsid w:val="00A064D1"/>
    <w:rsid w:val="00A14B52"/>
    <w:rsid w:val="00A16CB1"/>
    <w:rsid w:val="00A17C73"/>
    <w:rsid w:val="00A21FD3"/>
    <w:rsid w:val="00A23879"/>
    <w:rsid w:val="00A26512"/>
    <w:rsid w:val="00A3080C"/>
    <w:rsid w:val="00A4515E"/>
    <w:rsid w:val="00A519BA"/>
    <w:rsid w:val="00A60A6E"/>
    <w:rsid w:val="00A60B9B"/>
    <w:rsid w:val="00A70492"/>
    <w:rsid w:val="00A70D78"/>
    <w:rsid w:val="00A76FC2"/>
    <w:rsid w:val="00A95913"/>
    <w:rsid w:val="00AA01F9"/>
    <w:rsid w:val="00AA1C03"/>
    <w:rsid w:val="00AB1FB8"/>
    <w:rsid w:val="00AB4973"/>
    <w:rsid w:val="00AB5592"/>
    <w:rsid w:val="00AB7894"/>
    <w:rsid w:val="00AB78AC"/>
    <w:rsid w:val="00AC1A21"/>
    <w:rsid w:val="00AC3A9E"/>
    <w:rsid w:val="00AC496F"/>
    <w:rsid w:val="00AC5108"/>
    <w:rsid w:val="00AD14AB"/>
    <w:rsid w:val="00AD2419"/>
    <w:rsid w:val="00AD7F48"/>
    <w:rsid w:val="00AF3AFF"/>
    <w:rsid w:val="00AF7B78"/>
    <w:rsid w:val="00B027C5"/>
    <w:rsid w:val="00B02D25"/>
    <w:rsid w:val="00B02F92"/>
    <w:rsid w:val="00B13C6C"/>
    <w:rsid w:val="00B1460D"/>
    <w:rsid w:val="00B14864"/>
    <w:rsid w:val="00B14C45"/>
    <w:rsid w:val="00B152DF"/>
    <w:rsid w:val="00B15FB3"/>
    <w:rsid w:val="00B20F0A"/>
    <w:rsid w:val="00B20FB9"/>
    <w:rsid w:val="00B241E1"/>
    <w:rsid w:val="00B30ED1"/>
    <w:rsid w:val="00B31629"/>
    <w:rsid w:val="00B3162F"/>
    <w:rsid w:val="00B33CDC"/>
    <w:rsid w:val="00B419D8"/>
    <w:rsid w:val="00B421E7"/>
    <w:rsid w:val="00B42813"/>
    <w:rsid w:val="00B43352"/>
    <w:rsid w:val="00B4386E"/>
    <w:rsid w:val="00B45034"/>
    <w:rsid w:val="00B46B6D"/>
    <w:rsid w:val="00B47484"/>
    <w:rsid w:val="00B53743"/>
    <w:rsid w:val="00B63FBC"/>
    <w:rsid w:val="00B66A9F"/>
    <w:rsid w:val="00B67B3B"/>
    <w:rsid w:val="00B7006E"/>
    <w:rsid w:val="00B74F36"/>
    <w:rsid w:val="00B76565"/>
    <w:rsid w:val="00B843AC"/>
    <w:rsid w:val="00B86256"/>
    <w:rsid w:val="00B9250B"/>
    <w:rsid w:val="00B93253"/>
    <w:rsid w:val="00B93846"/>
    <w:rsid w:val="00BA19F9"/>
    <w:rsid w:val="00BB04A6"/>
    <w:rsid w:val="00BB1043"/>
    <w:rsid w:val="00BB2E20"/>
    <w:rsid w:val="00BB3D0C"/>
    <w:rsid w:val="00BB50A5"/>
    <w:rsid w:val="00BC585C"/>
    <w:rsid w:val="00BC7BEA"/>
    <w:rsid w:val="00BD1467"/>
    <w:rsid w:val="00BD2D89"/>
    <w:rsid w:val="00BD624D"/>
    <w:rsid w:val="00BE0A64"/>
    <w:rsid w:val="00BE2E07"/>
    <w:rsid w:val="00BE59F7"/>
    <w:rsid w:val="00BE6807"/>
    <w:rsid w:val="00BE7192"/>
    <w:rsid w:val="00BE78CE"/>
    <w:rsid w:val="00BF025C"/>
    <w:rsid w:val="00BF12FD"/>
    <w:rsid w:val="00BF5EB7"/>
    <w:rsid w:val="00C053EE"/>
    <w:rsid w:val="00C0570A"/>
    <w:rsid w:val="00C10F06"/>
    <w:rsid w:val="00C158C1"/>
    <w:rsid w:val="00C179F4"/>
    <w:rsid w:val="00C305DD"/>
    <w:rsid w:val="00C310E2"/>
    <w:rsid w:val="00C325AB"/>
    <w:rsid w:val="00C41774"/>
    <w:rsid w:val="00C45497"/>
    <w:rsid w:val="00C56C34"/>
    <w:rsid w:val="00C604A4"/>
    <w:rsid w:val="00C667B6"/>
    <w:rsid w:val="00C71151"/>
    <w:rsid w:val="00C73E8D"/>
    <w:rsid w:val="00C85686"/>
    <w:rsid w:val="00C91237"/>
    <w:rsid w:val="00C94A79"/>
    <w:rsid w:val="00CA50A4"/>
    <w:rsid w:val="00CB3100"/>
    <w:rsid w:val="00CC4F8C"/>
    <w:rsid w:val="00CC5F43"/>
    <w:rsid w:val="00CC7119"/>
    <w:rsid w:val="00CD053D"/>
    <w:rsid w:val="00CE6A22"/>
    <w:rsid w:val="00CE71EA"/>
    <w:rsid w:val="00CF1F5D"/>
    <w:rsid w:val="00CF2A18"/>
    <w:rsid w:val="00CF4533"/>
    <w:rsid w:val="00CF77F3"/>
    <w:rsid w:val="00D009AB"/>
    <w:rsid w:val="00D12E74"/>
    <w:rsid w:val="00D175FA"/>
    <w:rsid w:val="00D26407"/>
    <w:rsid w:val="00D26A01"/>
    <w:rsid w:val="00D26E64"/>
    <w:rsid w:val="00D31303"/>
    <w:rsid w:val="00D323E0"/>
    <w:rsid w:val="00D3334A"/>
    <w:rsid w:val="00D3430D"/>
    <w:rsid w:val="00D35DF5"/>
    <w:rsid w:val="00D41335"/>
    <w:rsid w:val="00D43A2B"/>
    <w:rsid w:val="00D451BD"/>
    <w:rsid w:val="00D50C1D"/>
    <w:rsid w:val="00D62AD8"/>
    <w:rsid w:val="00D705C8"/>
    <w:rsid w:val="00D72D51"/>
    <w:rsid w:val="00D760E8"/>
    <w:rsid w:val="00D77B74"/>
    <w:rsid w:val="00D802C1"/>
    <w:rsid w:val="00D951C8"/>
    <w:rsid w:val="00DA0ABE"/>
    <w:rsid w:val="00DA0AC3"/>
    <w:rsid w:val="00DA12AD"/>
    <w:rsid w:val="00DA6789"/>
    <w:rsid w:val="00DB0417"/>
    <w:rsid w:val="00DB0B82"/>
    <w:rsid w:val="00DB3F5C"/>
    <w:rsid w:val="00DC3209"/>
    <w:rsid w:val="00DC38BE"/>
    <w:rsid w:val="00DC4841"/>
    <w:rsid w:val="00DD1D59"/>
    <w:rsid w:val="00DD20C0"/>
    <w:rsid w:val="00DD34D0"/>
    <w:rsid w:val="00DD437E"/>
    <w:rsid w:val="00DE63EB"/>
    <w:rsid w:val="00DF0028"/>
    <w:rsid w:val="00DF2B01"/>
    <w:rsid w:val="00DF4DA6"/>
    <w:rsid w:val="00E0124A"/>
    <w:rsid w:val="00E02084"/>
    <w:rsid w:val="00E02E93"/>
    <w:rsid w:val="00E05505"/>
    <w:rsid w:val="00E12E0E"/>
    <w:rsid w:val="00E13733"/>
    <w:rsid w:val="00E13782"/>
    <w:rsid w:val="00E13F2E"/>
    <w:rsid w:val="00E145C4"/>
    <w:rsid w:val="00E155BF"/>
    <w:rsid w:val="00E1672A"/>
    <w:rsid w:val="00E16751"/>
    <w:rsid w:val="00E237A9"/>
    <w:rsid w:val="00E311E8"/>
    <w:rsid w:val="00E31ADD"/>
    <w:rsid w:val="00E41B64"/>
    <w:rsid w:val="00E433F3"/>
    <w:rsid w:val="00E4365F"/>
    <w:rsid w:val="00E45C37"/>
    <w:rsid w:val="00E603DE"/>
    <w:rsid w:val="00E6090E"/>
    <w:rsid w:val="00E6141D"/>
    <w:rsid w:val="00E61F78"/>
    <w:rsid w:val="00E63426"/>
    <w:rsid w:val="00E714B9"/>
    <w:rsid w:val="00E8085B"/>
    <w:rsid w:val="00E90E26"/>
    <w:rsid w:val="00E92CBC"/>
    <w:rsid w:val="00E945BC"/>
    <w:rsid w:val="00E97518"/>
    <w:rsid w:val="00EA1060"/>
    <w:rsid w:val="00EA1262"/>
    <w:rsid w:val="00EA21B7"/>
    <w:rsid w:val="00EA7725"/>
    <w:rsid w:val="00EB7BBE"/>
    <w:rsid w:val="00EC1C59"/>
    <w:rsid w:val="00EC296D"/>
    <w:rsid w:val="00EC2A56"/>
    <w:rsid w:val="00EC3F0A"/>
    <w:rsid w:val="00EC65D5"/>
    <w:rsid w:val="00ED2272"/>
    <w:rsid w:val="00ED2C24"/>
    <w:rsid w:val="00ED3FCE"/>
    <w:rsid w:val="00EE0F94"/>
    <w:rsid w:val="00EE3149"/>
    <w:rsid w:val="00EE4E2B"/>
    <w:rsid w:val="00EF5778"/>
    <w:rsid w:val="00F014D1"/>
    <w:rsid w:val="00F04E38"/>
    <w:rsid w:val="00F12BEF"/>
    <w:rsid w:val="00F1665E"/>
    <w:rsid w:val="00F17452"/>
    <w:rsid w:val="00F30347"/>
    <w:rsid w:val="00F305D1"/>
    <w:rsid w:val="00F35496"/>
    <w:rsid w:val="00F3699C"/>
    <w:rsid w:val="00F46BAC"/>
    <w:rsid w:val="00F52F3A"/>
    <w:rsid w:val="00F5580C"/>
    <w:rsid w:val="00F5713F"/>
    <w:rsid w:val="00F618EE"/>
    <w:rsid w:val="00F64C99"/>
    <w:rsid w:val="00F71423"/>
    <w:rsid w:val="00F71C21"/>
    <w:rsid w:val="00F72105"/>
    <w:rsid w:val="00F743E5"/>
    <w:rsid w:val="00F74589"/>
    <w:rsid w:val="00F76618"/>
    <w:rsid w:val="00F8099E"/>
    <w:rsid w:val="00F8370E"/>
    <w:rsid w:val="00F8638A"/>
    <w:rsid w:val="00F9037A"/>
    <w:rsid w:val="00F94F8E"/>
    <w:rsid w:val="00F9510E"/>
    <w:rsid w:val="00FB3C0B"/>
    <w:rsid w:val="00FC02C1"/>
    <w:rsid w:val="00FC1F8A"/>
    <w:rsid w:val="00FC2A52"/>
    <w:rsid w:val="00FC492D"/>
    <w:rsid w:val="00FD457E"/>
    <w:rsid w:val="00FD58D8"/>
    <w:rsid w:val="00FD7C07"/>
    <w:rsid w:val="00FE183F"/>
    <w:rsid w:val="00FE2413"/>
    <w:rsid w:val="00FE2913"/>
    <w:rsid w:val="00FF3898"/>
    <w:rsid w:val="00FF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,"/>
  <w14:docId w14:val="68F0964F"/>
  <w15:chartTrackingRefBased/>
  <w15:docId w15:val="{357F0C5B-D1F7-41F6-843F-8A33F4658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4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D42D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D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D42D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D67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67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67A3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67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7A3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66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6618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B5592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6E7D48"/>
    <w:rPr>
      <w:i/>
      <w:iCs/>
    </w:rPr>
  </w:style>
  <w:style w:type="paragraph" w:styleId="Revision">
    <w:name w:val="Revision"/>
    <w:hidden/>
    <w:uiPriority w:val="99"/>
    <w:semiHidden/>
    <w:rsid w:val="007852D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13F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3F2E"/>
  </w:style>
  <w:style w:type="paragraph" w:styleId="Footer">
    <w:name w:val="footer"/>
    <w:basedOn w:val="Normal"/>
    <w:link w:val="FooterChar"/>
    <w:uiPriority w:val="99"/>
    <w:unhideWhenUsed/>
    <w:rsid w:val="00E13F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3F2E"/>
  </w:style>
  <w:style w:type="character" w:styleId="UnresolvedMention">
    <w:name w:val="Unresolved Mention"/>
    <w:basedOn w:val="DefaultParagraphFont"/>
    <w:uiPriority w:val="99"/>
    <w:semiHidden/>
    <w:unhideWhenUsed/>
    <w:rsid w:val="00B433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08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8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emf"/><Relationship Id="rId18" Type="http://schemas.openxmlformats.org/officeDocument/2006/relationships/hyperlink" Target="https://doi.org/10.1111/cobi.12158" TargetMode="External"/><Relationship Id="rId26" Type="http://schemas.openxmlformats.org/officeDocument/2006/relationships/hyperlink" Target="http://www.statssa.gov.za/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i.org/10.1093/jee/tov169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hyperlink" Target="https://doi.org/10.1016/j.ecoser.2012.07.005" TargetMode="External"/><Relationship Id="rId25" Type="http://schemas.openxmlformats.org/officeDocument/2006/relationships/hyperlink" Target="http://www.statssa.gov.za/?p=955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1016/j.ocecoaman.2009.10.008" TargetMode="External"/><Relationship Id="rId20" Type="http://schemas.openxmlformats.org/officeDocument/2006/relationships/hyperlink" Target="https://za.investing.com/currencies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hyperlink" Target="https://doi.org/10.1016/j.ufug.2010.12.001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hyperlink" Target="http://saforestryonline.co.za/articles/harvesting_silviculture/harvesting_wattle_bark_the_ucl_way/" TargetMode="External"/><Relationship Id="rId28" Type="http://schemas.openxmlformats.org/officeDocument/2006/relationships/footer" Target="footer1.xml"/><Relationship Id="rId10" Type="http://schemas.openxmlformats.org/officeDocument/2006/relationships/hyperlink" Target="about:blank" TargetMode="External"/><Relationship Id="rId19" Type="http://schemas.openxmlformats.org/officeDocument/2006/relationships/hyperlink" Target="https://www.freshplaza.com/article/2155043/south-africa-ramping-up-avocado-production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emf"/><Relationship Id="rId22" Type="http://schemas.openxmlformats.org/officeDocument/2006/relationships/hyperlink" Target="http://www.nctforest.com/upload/Publications/News%20n%20Views%20April%202014%20electronic.pdf" TargetMode="External"/><Relationship Id="rId27" Type="http://schemas.openxmlformats.org/officeDocument/2006/relationships/hyperlink" Target="https://doi.org/10.1016/j.ecoser.2017.07.008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47689839-2CD8-1141-B3AE-E0EB51BF8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3531</Words>
  <Characters>20132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 Wit, Martin [mdewit@spl.sun.ac.za]</cp:lastModifiedBy>
  <cp:revision>2</cp:revision>
  <dcterms:created xsi:type="dcterms:W3CDTF">2021-01-20T08:08:00Z</dcterms:created>
  <dcterms:modified xsi:type="dcterms:W3CDTF">2021-01-20T08:08:00Z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http://www.zotero.org/styles/acs-sustainable-chemistry-and-engineering</vt:lpwstr>
  </property>
  <property fmtid="{D5CDD505-2E9C-101B-9397-08002B2CF9AE}" pid="3" name="Mendeley Recent Style Name 0_1">
    <vt:lpwstr>ACS Sustainable Chemistry &amp; Engineering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6th edition</vt:lpwstr>
  </property>
  <property fmtid="{D5CDD505-2E9C-101B-9397-08002B2CF9AE}" pid="10" name="Mendeley Recent Style Id 4_1">
    <vt:lpwstr>http://www.zotero.org/styles/american-sociological-association</vt:lpwstr>
  </property>
  <property fmtid="{D5CDD505-2E9C-101B-9397-08002B2CF9AE}" pid="11" name="Mendeley Recent Style Name 4_1">
    <vt:lpwstr>American Sociological Association</vt:lpwstr>
  </property>
  <property fmtid="{D5CDD505-2E9C-101B-9397-08002B2CF9AE}" pid="12" name="Mendeley Recent Style Id 5_1">
    <vt:lpwstr>http://www.zotero.org/styles/biological-invasions</vt:lpwstr>
  </property>
  <property fmtid="{D5CDD505-2E9C-101B-9397-08002B2CF9AE}" pid="13" name="Mendeley Recent Style Name 5_1">
    <vt:lpwstr>Biological Invasions</vt:lpwstr>
  </property>
  <property fmtid="{D5CDD505-2E9C-101B-9397-08002B2CF9AE}" pid="14" name="Mendeley Recent Style Id 6_1">
    <vt:lpwstr>http://www.zotero.org/styles/harvard-cite-them-right</vt:lpwstr>
  </property>
  <property fmtid="{D5CDD505-2E9C-101B-9397-08002B2CF9AE}" pid="15" name="Mendeley Recent Style Name 6_1">
    <vt:lpwstr>Cite Them Right 10th edition - Harvard</vt:lpwstr>
  </property>
  <property fmtid="{D5CDD505-2E9C-101B-9397-08002B2CF9AE}" pid="16" name="Mendeley Recent Style Id 7_1">
    <vt:lpwstr>http://www.zotero.org/styles/ieee</vt:lpwstr>
  </property>
  <property fmtid="{D5CDD505-2E9C-101B-9397-08002B2CF9AE}" pid="17" name="Mendeley Recent Style Name 7_1">
    <vt:lpwstr>IEEE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http://www.zotero.org/styles/sustainability</vt:lpwstr>
  </property>
  <property fmtid="{D5CDD505-2E9C-101B-9397-08002B2CF9AE}" pid="21" name="Mendeley Recent Style Name 9_1">
    <vt:lpwstr>Sustainability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ce659bbc-9b98-3487-a897-0926d5d9d855</vt:lpwstr>
  </property>
  <property fmtid="{D5CDD505-2E9C-101B-9397-08002B2CF9AE}" pid="24" name="Mendeley Citation Style_1">
    <vt:lpwstr>http://www.zotero.org/styles/biological-invasions</vt:lpwstr>
  </property>
</Properties>
</file>