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DB805A" w14:textId="77777777" w:rsidR="007A20A5" w:rsidRPr="003E6C19" w:rsidRDefault="007A20A5" w:rsidP="007A20A5">
      <w:pPr>
        <w:rPr>
          <w:rFonts w:ascii="Times New Roman" w:hAnsi="Times New Roman" w:cs="Times New Roman"/>
          <w:b/>
          <w:bCs/>
          <w:sz w:val="24"/>
          <w:szCs w:val="24"/>
          <w:u w:val="single"/>
        </w:rPr>
      </w:pPr>
      <w:r w:rsidRPr="003E6C19">
        <w:rPr>
          <w:rFonts w:ascii="Times New Roman" w:hAnsi="Times New Roman" w:cs="Times New Roman"/>
          <w:b/>
          <w:bCs/>
          <w:sz w:val="24"/>
          <w:szCs w:val="24"/>
          <w:u w:val="single"/>
        </w:rPr>
        <w:t>Supplementary Figures</w:t>
      </w:r>
    </w:p>
    <w:p w14:paraId="5BD7C4B3" w14:textId="77777777" w:rsidR="007A20A5" w:rsidRPr="003E6C19" w:rsidRDefault="007A20A5" w:rsidP="007A20A5">
      <w:pPr>
        <w:rPr>
          <w:rFonts w:ascii="Times New Roman" w:hAnsi="Times New Roman" w:cs="Times New Roman"/>
        </w:rPr>
      </w:pPr>
      <w:r w:rsidRPr="003E6C19">
        <w:rPr>
          <w:rFonts w:ascii="Times New Roman" w:hAnsi="Times New Roman" w:cs="Times New Roman"/>
          <w:noProof/>
        </w:rPr>
        <w:drawing>
          <wp:inline distT="0" distB="0" distL="0" distR="0" wp14:anchorId="45A2100D" wp14:editId="754E9E82">
            <wp:extent cx="5445277" cy="4286992"/>
            <wp:effectExtent l="0" t="0" r="0" b="0"/>
            <wp:docPr id="4" name="Picture 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46849" cy="4288230"/>
                    </a:xfrm>
                    <a:prstGeom prst="rect">
                      <a:avLst/>
                    </a:prstGeom>
                    <a:noFill/>
                    <a:ln>
                      <a:noFill/>
                    </a:ln>
                  </pic:spPr>
                </pic:pic>
              </a:graphicData>
            </a:graphic>
          </wp:inline>
        </w:drawing>
      </w:r>
    </w:p>
    <w:p w14:paraId="7FA1F638" w14:textId="77777777" w:rsidR="007A20A5" w:rsidRPr="003E6C19" w:rsidRDefault="007A20A5" w:rsidP="007A20A5">
      <w:pPr>
        <w:rPr>
          <w:rFonts w:ascii="Times New Roman" w:hAnsi="Times New Roman" w:cs="Times New Roman"/>
          <w:b/>
          <w:bCs/>
        </w:rPr>
      </w:pPr>
      <w:r w:rsidRPr="003E6C19">
        <w:rPr>
          <w:rFonts w:ascii="Times New Roman" w:hAnsi="Times New Roman" w:cs="Times New Roman"/>
          <w:b/>
          <w:bCs/>
          <w:u w:val="single"/>
        </w:rPr>
        <w:t>Supplementary Figure 1:</w:t>
      </w:r>
      <w:r w:rsidRPr="003E6C19">
        <w:rPr>
          <w:rFonts w:ascii="Times New Roman" w:hAnsi="Times New Roman" w:cs="Times New Roman"/>
          <w:b/>
          <w:bCs/>
        </w:rPr>
        <w:t xml:space="preserve"> Generation, characterization, and genotyping of TDP-43</w:t>
      </w:r>
      <w:r w:rsidRPr="003E6C19">
        <w:rPr>
          <w:rFonts w:ascii="Times New Roman" w:hAnsi="Times New Roman" w:cs="Times New Roman"/>
          <w:b/>
          <w:bCs/>
          <w:vertAlign w:val="superscript"/>
        </w:rPr>
        <w:t>K145Q</w:t>
      </w:r>
      <w:r w:rsidRPr="003E6C19">
        <w:rPr>
          <w:rFonts w:ascii="Times New Roman" w:hAnsi="Times New Roman" w:cs="Times New Roman"/>
          <w:b/>
          <w:bCs/>
        </w:rPr>
        <w:t xml:space="preserve"> knock-in mice</w:t>
      </w:r>
    </w:p>
    <w:p w14:paraId="036FB177" w14:textId="77777777" w:rsidR="007A20A5" w:rsidRPr="003E6C19" w:rsidRDefault="007A20A5" w:rsidP="007A20A5">
      <w:pPr>
        <w:rPr>
          <w:rFonts w:ascii="Times New Roman" w:hAnsi="Times New Roman" w:cs="Times New Roman"/>
        </w:rPr>
      </w:pPr>
      <w:r w:rsidRPr="003E6C19">
        <w:rPr>
          <w:rFonts w:ascii="Times New Roman" w:hAnsi="Times New Roman" w:cs="Times New Roman"/>
          <w:b/>
          <w:bCs/>
        </w:rPr>
        <w:t>a</w:t>
      </w:r>
      <w:r w:rsidRPr="003E6C19">
        <w:rPr>
          <w:rFonts w:ascii="Times New Roman" w:hAnsi="Times New Roman" w:cs="Times New Roman"/>
        </w:rPr>
        <w:t xml:space="preserve"> A schematic of the TDP-43 protein and its functional domains highlights the location of lysine 145 (K145) in the TDP-43 RNA-binding domain (RRM1). </w:t>
      </w:r>
      <w:r w:rsidRPr="003E6C19">
        <w:rPr>
          <w:rFonts w:ascii="Times New Roman" w:hAnsi="Times New Roman" w:cs="Times New Roman"/>
          <w:b/>
          <w:bCs/>
        </w:rPr>
        <w:t xml:space="preserve">b </w:t>
      </w:r>
      <w:r w:rsidRPr="003E6C19">
        <w:rPr>
          <w:rFonts w:ascii="Times New Roman" w:hAnsi="Times New Roman" w:cs="Times New Roman"/>
        </w:rPr>
        <w:t xml:space="preserve">Schematic of mouse </w:t>
      </w:r>
      <w:r w:rsidRPr="003E6C19">
        <w:rPr>
          <w:rFonts w:ascii="Times New Roman" w:hAnsi="Times New Roman" w:cs="Times New Roman"/>
          <w:i/>
          <w:iCs/>
        </w:rPr>
        <w:t>Tardbp</w:t>
      </w:r>
      <w:r w:rsidRPr="003E6C19">
        <w:rPr>
          <w:rFonts w:ascii="Times New Roman" w:hAnsi="Times New Roman" w:cs="Times New Roman"/>
        </w:rPr>
        <w:t xml:space="preserve"> gene targeted with a validated guide RNA, g79T above, along with donor nucleotides to insert the K145Q mutation. Two silent mutations were included to create a Hinf1 enzyme digestion site to facilitate genotyping. </w:t>
      </w:r>
      <w:r w:rsidRPr="003E6C19">
        <w:rPr>
          <w:rFonts w:ascii="Times New Roman" w:hAnsi="Times New Roman" w:cs="Times New Roman"/>
          <w:b/>
          <w:bCs/>
        </w:rPr>
        <w:t>c</w:t>
      </w:r>
      <w:r w:rsidRPr="003E6C19">
        <w:rPr>
          <w:rFonts w:ascii="Times New Roman" w:hAnsi="Times New Roman" w:cs="Times New Roman"/>
        </w:rPr>
        <w:t xml:space="preserve"> Chromatograph following Sanger sequencing confirms the inserted K145Q mutation in founder animals and subsequently propagated generations. </w:t>
      </w:r>
      <w:r w:rsidRPr="003E6C19">
        <w:rPr>
          <w:rFonts w:ascii="Times New Roman" w:hAnsi="Times New Roman" w:cs="Times New Roman"/>
          <w:b/>
          <w:bCs/>
        </w:rPr>
        <w:t>d</w:t>
      </w:r>
      <w:r w:rsidRPr="003E6C19">
        <w:rPr>
          <w:rFonts w:ascii="Times New Roman" w:hAnsi="Times New Roman" w:cs="Times New Roman"/>
        </w:rPr>
        <w:t xml:space="preserve"> Gel electrophoresis of DNA fragments produced following PCR amplification of the modified </w:t>
      </w:r>
      <w:r w:rsidRPr="003E6C19">
        <w:rPr>
          <w:rFonts w:ascii="Times New Roman" w:hAnsi="Times New Roman" w:cs="Times New Roman"/>
          <w:i/>
          <w:iCs/>
        </w:rPr>
        <w:t>Tardbp</w:t>
      </w:r>
      <w:r w:rsidRPr="003E6C19">
        <w:rPr>
          <w:rFonts w:ascii="Times New Roman" w:hAnsi="Times New Roman" w:cs="Times New Roman"/>
        </w:rPr>
        <w:t xml:space="preserve"> region and subsequent incubation of the PCR product with Hinf1 enzyme, which yielded a 550bp band in TDP-43</w:t>
      </w:r>
      <w:r w:rsidRPr="003E6C19">
        <w:rPr>
          <w:rFonts w:ascii="Times New Roman" w:hAnsi="Times New Roman" w:cs="Times New Roman"/>
          <w:vertAlign w:val="superscript"/>
        </w:rPr>
        <w:t>wt</w:t>
      </w:r>
      <w:r w:rsidRPr="003E6C19">
        <w:rPr>
          <w:rFonts w:ascii="Times New Roman" w:hAnsi="Times New Roman" w:cs="Times New Roman"/>
        </w:rPr>
        <w:t xml:space="preserve"> animals (wt/wt), both 378 bp and 172 bp bands in TDP-43</w:t>
      </w:r>
      <w:r w:rsidRPr="003E6C19">
        <w:rPr>
          <w:rFonts w:ascii="Times New Roman" w:hAnsi="Times New Roman" w:cs="Times New Roman"/>
          <w:vertAlign w:val="superscript"/>
        </w:rPr>
        <w:t>KQ/KQ</w:t>
      </w:r>
      <w:r w:rsidRPr="003E6C19">
        <w:rPr>
          <w:rFonts w:ascii="Times New Roman" w:hAnsi="Times New Roman" w:cs="Times New Roman"/>
        </w:rPr>
        <w:t xml:space="preserve"> (KQ/KQ) animals, and all three bands in heterozygous animals (wt/KQ).</w:t>
      </w:r>
    </w:p>
    <w:p w14:paraId="6EF7E417" w14:textId="77777777" w:rsidR="007A20A5" w:rsidRPr="003E6C19" w:rsidRDefault="007A20A5" w:rsidP="007A20A5">
      <w:pPr>
        <w:rPr>
          <w:rFonts w:ascii="Times New Roman" w:hAnsi="Times New Roman" w:cs="Times New Roman"/>
        </w:rPr>
      </w:pPr>
    </w:p>
    <w:p w14:paraId="36F63999" w14:textId="77777777" w:rsidR="007A20A5" w:rsidRPr="003E6C19" w:rsidRDefault="007A20A5" w:rsidP="007A20A5">
      <w:pPr>
        <w:rPr>
          <w:rFonts w:ascii="Times New Roman" w:eastAsia="Times New Roman" w:hAnsi="Times New Roman" w:cs="Times New Roman"/>
          <w:color w:val="000000" w:themeColor="text1"/>
        </w:rPr>
      </w:pPr>
    </w:p>
    <w:p w14:paraId="1F0C6426" w14:textId="77777777" w:rsidR="007A20A5" w:rsidRPr="003E6C19" w:rsidRDefault="007A20A5" w:rsidP="007A20A5">
      <w:pPr>
        <w:rPr>
          <w:rFonts w:ascii="Times New Roman" w:hAnsi="Times New Roman" w:cs="Times New Roman"/>
        </w:rPr>
      </w:pPr>
      <w:r w:rsidRPr="003E6C19">
        <w:rPr>
          <w:rFonts w:ascii="Times New Roman" w:hAnsi="Times New Roman" w:cs="Times New Roman"/>
          <w:noProof/>
        </w:rPr>
        <w:lastRenderedPageBreak/>
        <w:drawing>
          <wp:inline distT="0" distB="0" distL="0" distR="0" wp14:anchorId="6423CE9F" wp14:editId="4CBA8B18">
            <wp:extent cx="5951262" cy="4438650"/>
            <wp:effectExtent l="0" t="0" r="0" b="0"/>
            <wp:docPr id="132840582" name="Picture 13284058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40582" name="Picture 132840582" descr="A picture containing graphical user interfac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51262" cy="4438650"/>
                    </a:xfrm>
                    <a:prstGeom prst="rect">
                      <a:avLst/>
                    </a:prstGeom>
                  </pic:spPr>
                </pic:pic>
              </a:graphicData>
            </a:graphic>
          </wp:inline>
        </w:drawing>
      </w:r>
    </w:p>
    <w:p w14:paraId="396AB6CF" w14:textId="77777777" w:rsidR="007A20A5" w:rsidRPr="003E6C19" w:rsidRDefault="007A20A5" w:rsidP="007A20A5">
      <w:pPr>
        <w:pStyle w:val="paragraph"/>
        <w:spacing w:before="0" w:beforeAutospacing="0" w:after="0" w:afterAutospacing="0"/>
        <w:textAlignment w:val="baseline"/>
        <w:rPr>
          <w:rStyle w:val="eop"/>
        </w:rPr>
      </w:pPr>
      <w:r w:rsidRPr="003E6C19">
        <w:rPr>
          <w:rStyle w:val="normaltextrun"/>
          <w:b/>
          <w:bCs/>
          <w:color w:val="000000" w:themeColor="text1"/>
          <w:u w:val="single"/>
        </w:rPr>
        <w:t xml:space="preserve">Supplementary Figure 2: </w:t>
      </w:r>
      <w:r w:rsidRPr="003E6C19">
        <w:rPr>
          <w:rStyle w:val="normaltextrun"/>
          <w:b/>
          <w:bCs/>
          <w:color w:val="000000" w:themeColor="text1"/>
        </w:rPr>
        <w:t>Development of endogenously encoded acetylation-mimic and acetylation-deficient </w:t>
      </w:r>
      <w:r w:rsidRPr="003E6C19">
        <w:rPr>
          <w:rStyle w:val="normaltextrun"/>
          <w:b/>
          <w:bCs/>
          <w:i/>
          <w:iCs/>
          <w:color w:val="000000" w:themeColor="text1"/>
        </w:rPr>
        <w:t>TARDBP</w:t>
      </w:r>
      <w:r w:rsidRPr="003E6C19">
        <w:rPr>
          <w:rStyle w:val="normaltextrun"/>
          <w:b/>
          <w:bCs/>
          <w:color w:val="000000" w:themeColor="text1"/>
        </w:rPr>
        <w:t> iPSC lines</w:t>
      </w:r>
      <w:r w:rsidRPr="003E6C19">
        <w:rPr>
          <w:rStyle w:val="eop"/>
          <w:b/>
          <w:bCs/>
        </w:rPr>
        <w:t>​</w:t>
      </w:r>
      <w:r w:rsidRPr="003E6C19">
        <w:rPr>
          <w:rStyle w:val="eop"/>
        </w:rPr>
        <w:t xml:space="preserve"> </w:t>
      </w:r>
    </w:p>
    <w:p w14:paraId="4DF3F518" w14:textId="77777777" w:rsidR="007A20A5" w:rsidRPr="003E6C19" w:rsidRDefault="007A20A5" w:rsidP="007A20A5">
      <w:pPr>
        <w:pStyle w:val="paragraph"/>
        <w:spacing w:before="0" w:beforeAutospacing="0" w:after="0" w:afterAutospacing="0"/>
        <w:rPr>
          <w:rStyle w:val="normaltextrun"/>
          <w:color w:val="000000" w:themeColor="text1"/>
        </w:rPr>
      </w:pPr>
      <w:r w:rsidRPr="003E6C19">
        <w:rPr>
          <w:rStyle w:val="normaltextrun"/>
          <w:b/>
          <w:bCs/>
          <w:color w:val="000000" w:themeColor="text1"/>
        </w:rPr>
        <w:t>a</w:t>
      </w:r>
      <w:r w:rsidRPr="003E6C19">
        <w:rPr>
          <w:rStyle w:val="normaltextrun"/>
          <w:color w:val="000000" w:themeColor="text1"/>
        </w:rPr>
        <w:t xml:space="preserve"> Schematic representation of the nucleotide modifications introduced into exon 4 of the </w:t>
      </w:r>
      <w:r w:rsidRPr="003E6C19">
        <w:rPr>
          <w:rStyle w:val="normaltextrun"/>
          <w:i/>
          <w:iCs/>
          <w:color w:val="000000" w:themeColor="text1"/>
        </w:rPr>
        <w:t>TARDBP</w:t>
      </w:r>
      <w:r w:rsidRPr="003E6C19">
        <w:rPr>
          <w:rStyle w:val="normaltextrun"/>
          <w:color w:val="000000" w:themeColor="text1"/>
        </w:rPr>
        <w:t xml:space="preserve"> locus to generate the K145Q and K145R substitutions. </w:t>
      </w:r>
      <w:r w:rsidRPr="003E6C19">
        <w:rPr>
          <w:rStyle w:val="normaltextrun"/>
          <w:b/>
          <w:bCs/>
          <w:color w:val="000000" w:themeColor="text1"/>
        </w:rPr>
        <w:t>b</w:t>
      </w:r>
      <w:r w:rsidRPr="003E6C19">
        <w:rPr>
          <w:rStyle w:val="normaltextrun"/>
          <w:color w:val="000000" w:themeColor="text1"/>
        </w:rPr>
        <w:t xml:space="preserve"> Chromatograms following Sanger sequencing depicting the wildtype sequence and confirming the lysine modifications in two different subclones for each modification. </w:t>
      </w:r>
      <w:r w:rsidRPr="003E6C19">
        <w:rPr>
          <w:rStyle w:val="normaltextrun"/>
          <w:b/>
          <w:bCs/>
          <w:color w:val="000000" w:themeColor="text1"/>
        </w:rPr>
        <w:t>c</w:t>
      </w:r>
      <w:r w:rsidRPr="003E6C19">
        <w:rPr>
          <w:rStyle w:val="normaltextrun"/>
          <w:color w:val="000000" w:themeColor="text1"/>
        </w:rPr>
        <w:t xml:space="preserve"> Immunofluorescence staining for pluripotency markers SOX2 (red), SSEA4 (green), and Nanog (magenta). Nuclear staining is shown in yellow. Scale bars = 125 µm (left) and 275 µm (right). </w:t>
      </w:r>
      <w:r w:rsidRPr="003E6C19">
        <w:rPr>
          <w:rStyle w:val="normaltextrun"/>
          <w:b/>
          <w:bCs/>
          <w:color w:val="000000" w:themeColor="text1"/>
        </w:rPr>
        <w:t>d-e</w:t>
      </w:r>
      <w:r w:rsidRPr="003E6C19">
        <w:rPr>
          <w:rStyle w:val="normaltextrun"/>
          <w:color w:val="000000" w:themeColor="text1"/>
        </w:rPr>
        <w:t xml:space="preserve"> TaqMan hiPSC Scorecard comparing the pluripotency and differentiated capacity to the three germ layers of K145Q and K145R edited clones. Panel (</w:t>
      </w:r>
      <w:r w:rsidRPr="003E6C19">
        <w:rPr>
          <w:rStyle w:val="normaltextrun"/>
          <w:b/>
          <w:bCs/>
          <w:color w:val="000000" w:themeColor="text1"/>
        </w:rPr>
        <w:t>d</w:t>
      </w:r>
      <w:r w:rsidRPr="003E6C19">
        <w:rPr>
          <w:rStyle w:val="normaltextrun"/>
          <w:color w:val="000000" w:themeColor="text1"/>
        </w:rPr>
        <w:t>) shows the differentiation index plots of self-renewal genes (green) and differentiation genes for ectoderm (blue), mesoderm (orange), and endoderm (purple) on undifferentiated (top) and day seven differentiated cells (bottom). Panel (</w:t>
      </w:r>
      <w:r w:rsidRPr="003E6C19">
        <w:rPr>
          <w:rStyle w:val="normaltextrun"/>
          <w:b/>
          <w:bCs/>
          <w:color w:val="000000" w:themeColor="text1"/>
        </w:rPr>
        <w:t>e</w:t>
      </w:r>
      <w:r w:rsidRPr="003E6C19">
        <w:rPr>
          <w:rStyle w:val="normaltextrun"/>
          <w:color w:val="000000" w:themeColor="text1"/>
        </w:rPr>
        <w:t>) compares the gene expression profile of the undifferentiated and differentiated cells as a heat map of the genes that are up-regulated (red), have the same expression level (white), or are down-regulated (blue). Color legends indicate the fold change in expression of the indicated gene from day seven of differentiation into the three germ layers relative to the undifferentiated.</w:t>
      </w:r>
    </w:p>
    <w:p w14:paraId="230E8804" w14:textId="77777777" w:rsidR="007A20A5" w:rsidRPr="003E6C19" w:rsidRDefault="007A20A5" w:rsidP="007A20A5">
      <w:pPr>
        <w:pStyle w:val="paragraph"/>
        <w:spacing w:before="0" w:beforeAutospacing="0" w:after="0" w:afterAutospacing="0"/>
        <w:rPr>
          <w:rStyle w:val="normaltextrun"/>
          <w:color w:val="000000" w:themeColor="text1"/>
        </w:rPr>
      </w:pPr>
    </w:p>
    <w:p w14:paraId="7F84C350" w14:textId="77777777" w:rsidR="007A20A5" w:rsidRPr="003E6C19" w:rsidRDefault="007A20A5" w:rsidP="007A20A5">
      <w:pPr>
        <w:rPr>
          <w:rFonts w:ascii="Times New Roman" w:hAnsi="Times New Roman" w:cs="Times New Roman"/>
        </w:rPr>
      </w:pPr>
    </w:p>
    <w:p w14:paraId="2345C74E" w14:textId="77777777" w:rsidR="007A20A5" w:rsidRPr="003E6C19" w:rsidRDefault="007A20A5" w:rsidP="007A20A5">
      <w:pPr>
        <w:rPr>
          <w:rFonts w:ascii="Times New Roman" w:hAnsi="Times New Roman" w:cs="Times New Roman"/>
        </w:rPr>
      </w:pPr>
    </w:p>
    <w:p w14:paraId="46FBBCE6" w14:textId="77777777" w:rsidR="007A20A5" w:rsidRPr="003E6C19" w:rsidRDefault="007A20A5" w:rsidP="007A20A5">
      <w:pPr>
        <w:rPr>
          <w:rFonts w:ascii="Times New Roman" w:hAnsi="Times New Roman" w:cs="Times New Roman"/>
        </w:rPr>
      </w:pPr>
      <w:r w:rsidRPr="003E6C19">
        <w:rPr>
          <w:rFonts w:ascii="Times New Roman" w:hAnsi="Times New Roman" w:cs="Times New Roman"/>
          <w:noProof/>
        </w:rPr>
        <w:lastRenderedPageBreak/>
        <w:drawing>
          <wp:inline distT="0" distB="0" distL="0" distR="0" wp14:anchorId="2B76EFB0" wp14:editId="0CD5EFDC">
            <wp:extent cx="5201392" cy="6840186"/>
            <wp:effectExtent l="0" t="0" r="0" b="0"/>
            <wp:docPr id="1356949377" name="Picture 1356949377"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949377" name="Picture 1356949377" descr="A picture containing graphical user interfac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223195" cy="6868859"/>
                    </a:xfrm>
                    <a:prstGeom prst="rect">
                      <a:avLst/>
                    </a:prstGeom>
                  </pic:spPr>
                </pic:pic>
              </a:graphicData>
            </a:graphic>
          </wp:inline>
        </w:drawing>
      </w:r>
    </w:p>
    <w:p w14:paraId="428A9AEC" w14:textId="77777777" w:rsidR="007A20A5" w:rsidRPr="003E6C19" w:rsidRDefault="007A20A5" w:rsidP="007A20A5">
      <w:pPr>
        <w:pStyle w:val="paragraph"/>
        <w:spacing w:before="0" w:beforeAutospacing="0" w:after="0" w:afterAutospacing="0"/>
        <w:textAlignment w:val="baseline"/>
        <w:rPr>
          <w:sz w:val="22"/>
          <w:szCs w:val="22"/>
        </w:rPr>
      </w:pPr>
      <w:r w:rsidRPr="003E6C19">
        <w:rPr>
          <w:rStyle w:val="normaltextrun"/>
          <w:b/>
          <w:bCs/>
          <w:color w:val="000000" w:themeColor="text1"/>
          <w:u w:val="single"/>
        </w:rPr>
        <w:t>Supplementary Figure 3</w:t>
      </w:r>
      <w:r w:rsidRPr="003E6C19">
        <w:rPr>
          <w:rStyle w:val="eop"/>
          <w:b/>
          <w:bCs/>
          <w:u w:val="single"/>
        </w:rPr>
        <w:t>​:</w:t>
      </w:r>
      <w:r w:rsidRPr="003E6C19">
        <w:rPr>
          <w:rStyle w:val="eop"/>
          <w:b/>
          <w:bCs/>
        </w:rPr>
        <w:t xml:space="preserve"> Human iPSC-derived cortical neuron differentiation </w:t>
      </w:r>
      <w:r w:rsidRPr="003E6C19">
        <w:rPr>
          <w:rStyle w:val="eop"/>
        </w:rPr>
        <w:t>​</w:t>
      </w:r>
    </w:p>
    <w:p w14:paraId="5A6621A1" w14:textId="77777777" w:rsidR="007A20A5" w:rsidRPr="003E6C19" w:rsidRDefault="007A20A5" w:rsidP="007A20A5">
      <w:pPr>
        <w:pStyle w:val="paragraph"/>
        <w:spacing w:before="0" w:beforeAutospacing="0" w:after="0" w:afterAutospacing="0"/>
        <w:rPr>
          <w:rStyle w:val="normaltextrun"/>
          <w:color w:val="000000" w:themeColor="text1"/>
        </w:rPr>
      </w:pPr>
      <w:r w:rsidRPr="003E6C19">
        <w:rPr>
          <w:rStyle w:val="normaltextrun"/>
          <w:b/>
          <w:bCs/>
          <w:color w:val="000000" w:themeColor="text1"/>
        </w:rPr>
        <w:t>a</w:t>
      </w:r>
      <w:r w:rsidRPr="003E6C19">
        <w:rPr>
          <w:rStyle w:val="normaltextrun"/>
          <w:color w:val="000000" w:themeColor="text1"/>
        </w:rPr>
        <w:t xml:space="preserve"> Schematic representation of the timeline of neuronal differentiation detailing culture conditions and identity markers at each cell stage.  </w:t>
      </w:r>
      <w:r w:rsidRPr="003E6C19">
        <w:rPr>
          <w:rStyle w:val="normaltextrun"/>
          <w:b/>
          <w:bCs/>
          <w:color w:val="000000" w:themeColor="text1"/>
        </w:rPr>
        <w:t>b</w:t>
      </w:r>
      <w:r w:rsidRPr="003E6C19">
        <w:rPr>
          <w:rStyle w:val="normaltextrun"/>
          <w:color w:val="000000" w:themeColor="text1"/>
        </w:rPr>
        <w:t xml:space="preserve"> Brightfield images illustrating cell morphology during the differentiation process on day 2 (Top), day 12 (middle) and day 45 (bottom). Scale bars = 650 μm (top and middle) and 125 μm (bottom). </w:t>
      </w:r>
      <w:r w:rsidRPr="003E6C19">
        <w:rPr>
          <w:rStyle w:val="normaltextrun"/>
          <w:b/>
          <w:bCs/>
          <w:color w:val="000000" w:themeColor="text1"/>
        </w:rPr>
        <w:t>c</w:t>
      </w:r>
      <w:r w:rsidRPr="003E6C19">
        <w:rPr>
          <w:rStyle w:val="normaltextrun"/>
          <w:color w:val="000000" w:themeColor="text1"/>
        </w:rPr>
        <w:t xml:space="preserve"> Immunofluorescence staining of SOX1 (green) and PAX6 (green) in NPCs at day 12, as well as MAP2 (red), SATB2 (cyan), GABA (green) and </w:t>
      </w:r>
      <w:r w:rsidRPr="003E6C19">
        <w:rPr>
          <w:rStyle w:val="normaltextrun"/>
          <w:color w:val="000000" w:themeColor="text1"/>
        </w:rPr>
        <w:lastRenderedPageBreak/>
        <w:t>B-III tubulin (red) in mature cortical neurons at day 46. DAPI (blue) is used to label the nucleus. Scale bars = 125 μm</w:t>
      </w:r>
    </w:p>
    <w:p w14:paraId="1B250BC9" w14:textId="77777777" w:rsidR="007A20A5" w:rsidRPr="003E6C19" w:rsidRDefault="007A20A5" w:rsidP="007A20A5">
      <w:pPr>
        <w:pStyle w:val="paragraph"/>
        <w:spacing w:before="0" w:beforeAutospacing="0" w:after="0" w:afterAutospacing="0"/>
        <w:rPr>
          <w:rStyle w:val="normaltextrun"/>
          <w:color w:val="000000" w:themeColor="text1"/>
        </w:rPr>
      </w:pPr>
    </w:p>
    <w:p w14:paraId="7741DFE1" w14:textId="77777777" w:rsidR="007A20A5" w:rsidRPr="003E6C19" w:rsidRDefault="007A20A5" w:rsidP="007A20A5">
      <w:pPr>
        <w:pStyle w:val="paragraph"/>
        <w:spacing w:before="0" w:beforeAutospacing="0" w:after="0" w:afterAutospacing="0"/>
      </w:pPr>
      <w:r w:rsidRPr="003E6C19">
        <w:rPr>
          <w:noProof/>
        </w:rPr>
        <w:drawing>
          <wp:inline distT="0" distB="0" distL="0" distR="0" wp14:anchorId="065F71E3" wp14:editId="16A0D654">
            <wp:extent cx="4247892" cy="5495925"/>
            <wp:effectExtent l="0" t="0" r="0" b="0"/>
            <wp:docPr id="842393150" name="Picture 842393150" descr="A picture containing indoor, plant, colorful,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393150" name="Picture 842393150" descr="A picture containing indoor, plant, colorful, several&#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47892" cy="5495925"/>
                    </a:xfrm>
                    <a:prstGeom prst="rect">
                      <a:avLst/>
                    </a:prstGeom>
                  </pic:spPr>
                </pic:pic>
              </a:graphicData>
            </a:graphic>
          </wp:inline>
        </w:drawing>
      </w:r>
    </w:p>
    <w:p w14:paraId="3536ADFB" w14:textId="77777777" w:rsidR="007A20A5" w:rsidRPr="003E6C19" w:rsidRDefault="007A20A5" w:rsidP="007A20A5">
      <w:pPr>
        <w:pStyle w:val="paragraph"/>
        <w:spacing w:before="0" w:beforeAutospacing="0" w:after="0" w:afterAutospacing="0"/>
        <w:rPr>
          <w:rStyle w:val="normaltextrun"/>
          <w:rFonts w:eastAsia="Arial"/>
          <w:b/>
          <w:bCs/>
          <w:color w:val="000000" w:themeColor="text1"/>
        </w:rPr>
      </w:pPr>
      <w:r w:rsidRPr="003E6C19">
        <w:rPr>
          <w:rStyle w:val="normaltextrun"/>
          <w:rFonts w:eastAsia="Arial"/>
          <w:b/>
          <w:bCs/>
          <w:color w:val="000000" w:themeColor="text1"/>
        </w:rPr>
        <w:t>Supplementary Figure 4: Enhancement of nuclear depletion and TDP-43 phase separation in multiple TDP-43</w:t>
      </w:r>
      <w:r w:rsidRPr="003E6C19">
        <w:rPr>
          <w:rStyle w:val="normaltextrun"/>
          <w:rFonts w:eastAsia="Arial"/>
          <w:b/>
          <w:bCs/>
          <w:color w:val="000000" w:themeColor="text1"/>
          <w:vertAlign w:val="superscript"/>
        </w:rPr>
        <w:t>K145Q</w:t>
      </w:r>
      <w:r w:rsidRPr="003E6C19">
        <w:rPr>
          <w:rStyle w:val="normaltextrun"/>
          <w:rFonts w:eastAsia="Arial"/>
          <w:b/>
          <w:bCs/>
          <w:color w:val="000000" w:themeColor="text1"/>
        </w:rPr>
        <w:t xml:space="preserve"> lines but not TDP-43</w:t>
      </w:r>
      <w:r w:rsidRPr="003E6C19">
        <w:rPr>
          <w:rStyle w:val="normaltextrun"/>
          <w:rFonts w:eastAsia="Arial"/>
          <w:b/>
          <w:bCs/>
          <w:color w:val="000000" w:themeColor="text1"/>
          <w:vertAlign w:val="superscript"/>
        </w:rPr>
        <w:t xml:space="preserve">K145R </w:t>
      </w:r>
      <w:r w:rsidRPr="003E6C19">
        <w:rPr>
          <w:rStyle w:val="normaltextrun"/>
          <w:rFonts w:eastAsia="Arial"/>
          <w:b/>
          <w:bCs/>
          <w:color w:val="000000" w:themeColor="text1"/>
        </w:rPr>
        <w:t xml:space="preserve">or wild-type lines </w:t>
      </w:r>
    </w:p>
    <w:p w14:paraId="0DBD37C0" w14:textId="77777777" w:rsidR="007A20A5" w:rsidRPr="003E6C19" w:rsidRDefault="007A20A5" w:rsidP="007A20A5">
      <w:pPr>
        <w:pStyle w:val="paragraph"/>
        <w:spacing w:before="0" w:beforeAutospacing="0" w:after="0" w:afterAutospacing="0"/>
        <w:rPr>
          <w:rStyle w:val="normaltextrun"/>
          <w:rFonts w:eastAsia="Arial"/>
          <w:color w:val="000000" w:themeColor="text1"/>
        </w:rPr>
      </w:pPr>
      <w:r w:rsidRPr="003E6C19">
        <w:rPr>
          <w:rStyle w:val="normaltextrun"/>
          <w:rFonts w:eastAsia="Arial"/>
          <w:color w:val="000000" w:themeColor="text1"/>
        </w:rPr>
        <w:t>Representative confocal images of CRISPR-modified human iPSC-derived cortical neurons harboring TDP-43</w:t>
      </w:r>
      <w:r w:rsidRPr="003E6C19">
        <w:rPr>
          <w:rStyle w:val="normaltextrun"/>
          <w:rFonts w:eastAsia="Arial"/>
          <w:color w:val="000000" w:themeColor="text1"/>
          <w:vertAlign w:val="superscript"/>
        </w:rPr>
        <w:t>K145Q</w:t>
      </w:r>
      <w:r w:rsidRPr="003E6C19">
        <w:rPr>
          <w:rStyle w:val="normaltextrun"/>
          <w:rFonts w:eastAsia="Arial"/>
          <w:color w:val="000000" w:themeColor="text1"/>
        </w:rPr>
        <w:t xml:space="preserve"> (clonal line 18), TDP-43</w:t>
      </w:r>
      <w:r w:rsidRPr="003E6C19">
        <w:rPr>
          <w:rStyle w:val="normaltextrun"/>
          <w:rFonts w:eastAsia="Arial"/>
          <w:color w:val="000000" w:themeColor="text1"/>
          <w:vertAlign w:val="superscript"/>
        </w:rPr>
        <w:t xml:space="preserve">K145R </w:t>
      </w:r>
      <w:r w:rsidRPr="003E6C19">
        <w:rPr>
          <w:rStyle w:val="normaltextrun"/>
          <w:rFonts w:eastAsia="Arial"/>
          <w:color w:val="000000" w:themeColor="text1"/>
        </w:rPr>
        <w:t xml:space="preserve">(clonal line 12) or no </w:t>
      </w:r>
      <w:r w:rsidRPr="003E6C19">
        <w:rPr>
          <w:rStyle w:val="normaltextrun"/>
          <w:rFonts w:eastAsia="Arial"/>
          <w:i/>
          <w:iCs/>
          <w:color w:val="000000" w:themeColor="text1"/>
        </w:rPr>
        <w:t>TARDBP</w:t>
      </w:r>
      <w:r w:rsidRPr="003E6C19">
        <w:rPr>
          <w:rStyle w:val="normaltextrun"/>
          <w:rFonts w:eastAsia="Arial"/>
          <w:color w:val="000000" w:themeColor="text1"/>
        </w:rPr>
        <w:t xml:space="preserve"> modifications (wt) that were treated with vehicle or 200 µM NaAsO2 and immunolabeled for endogenous TDP-43 (green), Map2 (magenta), and DAPI (blue). Scale bars = 20µm.</w:t>
      </w:r>
    </w:p>
    <w:p w14:paraId="2F1071C1" w14:textId="77777777" w:rsidR="007A20A5" w:rsidRPr="003E6C19" w:rsidRDefault="007A20A5" w:rsidP="007A20A5">
      <w:pPr>
        <w:pStyle w:val="paragraph"/>
        <w:spacing w:before="0" w:beforeAutospacing="0" w:after="0" w:afterAutospacing="0"/>
        <w:rPr>
          <w:rStyle w:val="normaltextrun"/>
          <w:color w:val="000000" w:themeColor="text1"/>
        </w:rPr>
      </w:pPr>
    </w:p>
    <w:p w14:paraId="24E8CB03" w14:textId="77777777" w:rsidR="007A20A5" w:rsidRPr="003E6C19" w:rsidRDefault="007A20A5" w:rsidP="007A20A5">
      <w:pPr>
        <w:pStyle w:val="paragraph"/>
        <w:spacing w:before="0" w:beforeAutospacing="0" w:after="0" w:afterAutospacing="0"/>
        <w:rPr>
          <w:rStyle w:val="normaltextrun"/>
          <w:color w:val="000000" w:themeColor="text1"/>
        </w:rPr>
      </w:pPr>
    </w:p>
    <w:p w14:paraId="11C0FA06" w14:textId="77777777" w:rsidR="007A20A5" w:rsidRPr="003E6C19" w:rsidRDefault="007A20A5" w:rsidP="007A20A5">
      <w:pPr>
        <w:rPr>
          <w:rFonts w:ascii="Times New Roman" w:hAnsi="Times New Roman" w:cs="Times New Roman"/>
        </w:rPr>
      </w:pPr>
    </w:p>
    <w:p w14:paraId="33447A0B" w14:textId="77777777" w:rsidR="007A20A5" w:rsidRPr="003E6C19" w:rsidRDefault="007A20A5" w:rsidP="007A20A5">
      <w:pPr>
        <w:rPr>
          <w:rFonts w:ascii="Times New Roman" w:hAnsi="Times New Roman" w:cs="Times New Roman"/>
        </w:rPr>
      </w:pPr>
      <w:r w:rsidRPr="003E6C19">
        <w:rPr>
          <w:rFonts w:ascii="Times New Roman" w:hAnsi="Times New Roman" w:cs="Times New Roman"/>
        </w:rPr>
        <w:lastRenderedPageBreak/>
        <w:t> </w:t>
      </w:r>
      <w:r w:rsidRPr="003E6C19">
        <w:rPr>
          <w:rFonts w:ascii="Times New Roman" w:hAnsi="Times New Roman" w:cs="Times New Roman"/>
          <w:noProof/>
        </w:rPr>
        <w:drawing>
          <wp:inline distT="0" distB="0" distL="0" distR="0" wp14:anchorId="334B0538" wp14:editId="601411BB">
            <wp:extent cx="5171308" cy="4085112"/>
            <wp:effectExtent l="0" t="0" r="0" b="0"/>
            <wp:docPr id="8" name="Picture 8" descr="A screen 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 shot of a computer&#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75490" cy="4088416"/>
                    </a:xfrm>
                    <a:prstGeom prst="rect">
                      <a:avLst/>
                    </a:prstGeom>
                    <a:noFill/>
                    <a:ln>
                      <a:noFill/>
                    </a:ln>
                  </pic:spPr>
                </pic:pic>
              </a:graphicData>
            </a:graphic>
          </wp:inline>
        </w:drawing>
      </w:r>
    </w:p>
    <w:p w14:paraId="650AC4DF" w14:textId="77777777" w:rsidR="007A20A5" w:rsidRPr="003E6C19" w:rsidRDefault="007A20A5" w:rsidP="007A20A5">
      <w:pPr>
        <w:rPr>
          <w:rFonts w:ascii="Times New Roman" w:hAnsi="Times New Roman" w:cs="Times New Roman"/>
          <w:b/>
          <w:bCs/>
        </w:rPr>
      </w:pPr>
      <w:r w:rsidRPr="003E6C19">
        <w:rPr>
          <w:rFonts w:ascii="Times New Roman" w:hAnsi="Times New Roman" w:cs="Times New Roman"/>
          <w:b/>
          <w:bCs/>
          <w:u w:val="single"/>
        </w:rPr>
        <w:t>Supplementary Figure 5:</w:t>
      </w:r>
      <w:r w:rsidRPr="003E6C19">
        <w:rPr>
          <w:rFonts w:ascii="Times New Roman" w:hAnsi="Times New Roman" w:cs="Times New Roman"/>
          <w:b/>
          <w:bCs/>
        </w:rPr>
        <w:t> No overt motor deficits in TDP-43</w:t>
      </w:r>
      <w:r w:rsidRPr="003E6C19">
        <w:rPr>
          <w:rFonts w:ascii="Times New Roman" w:hAnsi="Times New Roman" w:cs="Times New Roman"/>
          <w:b/>
          <w:bCs/>
          <w:vertAlign w:val="superscript"/>
        </w:rPr>
        <w:t>KQ/KQ</w:t>
      </w:r>
      <w:r w:rsidRPr="003E6C19">
        <w:rPr>
          <w:rFonts w:ascii="Times New Roman" w:hAnsi="Times New Roman" w:cs="Times New Roman"/>
          <w:b/>
          <w:bCs/>
          <w:vertAlign w:val="subscript"/>
        </w:rPr>
        <w:t xml:space="preserve"> </w:t>
      </w:r>
      <w:r w:rsidRPr="003E6C19">
        <w:rPr>
          <w:rFonts w:ascii="Times New Roman" w:hAnsi="Times New Roman" w:cs="Times New Roman"/>
          <w:b/>
          <w:bCs/>
        </w:rPr>
        <w:t>mice up to 18 of age</w:t>
      </w:r>
    </w:p>
    <w:p w14:paraId="692F86C9" w14:textId="77777777" w:rsidR="007A20A5" w:rsidRPr="003E6C19" w:rsidRDefault="007A20A5" w:rsidP="007A20A5">
      <w:pPr>
        <w:rPr>
          <w:rFonts w:ascii="Times New Roman" w:hAnsi="Times New Roman" w:cs="Times New Roman"/>
        </w:rPr>
      </w:pPr>
      <w:r w:rsidRPr="003E6C19">
        <w:rPr>
          <w:rFonts w:ascii="Times New Roman" w:hAnsi="Times New Roman" w:cs="Times New Roman"/>
          <w:b/>
          <w:bCs/>
        </w:rPr>
        <w:t>a</w:t>
      </w:r>
      <w:r w:rsidRPr="003E6C19">
        <w:rPr>
          <w:rFonts w:ascii="Times New Roman" w:hAnsi="Times New Roman" w:cs="Times New Roman"/>
        </w:rPr>
        <w:t xml:space="preserve"> Quantification of distance travelled by TDP-43</w:t>
      </w:r>
      <w:r w:rsidRPr="003E6C19">
        <w:rPr>
          <w:rFonts w:ascii="Times New Roman" w:hAnsi="Times New Roman" w:cs="Times New Roman"/>
          <w:vertAlign w:val="superscript"/>
        </w:rPr>
        <w:t xml:space="preserve">wt </w:t>
      </w:r>
      <w:r w:rsidRPr="003E6C19">
        <w:rPr>
          <w:rFonts w:ascii="Times New Roman" w:hAnsi="Times New Roman" w:cs="Times New Roman"/>
        </w:rPr>
        <w:t>and TDP-43</w:t>
      </w:r>
      <w:r w:rsidRPr="003E6C19">
        <w:rPr>
          <w:rFonts w:ascii="Times New Roman" w:hAnsi="Times New Roman" w:cs="Times New Roman"/>
          <w:vertAlign w:val="superscript"/>
        </w:rPr>
        <w:t>KQ/KQ</w:t>
      </w:r>
      <w:r w:rsidRPr="003E6C19">
        <w:rPr>
          <w:rFonts w:ascii="Times New Roman" w:hAnsi="Times New Roman" w:cs="Times New Roman"/>
        </w:rPr>
        <w:t xml:space="preserve"> mice during open field assays at 12 and 18 months of age. </w:t>
      </w:r>
      <w:r w:rsidRPr="003E6C19">
        <w:rPr>
          <w:rFonts w:ascii="Times New Roman" w:hAnsi="Times New Roman" w:cs="Times New Roman"/>
          <w:b/>
          <w:bCs/>
        </w:rPr>
        <w:t>b</w:t>
      </w:r>
      <w:r w:rsidRPr="003E6C19">
        <w:rPr>
          <w:rFonts w:ascii="Times New Roman" w:hAnsi="Times New Roman" w:cs="Times New Roman"/>
        </w:rPr>
        <w:t xml:space="preserve"> Quantification of swim velocity during Morris Water Maze testing in mice at 18 months old. </w:t>
      </w:r>
      <w:r w:rsidRPr="003E6C19">
        <w:rPr>
          <w:rFonts w:ascii="Times New Roman" w:hAnsi="Times New Roman" w:cs="Times New Roman"/>
          <w:b/>
          <w:bCs/>
        </w:rPr>
        <w:t>c-d</w:t>
      </w:r>
      <w:r w:rsidRPr="003E6C19">
        <w:rPr>
          <w:rFonts w:ascii="Times New Roman" w:hAnsi="Times New Roman" w:cs="Times New Roman"/>
        </w:rPr>
        <w:t xml:space="preserve"> Assessment of latency to fall off an accelerating rotarod in TDP-43</w:t>
      </w:r>
      <w:r w:rsidRPr="003E6C19">
        <w:rPr>
          <w:rFonts w:ascii="Times New Roman" w:hAnsi="Times New Roman" w:cs="Times New Roman"/>
          <w:vertAlign w:val="superscript"/>
        </w:rPr>
        <w:t xml:space="preserve">wt </w:t>
      </w:r>
      <w:r w:rsidRPr="003E6C19">
        <w:rPr>
          <w:rFonts w:ascii="Times New Roman" w:hAnsi="Times New Roman" w:cs="Times New Roman"/>
        </w:rPr>
        <w:t>compared to TDP-43</w:t>
      </w:r>
      <w:r w:rsidRPr="003E6C19">
        <w:rPr>
          <w:rFonts w:ascii="Times New Roman" w:hAnsi="Times New Roman" w:cs="Times New Roman"/>
          <w:vertAlign w:val="superscript"/>
        </w:rPr>
        <w:t>KQ/KQ</w:t>
      </w:r>
      <w:r w:rsidRPr="003E6C19">
        <w:rPr>
          <w:rFonts w:ascii="Times New Roman" w:hAnsi="Times New Roman" w:cs="Times New Roman"/>
        </w:rPr>
        <w:t xml:space="preserve"> mice at 18-months-old quantifying five individual trials (</w:t>
      </w:r>
      <w:r w:rsidRPr="003E6C19">
        <w:rPr>
          <w:rFonts w:ascii="Times New Roman" w:hAnsi="Times New Roman" w:cs="Times New Roman"/>
          <w:b/>
          <w:bCs/>
        </w:rPr>
        <w:t>c</w:t>
      </w:r>
      <w:r w:rsidRPr="003E6C19">
        <w:rPr>
          <w:rFonts w:ascii="Times New Roman" w:hAnsi="Times New Roman" w:cs="Times New Roman"/>
        </w:rPr>
        <w:t>) and the average latency to fall over all five trials at 6-, 9-, or 18-months old (</w:t>
      </w:r>
      <w:r w:rsidRPr="003E6C19">
        <w:rPr>
          <w:rFonts w:ascii="Times New Roman" w:hAnsi="Times New Roman" w:cs="Times New Roman"/>
          <w:b/>
          <w:bCs/>
        </w:rPr>
        <w:t>d</w:t>
      </w:r>
      <w:r w:rsidRPr="003E6C19">
        <w:rPr>
          <w:rFonts w:ascii="Times New Roman" w:hAnsi="Times New Roman" w:cs="Times New Roman"/>
        </w:rPr>
        <w:t>)</w:t>
      </w:r>
      <w:r w:rsidRPr="003E6C19">
        <w:rPr>
          <w:rFonts w:ascii="Times New Roman" w:hAnsi="Times New Roman" w:cs="Times New Roman"/>
          <w:b/>
          <w:bCs/>
        </w:rPr>
        <w:t>.</w:t>
      </w:r>
      <w:r w:rsidRPr="003E6C19">
        <w:rPr>
          <w:rFonts w:ascii="Times New Roman" w:hAnsi="Times New Roman" w:cs="Times New Roman"/>
        </w:rPr>
        <w:t xml:space="preserve"> </w:t>
      </w:r>
      <w:r w:rsidRPr="003E6C19">
        <w:rPr>
          <w:rFonts w:ascii="Times New Roman" w:hAnsi="Times New Roman" w:cs="Times New Roman"/>
          <w:b/>
          <w:bCs/>
        </w:rPr>
        <w:t>e</w:t>
      </w:r>
      <w:r w:rsidRPr="003E6C19">
        <w:rPr>
          <w:rFonts w:ascii="Times New Roman" w:hAnsi="Times New Roman" w:cs="Times New Roman"/>
        </w:rPr>
        <w:t xml:space="preserve"> Grip strength in forepaws and all paws measured by digital force meters shows no genotype differences in grip strength at 18 months old. Scatter plots shown as mean ± SD. Box and whiskers show line at median, ‘+’ at mean, and whiskers run min to max. </w:t>
      </w:r>
      <w:r w:rsidRPr="003E6C19">
        <w:rPr>
          <w:rFonts w:ascii="Times New Roman" w:hAnsi="Times New Roman" w:cs="Times New Roman"/>
          <w:b/>
          <w:bCs/>
        </w:rPr>
        <w:t>a,c </w:t>
      </w:r>
      <w:r w:rsidRPr="003E6C19">
        <w:rPr>
          <w:rFonts w:ascii="Times New Roman" w:hAnsi="Times New Roman" w:cs="Times New Roman"/>
        </w:rPr>
        <w:t>Two-way repeated measures ANOVA followed by Holm-Šídák's multiple comparisons tests; b,d,e Two-way ANOVA followed by Holm-Šídák's multiple comparisons tests. Sample sizes as follows: 6- and 9-month TDP-43</w:t>
      </w:r>
      <w:r w:rsidRPr="003E6C19">
        <w:rPr>
          <w:rFonts w:ascii="Times New Roman" w:hAnsi="Times New Roman" w:cs="Times New Roman"/>
          <w:vertAlign w:val="superscript"/>
        </w:rPr>
        <w:t>wt</w:t>
      </w:r>
      <w:r w:rsidRPr="003E6C19">
        <w:rPr>
          <w:rFonts w:ascii="Times New Roman" w:hAnsi="Times New Roman" w:cs="Times New Roman"/>
        </w:rPr>
        <w:t xml:space="preserve"> n=10; 6 and 9-month TDP-43</w:t>
      </w:r>
      <w:r w:rsidRPr="003E6C19">
        <w:rPr>
          <w:rFonts w:ascii="Times New Roman" w:hAnsi="Times New Roman" w:cs="Times New Roman"/>
          <w:vertAlign w:val="superscript"/>
        </w:rPr>
        <w:t>KQ/KQ</w:t>
      </w:r>
      <w:r w:rsidRPr="003E6C19">
        <w:rPr>
          <w:rFonts w:ascii="Times New Roman" w:hAnsi="Times New Roman" w:cs="Times New Roman"/>
        </w:rPr>
        <w:t xml:space="preserve"> n=8; 12-month TDP-43</w:t>
      </w:r>
      <w:r w:rsidRPr="003E6C19">
        <w:rPr>
          <w:rFonts w:ascii="Times New Roman" w:hAnsi="Times New Roman" w:cs="Times New Roman"/>
          <w:vertAlign w:val="superscript"/>
        </w:rPr>
        <w:t>wt</w:t>
      </w:r>
      <w:r w:rsidRPr="003E6C19">
        <w:rPr>
          <w:rFonts w:ascii="Times New Roman" w:hAnsi="Times New Roman" w:cs="Times New Roman"/>
        </w:rPr>
        <w:t xml:space="preserve"> n=15; 12-month TDP-43</w:t>
      </w:r>
      <w:r w:rsidRPr="003E6C19">
        <w:rPr>
          <w:rFonts w:ascii="Times New Roman" w:hAnsi="Times New Roman" w:cs="Times New Roman"/>
          <w:vertAlign w:val="superscript"/>
        </w:rPr>
        <w:t>KQ/KQ</w:t>
      </w:r>
      <w:r w:rsidRPr="003E6C19">
        <w:rPr>
          <w:rFonts w:ascii="Times New Roman" w:hAnsi="Times New Roman" w:cs="Times New Roman"/>
        </w:rPr>
        <w:t xml:space="preserve"> n=7; 18-month TDP-43</w:t>
      </w:r>
      <w:r w:rsidRPr="003E6C19">
        <w:rPr>
          <w:rFonts w:ascii="Times New Roman" w:hAnsi="Times New Roman" w:cs="Times New Roman"/>
          <w:vertAlign w:val="superscript"/>
        </w:rPr>
        <w:t>wt</w:t>
      </w:r>
      <w:r w:rsidRPr="003E6C19">
        <w:rPr>
          <w:rFonts w:ascii="Times New Roman" w:hAnsi="Times New Roman" w:cs="Times New Roman"/>
        </w:rPr>
        <w:t xml:space="preserve"> n=10; 18-month TDP-43</w:t>
      </w:r>
      <w:r w:rsidRPr="003E6C19">
        <w:rPr>
          <w:rFonts w:ascii="Times New Roman" w:hAnsi="Times New Roman" w:cs="Times New Roman"/>
          <w:vertAlign w:val="superscript"/>
        </w:rPr>
        <w:t>KQ/KQ</w:t>
      </w:r>
      <w:r w:rsidRPr="003E6C19">
        <w:rPr>
          <w:rFonts w:ascii="Times New Roman" w:hAnsi="Times New Roman" w:cs="Times New Roman"/>
        </w:rPr>
        <w:t xml:space="preserve"> n=9; one extreme outlier from 18-month TDP-43</w:t>
      </w:r>
      <w:r w:rsidRPr="003E6C19">
        <w:rPr>
          <w:rFonts w:ascii="Times New Roman" w:hAnsi="Times New Roman" w:cs="Times New Roman"/>
          <w:vertAlign w:val="superscript"/>
        </w:rPr>
        <w:t xml:space="preserve">KQ/KQ </w:t>
      </w:r>
      <w:r w:rsidRPr="003E6C19">
        <w:rPr>
          <w:rFonts w:ascii="Times New Roman" w:hAnsi="Times New Roman" w:cs="Times New Roman"/>
        </w:rPr>
        <w:t>group removed for Open Field analysis (a). </w:t>
      </w:r>
    </w:p>
    <w:p w14:paraId="5F52BCD0" w14:textId="77777777" w:rsidR="007A20A5" w:rsidRPr="003E6C19" w:rsidRDefault="007A20A5" w:rsidP="007A20A5">
      <w:pPr>
        <w:rPr>
          <w:rFonts w:ascii="Times New Roman" w:hAnsi="Times New Roman" w:cs="Times New Roman"/>
        </w:rPr>
      </w:pPr>
      <w:r w:rsidRPr="003E6C19">
        <w:rPr>
          <w:rFonts w:ascii="Times New Roman" w:hAnsi="Times New Roman" w:cs="Times New Roman"/>
        </w:rPr>
        <w:t> </w:t>
      </w:r>
    </w:p>
    <w:p w14:paraId="042251B5" w14:textId="77777777" w:rsidR="007A20A5" w:rsidRPr="003E6C19" w:rsidRDefault="007A20A5" w:rsidP="007A20A5">
      <w:pPr>
        <w:rPr>
          <w:rFonts w:ascii="Times New Roman" w:hAnsi="Times New Roman" w:cs="Times New Roman"/>
        </w:rPr>
      </w:pPr>
      <w:r w:rsidRPr="003E6C19">
        <w:rPr>
          <w:rFonts w:ascii="Times New Roman" w:hAnsi="Times New Roman" w:cs="Times New Roman"/>
          <w:noProof/>
        </w:rPr>
        <w:lastRenderedPageBreak/>
        <w:drawing>
          <wp:inline distT="0" distB="0" distL="0" distR="0" wp14:anchorId="7CF90B58" wp14:editId="79353C0E">
            <wp:extent cx="4983690" cy="2948683"/>
            <wp:effectExtent l="0" t="0" r="0" b="0"/>
            <wp:docPr id="49991523" name="Picture 49991523" descr="A picture containing text, indoor, stationary,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91523" name="Picture 49991523" descr="A picture containing text, indoor, stationary, dark&#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994201" cy="2954902"/>
                    </a:xfrm>
                    <a:prstGeom prst="rect">
                      <a:avLst/>
                    </a:prstGeom>
                  </pic:spPr>
                </pic:pic>
              </a:graphicData>
            </a:graphic>
          </wp:inline>
        </w:drawing>
      </w:r>
    </w:p>
    <w:p w14:paraId="33A52D93" w14:textId="77777777" w:rsidR="007A20A5" w:rsidRPr="003E6C19" w:rsidRDefault="007A20A5" w:rsidP="007A20A5">
      <w:pPr>
        <w:rPr>
          <w:rFonts w:ascii="Times New Roman" w:hAnsi="Times New Roman" w:cs="Times New Roman"/>
          <w:b/>
          <w:bCs/>
        </w:rPr>
      </w:pPr>
      <w:bookmarkStart w:id="0" w:name="OLE_LINK4"/>
      <w:r w:rsidRPr="003E6C19">
        <w:rPr>
          <w:rFonts w:ascii="Times New Roman" w:hAnsi="Times New Roman" w:cs="Times New Roman"/>
          <w:b/>
          <w:bCs/>
          <w:u w:val="single"/>
        </w:rPr>
        <w:t>Supplementary Figure 6:</w:t>
      </w:r>
      <w:r w:rsidRPr="003E6C19">
        <w:rPr>
          <w:rFonts w:ascii="Times New Roman" w:hAnsi="Times New Roman" w:cs="Times New Roman"/>
          <w:b/>
          <w:bCs/>
        </w:rPr>
        <w:t xml:space="preserve"> Altered sensorimotor gating and impaired prepulse inhibition in TDP-43</w:t>
      </w:r>
      <w:r w:rsidRPr="003E6C19">
        <w:rPr>
          <w:rFonts w:ascii="Times New Roman" w:hAnsi="Times New Roman" w:cs="Times New Roman"/>
          <w:b/>
          <w:bCs/>
          <w:vertAlign w:val="superscript"/>
        </w:rPr>
        <w:t>KQ/KQ</w:t>
      </w:r>
      <w:r w:rsidRPr="003E6C19">
        <w:rPr>
          <w:rFonts w:ascii="Times New Roman" w:hAnsi="Times New Roman" w:cs="Times New Roman"/>
          <w:b/>
          <w:bCs/>
          <w:vertAlign w:val="subscript"/>
        </w:rPr>
        <w:t xml:space="preserve"> </w:t>
      </w:r>
      <w:r w:rsidRPr="003E6C19">
        <w:rPr>
          <w:rFonts w:ascii="Times New Roman" w:hAnsi="Times New Roman" w:cs="Times New Roman"/>
          <w:b/>
          <w:bCs/>
        </w:rPr>
        <w:t>mice</w:t>
      </w:r>
    </w:p>
    <w:p w14:paraId="62D2294E" w14:textId="77777777" w:rsidR="007A20A5" w:rsidRPr="003E6C19" w:rsidRDefault="007A20A5" w:rsidP="007A20A5">
      <w:pPr>
        <w:rPr>
          <w:rFonts w:ascii="Times New Roman" w:hAnsi="Times New Roman" w:cs="Times New Roman"/>
        </w:rPr>
      </w:pPr>
      <w:r w:rsidRPr="003E6C19">
        <w:rPr>
          <w:rFonts w:ascii="Times New Roman" w:hAnsi="Times New Roman" w:cs="Times New Roman"/>
          <w:b/>
          <w:bCs/>
        </w:rPr>
        <w:t xml:space="preserve">a-b </w:t>
      </w:r>
      <w:r w:rsidRPr="003E6C19">
        <w:rPr>
          <w:rFonts w:ascii="Times New Roman" w:hAnsi="Times New Roman" w:cs="Times New Roman"/>
        </w:rPr>
        <w:t>Measurement of prepulse inhibition (PPI) during acoustic stimulus testing in TDP-43</w:t>
      </w:r>
      <w:r w:rsidRPr="003E6C19">
        <w:rPr>
          <w:rFonts w:ascii="Times New Roman" w:hAnsi="Times New Roman" w:cs="Times New Roman"/>
          <w:vertAlign w:val="superscript"/>
        </w:rPr>
        <w:t>KQ/KQ</w:t>
      </w:r>
      <w:r w:rsidRPr="003E6C19">
        <w:rPr>
          <w:rFonts w:ascii="Times New Roman" w:hAnsi="Times New Roman" w:cs="Times New Roman"/>
        </w:rPr>
        <w:t xml:space="preserve"> and TDP-43</w:t>
      </w:r>
      <w:r w:rsidRPr="003E6C19">
        <w:rPr>
          <w:rFonts w:ascii="Times New Roman" w:hAnsi="Times New Roman" w:cs="Times New Roman"/>
          <w:vertAlign w:val="superscript"/>
        </w:rPr>
        <w:t>wt</w:t>
      </w:r>
      <w:r w:rsidRPr="003E6C19">
        <w:rPr>
          <w:rFonts w:ascii="Times New Roman" w:hAnsi="Times New Roman" w:cs="Times New Roman"/>
        </w:rPr>
        <w:t xml:space="preserve"> mice showed significantly reduced pre-pulse inhibition at 12 months (</w:t>
      </w:r>
      <w:r w:rsidRPr="003E6C19">
        <w:rPr>
          <w:rFonts w:ascii="Times New Roman" w:hAnsi="Times New Roman" w:cs="Times New Roman"/>
          <w:b/>
          <w:bCs/>
        </w:rPr>
        <w:t>a</w:t>
      </w:r>
      <w:r w:rsidRPr="003E6C19">
        <w:rPr>
          <w:rFonts w:ascii="Times New Roman" w:hAnsi="Times New Roman" w:cs="Times New Roman"/>
        </w:rPr>
        <w:t>) [main effect of genotype, F(1, 20)=19.90, p=0.0002] and not at 18 months old (</w:t>
      </w:r>
      <w:r w:rsidRPr="003E6C19">
        <w:rPr>
          <w:rFonts w:ascii="Times New Roman" w:hAnsi="Times New Roman" w:cs="Times New Roman"/>
          <w:b/>
          <w:bCs/>
        </w:rPr>
        <w:t>b</w:t>
      </w:r>
      <w:r w:rsidRPr="003E6C19">
        <w:rPr>
          <w:rFonts w:ascii="Times New Roman" w:hAnsi="Times New Roman" w:cs="Times New Roman"/>
        </w:rPr>
        <w:t>)</w:t>
      </w:r>
      <w:r w:rsidRPr="003E6C19">
        <w:rPr>
          <w:rFonts w:ascii="Times New Roman" w:hAnsi="Times New Roman" w:cs="Times New Roman"/>
          <w:b/>
          <w:bCs/>
        </w:rPr>
        <w:t>.</w:t>
      </w:r>
      <w:r w:rsidRPr="003E6C19">
        <w:rPr>
          <w:rFonts w:ascii="Times New Roman" w:hAnsi="Times New Roman" w:cs="Times New Roman"/>
        </w:rPr>
        <w:t xml:space="preserve">  Box and whiskers show line at median, ‘+’ at mean, and whiskers run min to max. 12-month TDP-43</w:t>
      </w:r>
      <w:r w:rsidRPr="003E6C19">
        <w:rPr>
          <w:rFonts w:ascii="Times New Roman" w:hAnsi="Times New Roman" w:cs="Times New Roman"/>
          <w:vertAlign w:val="superscript"/>
        </w:rPr>
        <w:t>wt</w:t>
      </w:r>
      <w:r w:rsidRPr="003E6C19">
        <w:rPr>
          <w:rFonts w:ascii="Times New Roman" w:hAnsi="Times New Roman" w:cs="Times New Roman"/>
        </w:rPr>
        <w:t xml:space="preserve"> n=15; 12-month TDP-43</w:t>
      </w:r>
      <w:r w:rsidRPr="003E6C19">
        <w:rPr>
          <w:rFonts w:ascii="Times New Roman" w:hAnsi="Times New Roman" w:cs="Times New Roman"/>
          <w:vertAlign w:val="superscript"/>
        </w:rPr>
        <w:t>KQ/KQ</w:t>
      </w:r>
      <w:r w:rsidRPr="003E6C19">
        <w:rPr>
          <w:rFonts w:ascii="Times New Roman" w:hAnsi="Times New Roman" w:cs="Times New Roman"/>
        </w:rPr>
        <w:t xml:space="preserve"> n=7; 18-month TDP-43</w:t>
      </w:r>
      <w:r w:rsidRPr="003E6C19">
        <w:rPr>
          <w:rFonts w:ascii="Times New Roman" w:hAnsi="Times New Roman" w:cs="Times New Roman"/>
          <w:vertAlign w:val="superscript"/>
        </w:rPr>
        <w:t>wt</w:t>
      </w:r>
      <w:r w:rsidRPr="003E6C19">
        <w:rPr>
          <w:rFonts w:ascii="Times New Roman" w:hAnsi="Times New Roman" w:cs="Times New Roman"/>
        </w:rPr>
        <w:t xml:space="preserve"> n=10; 18-month TDP-43</w:t>
      </w:r>
      <w:r w:rsidRPr="003E6C19">
        <w:rPr>
          <w:rFonts w:ascii="Times New Roman" w:hAnsi="Times New Roman" w:cs="Times New Roman"/>
          <w:vertAlign w:val="superscript"/>
        </w:rPr>
        <w:t>KQ/KQ</w:t>
      </w:r>
      <w:r w:rsidRPr="003E6C19">
        <w:rPr>
          <w:rFonts w:ascii="Times New Roman" w:hAnsi="Times New Roman" w:cs="Times New Roman"/>
        </w:rPr>
        <w:t xml:space="preserve"> n=9. Two-way ANOVA followed by Holm-Šídák's multiple comparisons tests. Statistical significance is indicated by asterisks *p&lt;0.05; ***p&lt;0.001</w:t>
      </w:r>
    </w:p>
    <w:bookmarkEnd w:id="0"/>
    <w:p w14:paraId="33878B6D" w14:textId="77777777" w:rsidR="007A20A5" w:rsidRPr="003E6C19" w:rsidRDefault="007A20A5" w:rsidP="007A20A5">
      <w:pPr>
        <w:rPr>
          <w:rFonts w:ascii="Times New Roman" w:hAnsi="Times New Roman" w:cs="Times New Roman"/>
        </w:rPr>
      </w:pPr>
    </w:p>
    <w:p w14:paraId="71FC9243" w14:textId="77777777" w:rsidR="007A20A5" w:rsidRPr="003E6C19" w:rsidRDefault="007A20A5" w:rsidP="007A20A5">
      <w:pPr>
        <w:rPr>
          <w:rFonts w:ascii="Times New Roman" w:hAnsi="Times New Roman" w:cs="Times New Roman"/>
        </w:rPr>
      </w:pPr>
      <w:r w:rsidRPr="003E6C19">
        <w:rPr>
          <w:rFonts w:ascii="Times New Roman" w:hAnsi="Times New Roman" w:cs="Times New Roman"/>
        </w:rPr>
        <w:t> </w:t>
      </w:r>
    </w:p>
    <w:p w14:paraId="018400FD" w14:textId="77777777" w:rsidR="007A20A5" w:rsidRPr="003E6C19" w:rsidRDefault="007A20A5" w:rsidP="007A20A5">
      <w:pPr>
        <w:rPr>
          <w:rFonts w:ascii="Times New Roman" w:hAnsi="Times New Roman" w:cs="Times New Roman"/>
        </w:rPr>
      </w:pPr>
    </w:p>
    <w:p w14:paraId="4026AC12" w14:textId="77777777" w:rsidR="007A20A5" w:rsidRPr="003E6C19" w:rsidRDefault="007A20A5" w:rsidP="007A20A5">
      <w:pPr>
        <w:rPr>
          <w:rFonts w:ascii="Times New Roman" w:hAnsi="Times New Roman" w:cs="Times New Roman"/>
        </w:rPr>
      </w:pPr>
    </w:p>
    <w:p w14:paraId="26A4174B" w14:textId="77777777" w:rsidR="007A20A5" w:rsidRPr="003E6C19" w:rsidRDefault="007A20A5" w:rsidP="007A20A5">
      <w:pPr>
        <w:rPr>
          <w:rFonts w:ascii="Times New Roman" w:hAnsi="Times New Roman" w:cs="Times New Roman"/>
        </w:rPr>
      </w:pPr>
    </w:p>
    <w:p w14:paraId="001E54A4" w14:textId="77777777" w:rsidR="007A20A5" w:rsidRPr="003E6C19" w:rsidRDefault="007A20A5" w:rsidP="007A20A5">
      <w:pPr>
        <w:rPr>
          <w:rFonts w:ascii="Times New Roman" w:hAnsi="Times New Roman" w:cs="Times New Roman"/>
        </w:rPr>
      </w:pPr>
    </w:p>
    <w:p w14:paraId="26A1DA7E" w14:textId="77777777" w:rsidR="007A20A5" w:rsidRPr="003E6C19" w:rsidRDefault="007A20A5" w:rsidP="007A20A5">
      <w:pPr>
        <w:rPr>
          <w:rFonts w:ascii="Times New Roman" w:hAnsi="Times New Roman" w:cs="Times New Roman"/>
        </w:rPr>
      </w:pPr>
    </w:p>
    <w:p w14:paraId="2A47CF1F" w14:textId="77777777" w:rsidR="007A20A5" w:rsidRPr="003E6C19" w:rsidRDefault="007A20A5" w:rsidP="007A20A5">
      <w:pPr>
        <w:rPr>
          <w:rFonts w:ascii="Times New Roman" w:hAnsi="Times New Roman" w:cs="Times New Roman"/>
        </w:rPr>
      </w:pPr>
    </w:p>
    <w:p w14:paraId="1FE194BB" w14:textId="77777777" w:rsidR="007A20A5" w:rsidRPr="003E6C19" w:rsidRDefault="007A20A5" w:rsidP="007A20A5">
      <w:pPr>
        <w:rPr>
          <w:rFonts w:ascii="Times New Roman" w:hAnsi="Times New Roman" w:cs="Times New Roman"/>
        </w:rPr>
      </w:pPr>
    </w:p>
    <w:p w14:paraId="2C1393D0" w14:textId="77777777" w:rsidR="007A20A5" w:rsidRPr="003E6C19" w:rsidRDefault="007A20A5" w:rsidP="007A20A5">
      <w:pPr>
        <w:rPr>
          <w:rFonts w:ascii="Times New Roman" w:hAnsi="Times New Roman" w:cs="Times New Roman"/>
        </w:rPr>
      </w:pPr>
      <w:r w:rsidRPr="003E6C19">
        <w:rPr>
          <w:rFonts w:ascii="Times New Roman" w:hAnsi="Times New Roman" w:cs="Times New Roman"/>
        </w:rPr>
        <w:lastRenderedPageBreak/>
        <w:t> </w:t>
      </w:r>
      <w:r w:rsidRPr="003E6C19">
        <w:rPr>
          <w:rFonts w:ascii="Times New Roman" w:hAnsi="Times New Roman" w:cs="Times New Roman"/>
          <w:noProof/>
        </w:rPr>
        <w:drawing>
          <wp:inline distT="0" distB="0" distL="0" distR="0" wp14:anchorId="0A4DE67E" wp14:editId="6990178F">
            <wp:extent cx="4203865" cy="2408689"/>
            <wp:effectExtent l="0" t="0" r="0" b="0"/>
            <wp:docPr id="13" name="Picture 1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16790" cy="2416094"/>
                    </a:xfrm>
                    <a:prstGeom prst="rect">
                      <a:avLst/>
                    </a:prstGeom>
                    <a:noFill/>
                    <a:ln>
                      <a:noFill/>
                    </a:ln>
                  </pic:spPr>
                </pic:pic>
              </a:graphicData>
            </a:graphic>
          </wp:inline>
        </w:drawing>
      </w:r>
    </w:p>
    <w:p w14:paraId="061A7027" w14:textId="77777777" w:rsidR="007A20A5" w:rsidRPr="003E6C19" w:rsidRDefault="007A20A5" w:rsidP="007A20A5">
      <w:pPr>
        <w:rPr>
          <w:rFonts w:ascii="Times New Roman" w:hAnsi="Times New Roman" w:cs="Times New Roman"/>
          <w:b/>
          <w:bCs/>
        </w:rPr>
      </w:pPr>
      <w:r w:rsidRPr="003E6C19">
        <w:rPr>
          <w:rFonts w:ascii="Times New Roman" w:hAnsi="Times New Roman" w:cs="Times New Roman"/>
          <w:b/>
          <w:bCs/>
        </w:rPr>
        <w:t>Supplementary Figure 7: Autoregulated induction of the </w:t>
      </w:r>
      <w:r w:rsidRPr="003E6C19">
        <w:rPr>
          <w:rFonts w:ascii="Times New Roman" w:hAnsi="Times New Roman" w:cs="Times New Roman"/>
          <w:b/>
          <w:bCs/>
          <w:i/>
          <w:iCs/>
        </w:rPr>
        <w:t>Tardbp</w:t>
      </w:r>
      <w:r w:rsidRPr="003E6C19">
        <w:rPr>
          <w:rFonts w:ascii="Times New Roman" w:hAnsi="Times New Roman" w:cs="Times New Roman"/>
          <w:b/>
          <w:bCs/>
        </w:rPr>
        <w:t> transcript in  TDP-43</w:t>
      </w:r>
      <w:r w:rsidRPr="003E6C19">
        <w:rPr>
          <w:rFonts w:ascii="Times New Roman" w:hAnsi="Times New Roman" w:cs="Times New Roman"/>
          <w:b/>
          <w:bCs/>
          <w:vertAlign w:val="superscript"/>
        </w:rPr>
        <w:t>KQ/KQ</w:t>
      </w:r>
      <w:r w:rsidRPr="003E6C19">
        <w:rPr>
          <w:rFonts w:ascii="Times New Roman" w:hAnsi="Times New Roman" w:cs="Times New Roman"/>
          <w:b/>
          <w:bCs/>
        </w:rPr>
        <w:t> brain at 12- and 18-months of age</w:t>
      </w:r>
    </w:p>
    <w:p w14:paraId="3F4D36A0" w14:textId="77777777" w:rsidR="007A20A5" w:rsidRPr="003E6C19" w:rsidRDefault="007A20A5" w:rsidP="007A20A5">
      <w:pPr>
        <w:rPr>
          <w:rFonts w:ascii="Times New Roman" w:hAnsi="Times New Roman" w:cs="Times New Roman"/>
        </w:rPr>
      </w:pPr>
      <w:r w:rsidRPr="003E6C19">
        <w:rPr>
          <w:rFonts w:ascii="Times New Roman" w:hAnsi="Times New Roman" w:cs="Times New Roman"/>
          <w:i/>
          <w:iCs/>
        </w:rPr>
        <w:t>Tardbp</w:t>
      </w:r>
      <w:r w:rsidRPr="003E6C19">
        <w:rPr>
          <w:rFonts w:ascii="Times New Roman" w:hAnsi="Times New Roman" w:cs="Times New Roman"/>
        </w:rPr>
        <w:t xml:space="preserve"> expression was analyzed by qPCR in the hippocampus and neocortex of TDP-43</w:t>
      </w:r>
      <w:r w:rsidRPr="003E6C19">
        <w:rPr>
          <w:rFonts w:ascii="Times New Roman" w:hAnsi="Times New Roman" w:cs="Times New Roman"/>
          <w:vertAlign w:val="superscript"/>
        </w:rPr>
        <w:t>KQ/KQ</w:t>
      </w:r>
      <w:r w:rsidRPr="003E6C19">
        <w:rPr>
          <w:rFonts w:ascii="Times New Roman" w:hAnsi="Times New Roman" w:cs="Times New Roman"/>
        </w:rPr>
        <w:t xml:space="preserve"> animals at 12- and 18-months-old. Relative expression (RQ) values in each sample were determined using the Plaff method and </w:t>
      </w:r>
      <w:r w:rsidRPr="003E6C19">
        <w:rPr>
          <w:rFonts w:ascii="Times New Roman" w:hAnsi="Times New Roman" w:cs="Times New Roman"/>
          <w:i/>
          <w:iCs/>
        </w:rPr>
        <w:t>B-actin</w:t>
      </w:r>
      <w:r w:rsidRPr="003E6C19">
        <w:rPr>
          <w:rFonts w:ascii="Times New Roman" w:hAnsi="Times New Roman" w:cs="Times New Roman"/>
        </w:rPr>
        <w:t xml:space="preserve"> and </w:t>
      </w:r>
      <w:r w:rsidRPr="003E6C19">
        <w:rPr>
          <w:rFonts w:ascii="Times New Roman" w:hAnsi="Times New Roman" w:cs="Times New Roman"/>
          <w:i/>
          <w:iCs/>
        </w:rPr>
        <w:t>Pgk1</w:t>
      </w:r>
      <w:r w:rsidRPr="003E6C19">
        <w:rPr>
          <w:rFonts w:ascii="Times New Roman" w:hAnsi="Times New Roman" w:cs="Times New Roman"/>
        </w:rPr>
        <w:t xml:space="preserve"> as housekeeping genes. Data are presented as mean ± SD. Two-way ANOVA followed by Šídák's multiple comparisons test. *p&lt;0.05, **p&lt;0.01, ***p&lt;0.001, ****p&lt;0.0001.</w:t>
      </w:r>
    </w:p>
    <w:p w14:paraId="10356348" w14:textId="77777777" w:rsidR="007A20A5" w:rsidRPr="003E6C19" w:rsidRDefault="007A20A5" w:rsidP="007A20A5">
      <w:pPr>
        <w:rPr>
          <w:rFonts w:ascii="Times New Roman" w:hAnsi="Times New Roman" w:cs="Times New Roman"/>
        </w:rPr>
      </w:pPr>
    </w:p>
    <w:p w14:paraId="6B2E7BBF" w14:textId="77777777" w:rsidR="007A20A5" w:rsidRPr="003E6C19" w:rsidRDefault="007A20A5" w:rsidP="007A20A5">
      <w:pPr>
        <w:rPr>
          <w:rFonts w:ascii="Times New Roman" w:hAnsi="Times New Roman" w:cs="Times New Roman"/>
        </w:rPr>
      </w:pPr>
    </w:p>
    <w:p w14:paraId="714E503C" w14:textId="77777777" w:rsidR="007A20A5" w:rsidRPr="003E6C19" w:rsidRDefault="007A20A5" w:rsidP="007A20A5">
      <w:pPr>
        <w:rPr>
          <w:rFonts w:ascii="Times New Roman" w:hAnsi="Times New Roman" w:cs="Times New Roman"/>
        </w:rPr>
      </w:pPr>
    </w:p>
    <w:p w14:paraId="646905C1" w14:textId="77777777" w:rsidR="007A20A5" w:rsidRPr="003E6C19" w:rsidRDefault="007A20A5" w:rsidP="007A20A5">
      <w:pPr>
        <w:rPr>
          <w:rFonts w:ascii="Times New Roman" w:hAnsi="Times New Roman" w:cs="Times New Roman"/>
        </w:rPr>
      </w:pPr>
    </w:p>
    <w:p w14:paraId="2C0EB5F9" w14:textId="77777777" w:rsidR="007A20A5" w:rsidRPr="003E6C19" w:rsidRDefault="007A20A5" w:rsidP="007A20A5">
      <w:pPr>
        <w:rPr>
          <w:rFonts w:ascii="Times New Roman" w:hAnsi="Times New Roman" w:cs="Times New Roman"/>
        </w:rPr>
      </w:pPr>
    </w:p>
    <w:p w14:paraId="4B67EAC5" w14:textId="77777777" w:rsidR="007A20A5" w:rsidRPr="003E6C19" w:rsidRDefault="007A20A5" w:rsidP="007A20A5">
      <w:pPr>
        <w:rPr>
          <w:rFonts w:ascii="Times New Roman" w:hAnsi="Times New Roman" w:cs="Times New Roman"/>
        </w:rPr>
      </w:pPr>
    </w:p>
    <w:p w14:paraId="6CA6752F" w14:textId="77777777" w:rsidR="007A20A5" w:rsidRPr="003E6C19" w:rsidRDefault="007A20A5" w:rsidP="007A20A5">
      <w:pPr>
        <w:rPr>
          <w:rFonts w:ascii="Times New Roman" w:hAnsi="Times New Roman" w:cs="Times New Roman"/>
        </w:rPr>
      </w:pPr>
      <w:r w:rsidRPr="003E6C19">
        <w:rPr>
          <w:rFonts w:ascii="Times New Roman" w:hAnsi="Times New Roman" w:cs="Times New Roman"/>
          <w:noProof/>
        </w:rPr>
        <w:lastRenderedPageBreak/>
        <w:drawing>
          <wp:inline distT="0" distB="0" distL="0" distR="0" wp14:anchorId="57E4B418" wp14:editId="7BDDF32D">
            <wp:extent cx="5054600" cy="3790950"/>
            <wp:effectExtent l="0" t="0" r="0" b="0"/>
            <wp:docPr id="891723652" name="Picture 89172365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723652" name="Picture 891723652" descr="Chart,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54600" cy="3790950"/>
                    </a:xfrm>
                    <a:prstGeom prst="rect">
                      <a:avLst/>
                    </a:prstGeom>
                  </pic:spPr>
                </pic:pic>
              </a:graphicData>
            </a:graphic>
          </wp:inline>
        </w:drawing>
      </w:r>
    </w:p>
    <w:p w14:paraId="48EA8250" w14:textId="77777777" w:rsidR="007A20A5" w:rsidRPr="003E6C19" w:rsidRDefault="007A20A5" w:rsidP="007A20A5">
      <w:pPr>
        <w:rPr>
          <w:rFonts w:ascii="Times New Roman" w:hAnsi="Times New Roman" w:cs="Times New Roman"/>
          <w:b/>
          <w:bCs/>
        </w:rPr>
      </w:pPr>
      <w:r w:rsidRPr="003E6C19">
        <w:rPr>
          <w:rFonts w:ascii="Times New Roman" w:hAnsi="Times New Roman" w:cs="Times New Roman"/>
          <w:b/>
          <w:bCs/>
        </w:rPr>
        <w:t xml:space="preserve">Supplementary Figure 8: Significant correlation between differentially expressed genes (DEGs) in the neocortex and hippocampus of </w:t>
      </w:r>
      <w:r w:rsidRPr="003E6C19">
        <w:rPr>
          <w:rFonts w:ascii="Times New Roman" w:hAnsi="Times New Roman" w:cs="Times New Roman"/>
        </w:rPr>
        <w:t>TDP-43</w:t>
      </w:r>
      <w:r w:rsidRPr="003E6C19">
        <w:rPr>
          <w:rFonts w:ascii="Times New Roman" w:hAnsi="Times New Roman" w:cs="Times New Roman"/>
          <w:vertAlign w:val="superscript"/>
        </w:rPr>
        <w:t xml:space="preserve">KQ/KQ </w:t>
      </w:r>
      <w:r w:rsidRPr="003E6C19">
        <w:rPr>
          <w:rFonts w:ascii="Times New Roman" w:hAnsi="Times New Roman" w:cs="Times New Roman"/>
        </w:rPr>
        <w:t>mice</w:t>
      </w:r>
    </w:p>
    <w:p w14:paraId="679602D0" w14:textId="77777777" w:rsidR="007A20A5" w:rsidRPr="003E6C19" w:rsidRDefault="007A20A5" w:rsidP="007A20A5">
      <w:pPr>
        <w:rPr>
          <w:rFonts w:ascii="Times New Roman" w:hAnsi="Times New Roman" w:cs="Times New Roman"/>
        </w:rPr>
      </w:pPr>
      <w:r w:rsidRPr="003E6C19">
        <w:rPr>
          <w:rFonts w:ascii="Times New Roman" w:hAnsi="Times New Roman" w:cs="Times New Roman"/>
        </w:rPr>
        <w:t>Scatterplot and smoothed linear model relating the log2 fold-change of differentially expressed genes (DEGs) in the hippocampus and neocortex of TDP-43</w:t>
      </w:r>
      <w:r w:rsidRPr="003E6C19">
        <w:rPr>
          <w:rFonts w:ascii="Times New Roman" w:hAnsi="Times New Roman" w:cs="Times New Roman"/>
          <w:vertAlign w:val="superscript"/>
        </w:rPr>
        <w:t xml:space="preserve">KQ/KQ </w:t>
      </w:r>
      <w:r w:rsidRPr="003E6C19">
        <w:rPr>
          <w:rFonts w:ascii="Times New Roman" w:hAnsi="Times New Roman" w:cs="Times New Roman"/>
        </w:rPr>
        <w:t>(TDP43-KQ) compared to TDP-43</w:t>
      </w:r>
      <w:r w:rsidRPr="003E6C19">
        <w:rPr>
          <w:rFonts w:ascii="Times New Roman" w:hAnsi="Times New Roman" w:cs="Times New Roman"/>
          <w:vertAlign w:val="superscript"/>
        </w:rPr>
        <w:t>WT</w:t>
      </w:r>
      <w:r w:rsidRPr="003E6C19">
        <w:rPr>
          <w:rFonts w:ascii="Times New Roman" w:hAnsi="Times New Roman" w:cs="Times New Roman"/>
        </w:rPr>
        <w:t xml:space="preserve"> (TDP43-WT) mice at 18-months-old. DEGs that are only significant in the hippocampus are colored in blue, DEGs that are significant only in the neocortex are colored in green, and DEGs significant in both tissues are colored in pink. Log2 fold-changes were moderately correlated (Pearson correlation coefficient R=0.61) and the relationship was statistically significant (p&lt;0.0001).</w:t>
      </w:r>
    </w:p>
    <w:p w14:paraId="00F6D7E8" w14:textId="77777777" w:rsidR="007A20A5" w:rsidRDefault="007A20A5">
      <w:bookmarkStart w:id="1" w:name="_GoBack"/>
      <w:bookmarkEnd w:id="1"/>
    </w:p>
    <w:sectPr w:rsidR="007A20A5" w:rsidSect="00E659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0A5"/>
    <w:rsid w:val="007A20A5"/>
    <w:rsid w:val="00E65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C9862"/>
  <w15:chartTrackingRefBased/>
  <w15:docId w15:val="{EF54A8C6-94DE-9348-B365-C21876759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20A5"/>
    <w:pPr>
      <w:spacing w:after="160" w:line="259"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A20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A20A5"/>
  </w:style>
  <w:style w:type="character" w:customStyle="1" w:styleId="eop">
    <w:name w:val="eop"/>
    <w:basedOn w:val="DefaultParagraphFont"/>
    <w:rsid w:val="007A20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995</Words>
  <Characters>5755</Characters>
  <Application>Microsoft Office Word</Application>
  <DocSecurity>0</DocSecurity>
  <Lines>140</Lines>
  <Paragraphs>80</Paragraphs>
  <ScaleCrop>false</ScaleCrop>
  <Company/>
  <LinksUpToDate>false</LinksUpToDate>
  <CharactersWithSpaces>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2022-11-01T16:34:00Z</dcterms:created>
  <dcterms:modified xsi:type="dcterms:W3CDTF">2022-11-01T16:34:00Z</dcterms:modified>
</cp:coreProperties>
</file>