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CB24F" w14:textId="39012390" w:rsidR="00750348" w:rsidRDefault="001517EE" w:rsidP="00750348">
      <w:r>
        <w:rPr>
          <w:noProof/>
        </w:rPr>
        <w:drawing>
          <wp:inline distT="0" distB="0" distL="0" distR="0" wp14:anchorId="68E0978C" wp14:editId="7F48AFC3">
            <wp:extent cx="5166360" cy="8613140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6360" cy="861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16E06" w14:textId="77777777" w:rsidR="00750348" w:rsidRPr="00A4510E" w:rsidRDefault="00750348" w:rsidP="00750348">
      <w:pPr>
        <w:rPr>
          <w:szCs w:val="24"/>
        </w:rPr>
      </w:pPr>
      <w:r w:rsidRPr="00A4510E">
        <w:rPr>
          <w:b/>
          <w:bCs/>
          <w:szCs w:val="24"/>
        </w:rPr>
        <w:lastRenderedPageBreak/>
        <w:t>Supplementary Figure</w:t>
      </w:r>
      <w:r>
        <w:rPr>
          <w:b/>
          <w:bCs/>
          <w:szCs w:val="24"/>
        </w:rPr>
        <w:t xml:space="preserve"> 1</w:t>
      </w:r>
      <w:r w:rsidRPr="00A4510E">
        <w:rPr>
          <w:szCs w:val="24"/>
        </w:rPr>
        <w:t xml:space="preserve"> </w:t>
      </w:r>
      <w:r w:rsidRPr="00A4510E">
        <w:rPr>
          <w:b/>
          <w:bCs/>
          <w:szCs w:val="24"/>
        </w:rPr>
        <w:t>(A-F)</w:t>
      </w:r>
      <w:r w:rsidRPr="00A4510E">
        <w:rPr>
          <w:szCs w:val="24"/>
        </w:rPr>
        <w:t xml:space="preserve"> </w:t>
      </w:r>
      <w:r w:rsidRPr="00CC5B6D">
        <w:rPr>
          <w:b/>
          <w:bCs/>
          <w:szCs w:val="24"/>
        </w:rPr>
        <w:t>The reliability of the risk score was verified in CGGA-325 cohorts.</w:t>
      </w:r>
      <w:r w:rsidRPr="00A4510E">
        <w:rPr>
          <w:rFonts w:hint="eastAsia"/>
          <w:szCs w:val="24"/>
        </w:rPr>
        <w:t xml:space="preserve"> </w:t>
      </w:r>
      <w:r w:rsidRPr="00A4510E">
        <w:rPr>
          <w:b/>
          <w:bCs/>
          <w:szCs w:val="24"/>
        </w:rPr>
        <w:t xml:space="preserve">(A) </w:t>
      </w:r>
      <w:r w:rsidRPr="00A4510E">
        <w:rPr>
          <w:szCs w:val="24"/>
        </w:rPr>
        <w:t xml:space="preserve">The risk score increased with WHO grade </w:t>
      </w:r>
      <w:r>
        <w:rPr>
          <w:szCs w:val="24"/>
        </w:rPr>
        <w:t>in</w:t>
      </w:r>
      <w:r w:rsidRPr="00A4510E">
        <w:rPr>
          <w:szCs w:val="24"/>
        </w:rPr>
        <w:t xml:space="preserve"> glioma patients.</w:t>
      </w:r>
      <w:r w:rsidRPr="00A4510E">
        <w:rPr>
          <w:rFonts w:hint="eastAsia"/>
          <w:szCs w:val="24"/>
        </w:rPr>
        <w:t xml:space="preserve"> </w:t>
      </w:r>
      <w:r w:rsidRPr="00A4510E">
        <w:rPr>
          <w:rFonts w:hint="eastAsia"/>
          <w:b/>
          <w:bCs/>
          <w:szCs w:val="24"/>
        </w:rPr>
        <w:t>(</w:t>
      </w:r>
      <w:r>
        <w:rPr>
          <w:b/>
          <w:bCs/>
          <w:szCs w:val="24"/>
        </w:rPr>
        <w:t>B</w:t>
      </w:r>
      <w:r w:rsidRPr="00A4510E">
        <w:rPr>
          <w:b/>
          <w:bCs/>
          <w:szCs w:val="24"/>
        </w:rPr>
        <w:t>)</w:t>
      </w:r>
      <w:r w:rsidRPr="00A4510E">
        <w:rPr>
          <w:szCs w:val="24"/>
        </w:rPr>
        <w:t xml:space="preserve"> </w:t>
      </w:r>
      <w:r>
        <w:rPr>
          <w:szCs w:val="24"/>
        </w:rPr>
        <w:t>The risk score was higher in IDH wide-type group than in the mutant group.</w:t>
      </w:r>
      <w:r>
        <w:rPr>
          <w:rFonts w:hint="eastAsia"/>
          <w:szCs w:val="24"/>
          <w:lang w:eastAsia="zh-CN"/>
        </w:rPr>
        <w:t xml:space="preserve"> </w:t>
      </w:r>
      <w:r w:rsidRPr="00A4510E">
        <w:rPr>
          <w:rFonts w:hint="eastAsia"/>
          <w:b/>
          <w:bCs/>
          <w:szCs w:val="24"/>
        </w:rPr>
        <w:t>(C</w:t>
      </w:r>
      <w:r w:rsidRPr="00A4510E">
        <w:rPr>
          <w:b/>
          <w:bCs/>
          <w:szCs w:val="24"/>
        </w:rPr>
        <w:t>)</w:t>
      </w:r>
      <w:r w:rsidRPr="00A4510E">
        <w:rPr>
          <w:szCs w:val="24"/>
        </w:rPr>
        <w:t xml:space="preserve"> Patients were divided into high-risk and low-risk groups based on the median risk score as the cutoff value.</w:t>
      </w:r>
      <w:r w:rsidRPr="00A4510E">
        <w:rPr>
          <w:rFonts w:hint="eastAsia"/>
          <w:szCs w:val="24"/>
        </w:rPr>
        <w:t xml:space="preserve"> </w:t>
      </w:r>
      <w:r w:rsidRPr="00A4510E">
        <w:rPr>
          <w:rFonts w:hint="eastAsia"/>
          <w:b/>
          <w:bCs/>
          <w:szCs w:val="24"/>
        </w:rPr>
        <w:t>(</w:t>
      </w:r>
      <w:r w:rsidRPr="00A4510E">
        <w:rPr>
          <w:b/>
          <w:bCs/>
          <w:szCs w:val="24"/>
        </w:rPr>
        <w:t>D)</w:t>
      </w:r>
      <w:r w:rsidRPr="00A4510E">
        <w:rPr>
          <w:szCs w:val="24"/>
        </w:rPr>
        <w:t xml:space="preserve"> Patients with dead state had higher risk scores.</w:t>
      </w:r>
      <w:r w:rsidRPr="00A4510E">
        <w:rPr>
          <w:rFonts w:hint="eastAsia"/>
          <w:szCs w:val="24"/>
        </w:rPr>
        <w:t xml:space="preserve"> </w:t>
      </w:r>
      <w:r w:rsidRPr="00A4510E">
        <w:rPr>
          <w:b/>
          <w:bCs/>
          <w:szCs w:val="24"/>
        </w:rPr>
        <w:t>(E)</w:t>
      </w:r>
      <w:r w:rsidRPr="00A4510E">
        <w:rPr>
          <w:szCs w:val="24"/>
        </w:rPr>
        <w:t xml:space="preserve"> Kaplan–Meier survival curves show that the survival time of high-risk patients was significantly shorter than that of low-risk patients.</w:t>
      </w:r>
      <w:r w:rsidRPr="00A4510E">
        <w:rPr>
          <w:b/>
          <w:bCs/>
          <w:szCs w:val="24"/>
        </w:rPr>
        <w:t xml:space="preserve"> </w:t>
      </w:r>
      <w:r w:rsidRPr="00A4510E">
        <w:rPr>
          <w:rFonts w:hint="eastAsia"/>
          <w:b/>
          <w:bCs/>
          <w:szCs w:val="24"/>
        </w:rPr>
        <w:t>(</w:t>
      </w:r>
      <w:r w:rsidRPr="00A4510E">
        <w:rPr>
          <w:b/>
          <w:bCs/>
          <w:szCs w:val="24"/>
        </w:rPr>
        <w:t>F)</w:t>
      </w:r>
      <w:r w:rsidRPr="00A4510E">
        <w:rPr>
          <w:szCs w:val="24"/>
        </w:rPr>
        <w:t xml:space="preserve"> The ROC curves and AUC of risk score cohort suggested a favorable predictive value of this model in short- and long-term follow-up. </w:t>
      </w:r>
    </w:p>
    <w:p w14:paraId="24169042" w14:textId="77777777" w:rsidR="00750348" w:rsidRPr="00A4510E" w:rsidRDefault="00750348" w:rsidP="00750348">
      <w:pPr>
        <w:rPr>
          <w:szCs w:val="24"/>
        </w:rPr>
      </w:pPr>
      <w:r w:rsidRPr="00A4510E">
        <w:rPr>
          <w:b/>
          <w:bCs/>
          <w:szCs w:val="24"/>
        </w:rPr>
        <w:t>(G-L)</w:t>
      </w:r>
      <w:r w:rsidRPr="00A4510E">
        <w:rPr>
          <w:szCs w:val="24"/>
        </w:rPr>
        <w:t xml:space="preserve"> </w:t>
      </w:r>
      <w:r w:rsidRPr="00CC5B6D">
        <w:rPr>
          <w:b/>
          <w:bCs/>
          <w:szCs w:val="24"/>
        </w:rPr>
        <w:t>The reliability of the risk score was verified in CGGA-693 cohorts.</w:t>
      </w:r>
      <w:r w:rsidRPr="00A4510E">
        <w:rPr>
          <w:rFonts w:hint="eastAsia"/>
          <w:szCs w:val="24"/>
        </w:rPr>
        <w:t xml:space="preserve"> </w:t>
      </w:r>
      <w:r w:rsidRPr="00A4510E">
        <w:rPr>
          <w:b/>
          <w:bCs/>
          <w:szCs w:val="24"/>
        </w:rPr>
        <w:t>(G)</w:t>
      </w:r>
      <w:r w:rsidRPr="00A4510E">
        <w:rPr>
          <w:szCs w:val="24"/>
        </w:rPr>
        <w:t xml:space="preserve">The risk score increased with WHO grade </w:t>
      </w:r>
      <w:r>
        <w:rPr>
          <w:szCs w:val="24"/>
        </w:rPr>
        <w:t>in</w:t>
      </w:r>
      <w:r w:rsidRPr="00A4510E">
        <w:rPr>
          <w:szCs w:val="24"/>
        </w:rPr>
        <w:t xml:space="preserve"> glioma patients.</w:t>
      </w:r>
      <w:r w:rsidRPr="00A4510E">
        <w:rPr>
          <w:rFonts w:hint="eastAsia"/>
          <w:b/>
          <w:bCs/>
          <w:szCs w:val="24"/>
        </w:rPr>
        <w:t xml:space="preserve"> </w:t>
      </w:r>
      <w:r w:rsidRPr="00A4510E">
        <w:rPr>
          <w:b/>
          <w:bCs/>
          <w:szCs w:val="24"/>
        </w:rPr>
        <w:t>(</w:t>
      </w:r>
      <w:r>
        <w:rPr>
          <w:b/>
          <w:bCs/>
          <w:szCs w:val="24"/>
        </w:rPr>
        <w:t>H</w:t>
      </w:r>
      <w:r w:rsidRPr="00A4510E">
        <w:rPr>
          <w:b/>
          <w:bCs/>
          <w:szCs w:val="24"/>
        </w:rPr>
        <w:t>)</w:t>
      </w:r>
      <w:r>
        <w:rPr>
          <w:szCs w:val="24"/>
        </w:rPr>
        <w:t>The risk score was higher in IDH wide-type group than in the mutant group.</w:t>
      </w:r>
      <w:r>
        <w:rPr>
          <w:rFonts w:hint="eastAsia"/>
          <w:szCs w:val="24"/>
          <w:lang w:eastAsia="zh-CN"/>
        </w:rPr>
        <w:t xml:space="preserve"> </w:t>
      </w:r>
      <w:r w:rsidRPr="00A4510E">
        <w:rPr>
          <w:rFonts w:hint="eastAsia"/>
          <w:b/>
          <w:bCs/>
          <w:szCs w:val="24"/>
        </w:rPr>
        <w:t>(</w:t>
      </w:r>
      <w:r w:rsidRPr="00A4510E">
        <w:rPr>
          <w:b/>
          <w:bCs/>
          <w:szCs w:val="24"/>
        </w:rPr>
        <w:t>I)</w:t>
      </w:r>
      <w:r w:rsidRPr="00A4510E">
        <w:rPr>
          <w:szCs w:val="24"/>
        </w:rPr>
        <w:t xml:space="preserve"> Patients were divided into high-risk and low-risk groups based on the median risk score as the cutoff value.</w:t>
      </w:r>
      <w:r w:rsidRPr="00A4510E">
        <w:rPr>
          <w:rFonts w:hint="eastAsia"/>
          <w:szCs w:val="24"/>
        </w:rPr>
        <w:t xml:space="preserve"> </w:t>
      </w:r>
      <w:r w:rsidRPr="00A4510E">
        <w:rPr>
          <w:rFonts w:hint="eastAsia"/>
          <w:b/>
          <w:bCs/>
          <w:szCs w:val="24"/>
        </w:rPr>
        <w:t>(</w:t>
      </w:r>
      <w:r w:rsidRPr="00A4510E">
        <w:rPr>
          <w:b/>
          <w:bCs/>
          <w:szCs w:val="24"/>
        </w:rPr>
        <w:t>J)</w:t>
      </w:r>
      <w:r w:rsidRPr="00A4510E">
        <w:rPr>
          <w:szCs w:val="24"/>
        </w:rPr>
        <w:t xml:space="preserve"> Patients with dead state had higher risk scores.</w:t>
      </w:r>
      <w:r w:rsidRPr="00A4510E">
        <w:rPr>
          <w:rFonts w:hint="eastAsia"/>
          <w:szCs w:val="24"/>
        </w:rPr>
        <w:t xml:space="preserve"> </w:t>
      </w:r>
      <w:r w:rsidRPr="00A4510E">
        <w:rPr>
          <w:b/>
          <w:bCs/>
          <w:szCs w:val="24"/>
        </w:rPr>
        <w:t>(K)</w:t>
      </w:r>
      <w:r w:rsidRPr="00A4510E">
        <w:rPr>
          <w:szCs w:val="24"/>
        </w:rPr>
        <w:t xml:space="preserve"> Kaplan–Meier survival curves show that the survival time of high-risk patients was significantly shorter than that of low-risk patients. </w:t>
      </w:r>
      <w:r w:rsidRPr="00A4510E">
        <w:rPr>
          <w:rFonts w:hint="eastAsia"/>
          <w:b/>
          <w:bCs/>
          <w:szCs w:val="24"/>
        </w:rPr>
        <w:t>(</w:t>
      </w:r>
      <w:r w:rsidRPr="00A4510E">
        <w:rPr>
          <w:b/>
          <w:bCs/>
          <w:szCs w:val="24"/>
        </w:rPr>
        <w:t>L)</w:t>
      </w:r>
      <w:r w:rsidRPr="00A4510E">
        <w:rPr>
          <w:szCs w:val="24"/>
        </w:rPr>
        <w:t xml:space="preserve"> The ROC curves and AUC of risk score cohort suggested a favorable predictive value of this model in short- and long-term follow-up. </w:t>
      </w:r>
    </w:p>
    <w:p w14:paraId="10A8F0AC" w14:textId="77777777" w:rsidR="00750348" w:rsidRDefault="00750348" w:rsidP="00750348">
      <w:pPr>
        <w:rPr>
          <w:szCs w:val="24"/>
        </w:rPr>
      </w:pPr>
      <w:r w:rsidRPr="00A4510E">
        <w:rPr>
          <w:b/>
          <w:bCs/>
          <w:szCs w:val="24"/>
        </w:rPr>
        <w:t>(M-Q)</w:t>
      </w:r>
      <w:r w:rsidRPr="00A4510E">
        <w:rPr>
          <w:szCs w:val="24"/>
        </w:rPr>
        <w:t xml:space="preserve"> </w:t>
      </w:r>
      <w:r w:rsidRPr="00CC5B6D">
        <w:rPr>
          <w:b/>
          <w:bCs/>
          <w:szCs w:val="24"/>
        </w:rPr>
        <w:t>The reliability of the risk score was verified in Rembrandt cohorts.</w:t>
      </w:r>
      <w:r w:rsidRPr="00A4510E">
        <w:rPr>
          <w:rFonts w:hint="eastAsia"/>
          <w:szCs w:val="24"/>
        </w:rPr>
        <w:t xml:space="preserve"> (</w:t>
      </w:r>
      <w:r w:rsidRPr="00A4510E">
        <w:rPr>
          <w:szCs w:val="24"/>
        </w:rPr>
        <w:t xml:space="preserve">M) The risk score increased with WHO grade </w:t>
      </w:r>
      <w:r>
        <w:rPr>
          <w:szCs w:val="24"/>
        </w:rPr>
        <w:t>in</w:t>
      </w:r>
      <w:r w:rsidRPr="00A4510E">
        <w:rPr>
          <w:szCs w:val="24"/>
        </w:rPr>
        <w:t xml:space="preserve"> glioma</w:t>
      </w:r>
      <w:r>
        <w:rPr>
          <w:szCs w:val="24"/>
        </w:rPr>
        <w:t xml:space="preserve"> patients</w:t>
      </w:r>
      <w:r w:rsidRPr="00A4510E">
        <w:rPr>
          <w:szCs w:val="24"/>
        </w:rPr>
        <w:t>.</w:t>
      </w:r>
      <w:r w:rsidRPr="00A4510E">
        <w:rPr>
          <w:rFonts w:hint="eastAsia"/>
          <w:szCs w:val="24"/>
        </w:rPr>
        <w:t xml:space="preserve"> </w:t>
      </w:r>
      <w:r w:rsidRPr="00A4510E">
        <w:rPr>
          <w:rFonts w:hint="eastAsia"/>
          <w:b/>
          <w:bCs/>
          <w:szCs w:val="24"/>
        </w:rPr>
        <w:t>(</w:t>
      </w:r>
      <w:r w:rsidRPr="00A4510E">
        <w:rPr>
          <w:b/>
          <w:bCs/>
          <w:szCs w:val="24"/>
        </w:rPr>
        <w:t>N)</w:t>
      </w:r>
      <w:r w:rsidRPr="00A4510E">
        <w:rPr>
          <w:szCs w:val="24"/>
        </w:rPr>
        <w:t xml:space="preserve"> Patients were divided into high-risk and low-risk groups based on the median risk score as the cutoff value.</w:t>
      </w:r>
      <w:r w:rsidRPr="00A4510E">
        <w:rPr>
          <w:rFonts w:hint="eastAsia"/>
          <w:szCs w:val="24"/>
        </w:rPr>
        <w:t xml:space="preserve"> </w:t>
      </w:r>
      <w:r w:rsidRPr="00A4510E">
        <w:rPr>
          <w:rFonts w:hint="eastAsia"/>
          <w:b/>
          <w:bCs/>
          <w:szCs w:val="24"/>
        </w:rPr>
        <w:t>(</w:t>
      </w:r>
      <w:r w:rsidRPr="00A4510E">
        <w:rPr>
          <w:b/>
          <w:bCs/>
          <w:szCs w:val="24"/>
        </w:rPr>
        <w:t>O)</w:t>
      </w:r>
      <w:r w:rsidRPr="00A4510E">
        <w:rPr>
          <w:szCs w:val="24"/>
        </w:rPr>
        <w:t xml:space="preserve"> Patients with dead state had higher risk scores.</w:t>
      </w:r>
      <w:r w:rsidRPr="00A4510E">
        <w:rPr>
          <w:rFonts w:hint="eastAsia"/>
          <w:szCs w:val="24"/>
        </w:rPr>
        <w:t xml:space="preserve"> </w:t>
      </w:r>
      <w:r w:rsidRPr="00A4510E">
        <w:rPr>
          <w:b/>
          <w:bCs/>
          <w:szCs w:val="24"/>
        </w:rPr>
        <w:t>(P)</w:t>
      </w:r>
      <w:r w:rsidRPr="00A4510E">
        <w:rPr>
          <w:szCs w:val="24"/>
        </w:rPr>
        <w:t xml:space="preserve"> Kaplan–Meier survival curves show that the survival time of high-risk patients was significantly shorter than that of low-risk patients. </w:t>
      </w:r>
      <w:r w:rsidRPr="00A4510E">
        <w:rPr>
          <w:rFonts w:hint="eastAsia"/>
          <w:b/>
          <w:bCs/>
          <w:szCs w:val="24"/>
        </w:rPr>
        <w:t>(</w:t>
      </w:r>
      <w:r w:rsidRPr="00A4510E">
        <w:rPr>
          <w:b/>
          <w:bCs/>
          <w:szCs w:val="24"/>
        </w:rPr>
        <w:t>Q)</w:t>
      </w:r>
      <w:r w:rsidRPr="00A4510E">
        <w:rPr>
          <w:szCs w:val="24"/>
        </w:rPr>
        <w:t xml:space="preserve"> The ROC curves and AUC of risk score cohort suggested a favorable predictive value of this model in short- and long-term follow-up.</w:t>
      </w:r>
    </w:p>
    <w:p w14:paraId="23583696" w14:textId="217F44B0" w:rsidR="00750348" w:rsidRDefault="00750348" w:rsidP="00750348">
      <w:pPr>
        <w:rPr>
          <w:b/>
          <w:bCs/>
          <w:szCs w:val="24"/>
        </w:rPr>
      </w:pPr>
      <w:r w:rsidRPr="00750348">
        <w:rPr>
          <w:b/>
          <w:bCs/>
          <w:szCs w:val="24"/>
        </w:rPr>
        <w:lastRenderedPageBreak/>
        <w:t xml:space="preserve"> </w:t>
      </w:r>
      <w:r w:rsidR="001517EE">
        <w:rPr>
          <w:noProof/>
        </w:rPr>
        <w:drawing>
          <wp:inline distT="0" distB="0" distL="0" distR="0" wp14:anchorId="6DD027B8" wp14:editId="687311D0">
            <wp:extent cx="5166360" cy="861314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6360" cy="861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9BC4E" w14:textId="0A32E2AD" w:rsidR="00750348" w:rsidRPr="00750348" w:rsidRDefault="00750348" w:rsidP="00750348">
      <w:pPr>
        <w:rPr>
          <w:szCs w:val="24"/>
        </w:rPr>
      </w:pPr>
      <w:r w:rsidRPr="00A4510E">
        <w:rPr>
          <w:b/>
          <w:bCs/>
          <w:szCs w:val="24"/>
        </w:rPr>
        <w:lastRenderedPageBreak/>
        <w:t>Supplementary Figure</w:t>
      </w:r>
      <w:r>
        <w:rPr>
          <w:b/>
          <w:bCs/>
          <w:szCs w:val="24"/>
        </w:rPr>
        <w:t xml:space="preserve"> 2 </w:t>
      </w:r>
      <w:r w:rsidRPr="007A47B4">
        <w:rPr>
          <w:b/>
          <w:bCs/>
          <w:szCs w:val="24"/>
        </w:rPr>
        <w:t xml:space="preserve">The ferroptosis-related risk score was associated with </w:t>
      </w:r>
      <w:r>
        <w:rPr>
          <w:b/>
          <w:bCs/>
          <w:szCs w:val="24"/>
        </w:rPr>
        <w:t>immuno-</w:t>
      </w:r>
      <w:r w:rsidRPr="007A47B4">
        <w:rPr>
          <w:b/>
          <w:bCs/>
          <w:szCs w:val="24"/>
        </w:rPr>
        <w:t>suppressi</w:t>
      </w:r>
      <w:r>
        <w:rPr>
          <w:b/>
          <w:bCs/>
          <w:szCs w:val="24"/>
        </w:rPr>
        <w:t>ve</w:t>
      </w:r>
      <w:r w:rsidRPr="007A47B4">
        <w:rPr>
          <w:b/>
          <w:bCs/>
          <w:szCs w:val="24"/>
        </w:rPr>
        <w:t xml:space="preserve"> microenvironment.</w:t>
      </w:r>
      <w:r w:rsidRPr="007A47B4">
        <w:rPr>
          <w:rFonts w:hint="eastAsia"/>
          <w:b/>
          <w:bCs/>
          <w:szCs w:val="24"/>
        </w:rPr>
        <w:t xml:space="preserve"> </w:t>
      </w:r>
      <w:r w:rsidRPr="00CD7324">
        <w:rPr>
          <w:b/>
          <w:bCs/>
          <w:szCs w:val="24"/>
        </w:rPr>
        <w:t>(A-B)</w:t>
      </w:r>
      <w:r w:rsidRPr="008A5F82">
        <w:rPr>
          <w:szCs w:val="24"/>
        </w:rPr>
        <w:t xml:space="preserve"> </w:t>
      </w:r>
      <w:bookmarkStart w:id="0" w:name="_Hlk99398147"/>
      <w:r w:rsidRPr="00B865D5">
        <w:rPr>
          <w:szCs w:val="24"/>
        </w:rPr>
        <w:t xml:space="preserve">GO </w:t>
      </w:r>
      <w:r>
        <w:rPr>
          <w:szCs w:val="24"/>
        </w:rPr>
        <w:t xml:space="preserve">enrichment </w:t>
      </w:r>
      <w:r w:rsidRPr="00B865D5">
        <w:rPr>
          <w:szCs w:val="24"/>
        </w:rPr>
        <w:t>analysis indicated that the risk score was obviously correlated with immune-related biological processes</w:t>
      </w:r>
      <w:r>
        <w:rPr>
          <w:szCs w:val="24"/>
        </w:rPr>
        <w:t xml:space="preserve"> (</w:t>
      </w:r>
      <w:r w:rsidRPr="00C34157">
        <w:rPr>
          <w:b/>
          <w:bCs/>
          <w:szCs w:val="24"/>
        </w:rPr>
        <w:t>A</w:t>
      </w:r>
      <w:r>
        <w:rPr>
          <w:szCs w:val="24"/>
        </w:rPr>
        <w:t xml:space="preserve">, bar plot; </w:t>
      </w:r>
      <w:r w:rsidRPr="00C34157">
        <w:rPr>
          <w:b/>
          <w:bCs/>
          <w:szCs w:val="24"/>
        </w:rPr>
        <w:t>B</w:t>
      </w:r>
      <w:r>
        <w:rPr>
          <w:szCs w:val="24"/>
        </w:rPr>
        <w:t>, pot plot).</w:t>
      </w:r>
      <w:bookmarkEnd w:id="0"/>
      <w:r>
        <w:rPr>
          <w:rFonts w:hint="eastAsia"/>
          <w:szCs w:val="24"/>
          <w:lang w:eastAsia="zh-CN"/>
        </w:rPr>
        <w:t xml:space="preserve"> </w:t>
      </w:r>
      <w:r w:rsidRPr="00CD7324">
        <w:rPr>
          <w:rFonts w:hint="eastAsia"/>
          <w:b/>
          <w:bCs/>
          <w:szCs w:val="24"/>
        </w:rPr>
        <w:t>(</w:t>
      </w:r>
      <w:r>
        <w:rPr>
          <w:b/>
          <w:bCs/>
          <w:szCs w:val="24"/>
        </w:rPr>
        <w:t>C</w:t>
      </w:r>
      <w:r w:rsidRPr="00CD7324">
        <w:rPr>
          <w:b/>
          <w:bCs/>
          <w:szCs w:val="24"/>
        </w:rPr>
        <w:t>)</w:t>
      </w:r>
      <w:r w:rsidRPr="00490441">
        <w:rPr>
          <w:szCs w:val="24"/>
        </w:rPr>
        <w:t xml:space="preserve"> </w:t>
      </w:r>
      <w:r w:rsidRPr="00B865D5">
        <w:rPr>
          <w:szCs w:val="24"/>
        </w:rPr>
        <w:t>CIBERSORT</w:t>
      </w:r>
      <w:r>
        <w:rPr>
          <w:szCs w:val="24"/>
        </w:rPr>
        <w:t xml:space="preserve"> results showed </w:t>
      </w:r>
      <w:r w:rsidRPr="00B865D5">
        <w:rPr>
          <w:szCs w:val="24"/>
        </w:rPr>
        <w:t>patients with high</w:t>
      </w:r>
      <w:r>
        <w:rPr>
          <w:szCs w:val="24"/>
        </w:rPr>
        <w:t>-</w:t>
      </w:r>
      <w:r w:rsidRPr="00B865D5">
        <w:rPr>
          <w:szCs w:val="24"/>
        </w:rPr>
        <w:t>risk score showed significant enrichment of immune-infiltration cells</w:t>
      </w:r>
      <w:r>
        <w:rPr>
          <w:szCs w:val="24"/>
        </w:rPr>
        <w:t>.</w:t>
      </w:r>
      <w:r w:rsidRPr="00CD7324">
        <w:rPr>
          <w:rFonts w:hint="eastAsia"/>
          <w:b/>
          <w:bCs/>
          <w:szCs w:val="24"/>
        </w:rPr>
        <w:t xml:space="preserve"> (</w:t>
      </w:r>
      <w:r>
        <w:rPr>
          <w:b/>
          <w:bCs/>
          <w:szCs w:val="24"/>
        </w:rPr>
        <w:t>D</w:t>
      </w:r>
      <w:r w:rsidRPr="00CD7324">
        <w:rPr>
          <w:b/>
          <w:bCs/>
          <w:szCs w:val="24"/>
        </w:rPr>
        <w:t>-</w:t>
      </w:r>
      <w:r>
        <w:rPr>
          <w:b/>
          <w:bCs/>
          <w:szCs w:val="24"/>
        </w:rPr>
        <w:t>E</w:t>
      </w:r>
      <w:r w:rsidRPr="00CD7324">
        <w:rPr>
          <w:b/>
          <w:bCs/>
          <w:szCs w:val="24"/>
        </w:rPr>
        <w:t>)</w:t>
      </w:r>
      <w:r w:rsidRPr="00490441">
        <w:rPr>
          <w:szCs w:val="24"/>
        </w:rPr>
        <w:t xml:space="preserve"> </w:t>
      </w:r>
      <w:bookmarkStart w:id="1" w:name="_Hlk99398354"/>
      <w:proofErr w:type="spellStart"/>
      <w:r w:rsidRPr="00B865D5">
        <w:rPr>
          <w:szCs w:val="24"/>
        </w:rPr>
        <w:t>ssGSEA</w:t>
      </w:r>
      <w:proofErr w:type="spellEnd"/>
      <w:r w:rsidRPr="00B865D5">
        <w:rPr>
          <w:szCs w:val="24"/>
        </w:rPr>
        <w:t xml:space="preserve"> </w:t>
      </w:r>
      <w:r>
        <w:rPr>
          <w:szCs w:val="24"/>
        </w:rPr>
        <w:t xml:space="preserve">analysis </w:t>
      </w:r>
      <w:r w:rsidRPr="00B865D5">
        <w:rPr>
          <w:szCs w:val="24"/>
        </w:rPr>
        <w:t>showed the immune-cell scores</w:t>
      </w:r>
      <w:r w:rsidRPr="00C34157">
        <w:rPr>
          <w:b/>
          <w:bCs/>
          <w:szCs w:val="24"/>
        </w:rPr>
        <w:t>(</w:t>
      </w:r>
      <w:r>
        <w:rPr>
          <w:b/>
          <w:bCs/>
          <w:szCs w:val="24"/>
        </w:rPr>
        <w:t>D</w:t>
      </w:r>
      <w:r w:rsidRPr="00C34157">
        <w:rPr>
          <w:b/>
          <w:bCs/>
          <w:szCs w:val="24"/>
        </w:rPr>
        <w:t>)</w:t>
      </w:r>
      <w:r w:rsidRPr="00B865D5">
        <w:rPr>
          <w:szCs w:val="24"/>
        </w:rPr>
        <w:t xml:space="preserve"> and immunity-related pathways</w:t>
      </w:r>
      <w:r w:rsidRPr="00C34157">
        <w:rPr>
          <w:b/>
          <w:bCs/>
          <w:szCs w:val="24"/>
        </w:rPr>
        <w:t>(</w:t>
      </w:r>
      <w:r>
        <w:rPr>
          <w:b/>
          <w:bCs/>
          <w:szCs w:val="24"/>
        </w:rPr>
        <w:t>E</w:t>
      </w:r>
      <w:r w:rsidRPr="00C34157">
        <w:rPr>
          <w:b/>
          <w:bCs/>
          <w:szCs w:val="24"/>
        </w:rPr>
        <w:t>)</w:t>
      </w:r>
      <w:r w:rsidRPr="00B865D5">
        <w:rPr>
          <w:szCs w:val="24"/>
        </w:rPr>
        <w:t xml:space="preserve"> in high-risk group were significantly higher than those in the low-risk group</w:t>
      </w:r>
      <w:r>
        <w:rPr>
          <w:szCs w:val="24"/>
        </w:rPr>
        <w:t>.</w:t>
      </w:r>
      <w:bookmarkEnd w:id="1"/>
      <w:r>
        <w:rPr>
          <w:rFonts w:hint="eastAsia"/>
          <w:szCs w:val="24"/>
          <w:lang w:eastAsia="zh-CN"/>
        </w:rPr>
        <w:t xml:space="preserve"> </w:t>
      </w:r>
      <w:r w:rsidRPr="00CD7324">
        <w:rPr>
          <w:rFonts w:hint="eastAsia"/>
          <w:b/>
          <w:bCs/>
          <w:szCs w:val="24"/>
        </w:rPr>
        <w:t>(</w:t>
      </w:r>
      <w:r w:rsidRPr="00CD7324">
        <w:rPr>
          <w:b/>
          <w:bCs/>
          <w:szCs w:val="24"/>
        </w:rPr>
        <w:t>F</w:t>
      </w:r>
      <w:r>
        <w:rPr>
          <w:b/>
          <w:bCs/>
          <w:szCs w:val="24"/>
        </w:rPr>
        <w:t>-H</w:t>
      </w:r>
      <w:r w:rsidRPr="00CD7324">
        <w:rPr>
          <w:b/>
          <w:bCs/>
          <w:szCs w:val="24"/>
        </w:rPr>
        <w:t>)</w:t>
      </w:r>
      <w:r w:rsidRPr="00490441">
        <w:rPr>
          <w:szCs w:val="24"/>
        </w:rPr>
        <w:t xml:space="preserve"> </w:t>
      </w:r>
      <w:r w:rsidRPr="00B865D5">
        <w:rPr>
          <w:szCs w:val="24"/>
        </w:rPr>
        <w:t xml:space="preserve">ESTIMATE </w:t>
      </w:r>
      <w:r>
        <w:rPr>
          <w:szCs w:val="24"/>
        </w:rPr>
        <w:t>results showed that</w:t>
      </w:r>
      <w:r w:rsidRPr="00B865D5">
        <w:rPr>
          <w:szCs w:val="24"/>
        </w:rPr>
        <w:t xml:space="preserve"> patients in the high-risk group had higher immune scores, stromal scores, and lower tumor purity</w:t>
      </w:r>
      <w:r>
        <w:rPr>
          <w:szCs w:val="24"/>
        </w:rPr>
        <w:t>.</w:t>
      </w:r>
    </w:p>
    <w:p w14:paraId="7B65BC41" w14:textId="69330FCD" w:rsidR="00DE23E8" w:rsidRDefault="001517EE" w:rsidP="00750348">
      <w:r>
        <w:rPr>
          <w:noProof/>
        </w:rPr>
        <w:lastRenderedPageBreak/>
        <w:drawing>
          <wp:inline distT="0" distB="0" distL="0" distR="0" wp14:anchorId="20212BD3" wp14:editId="46453C9C">
            <wp:extent cx="5166360" cy="861314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6360" cy="861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22CC8A" w14:textId="3C70410C" w:rsidR="00750348" w:rsidRPr="00750348" w:rsidRDefault="00750348" w:rsidP="00750348">
      <w:pPr>
        <w:rPr>
          <w:lang w:eastAsia="zh-CN"/>
        </w:rPr>
      </w:pPr>
      <w:r w:rsidRPr="00A4510E">
        <w:rPr>
          <w:b/>
          <w:bCs/>
          <w:szCs w:val="24"/>
        </w:rPr>
        <w:lastRenderedPageBreak/>
        <w:t>Supplementary Figure</w:t>
      </w:r>
      <w:r>
        <w:rPr>
          <w:b/>
          <w:bCs/>
          <w:szCs w:val="24"/>
        </w:rPr>
        <w:t xml:space="preserve"> 3 </w:t>
      </w:r>
      <w:r w:rsidRPr="00CC5B6D">
        <w:rPr>
          <w:b/>
          <w:bCs/>
          <w:szCs w:val="24"/>
        </w:rPr>
        <w:t xml:space="preserve">Pharmacological inhibition of SLC1A5 </w:t>
      </w:r>
      <w:r>
        <w:rPr>
          <w:b/>
          <w:bCs/>
          <w:szCs w:val="24"/>
        </w:rPr>
        <w:t>enhanced</w:t>
      </w:r>
      <w:r w:rsidRPr="00CC5B6D">
        <w:rPr>
          <w:b/>
          <w:bCs/>
          <w:szCs w:val="24"/>
        </w:rPr>
        <w:t xml:space="preserve"> intracellular level of oxidative stress</w:t>
      </w:r>
      <w:r>
        <w:rPr>
          <w:b/>
          <w:bCs/>
          <w:szCs w:val="24"/>
        </w:rPr>
        <w:t xml:space="preserve">. </w:t>
      </w:r>
      <w:r w:rsidRPr="006E6390">
        <w:rPr>
          <w:b/>
          <w:bCs/>
          <w:lang w:eastAsia="zh-CN"/>
        </w:rPr>
        <w:t>(</w:t>
      </w:r>
      <w:r>
        <w:rPr>
          <w:b/>
          <w:bCs/>
          <w:lang w:eastAsia="zh-CN"/>
        </w:rPr>
        <w:t>A</w:t>
      </w:r>
      <w:r w:rsidRPr="006E6390">
        <w:rPr>
          <w:b/>
          <w:bCs/>
          <w:lang w:eastAsia="zh-CN"/>
        </w:rPr>
        <w:t>)</w:t>
      </w:r>
      <w:r>
        <w:rPr>
          <w:lang w:eastAsia="zh-CN"/>
        </w:rPr>
        <w:t xml:space="preserve"> The MDA level of T98G cell line in V9302 and control groups. </w:t>
      </w:r>
      <w:r w:rsidRPr="006E6390">
        <w:rPr>
          <w:b/>
          <w:bCs/>
          <w:lang w:eastAsia="zh-CN"/>
        </w:rPr>
        <w:t>(</w:t>
      </w:r>
      <w:r>
        <w:rPr>
          <w:b/>
          <w:bCs/>
          <w:lang w:eastAsia="zh-CN"/>
        </w:rPr>
        <w:t>B</w:t>
      </w:r>
      <w:r w:rsidRPr="006E6390">
        <w:rPr>
          <w:b/>
          <w:bCs/>
          <w:lang w:eastAsia="zh-CN"/>
        </w:rPr>
        <w:t>)</w:t>
      </w:r>
      <w:r>
        <w:rPr>
          <w:lang w:eastAsia="zh-CN"/>
        </w:rPr>
        <w:t xml:space="preserve"> The reduced GSH level of T98G cell line in V9302 and control groups. </w:t>
      </w:r>
      <w:r w:rsidRPr="006E6390">
        <w:rPr>
          <w:b/>
          <w:bCs/>
          <w:lang w:eastAsia="zh-CN"/>
        </w:rPr>
        <w:t>(</w:t>
      </w:r>
      <w:r>
        <w:rPr>
          <w:b/>
          <w:bCs/>
          <w:lang w:eastAsia="zh-CN"/>
        </w:rPr>
        <w:t>C, E</w:t>
      </w:r>
      <w:r w:rsidRPr="006E6390">
        <w:rPr>
          <w:b/>
          <w:bCs/>
          <w:lang w:eastAsia="zh-CN"/>
        </w:rPr>
        <w:t>)</w:t>
      </w:r>
      <w:r>
        <w:rPr>
          <w:lang w:eastAsia="zh-CN"/>
        </w:rPr>
        <w:t xml:space="preserve"> The fluorescence intensity of DHFC-DA (green) after V9302 treatment</w:t>
      </w:r>
      <w:r w:rsidRPr="001D1679">
        <w:rPr>
          <w:lang w:eastAsia="zh-CN"/>
        </w:rPr>
        <w:t xml:space="preserve"> </w:t>
      </w:r>
      <w:r>
        <w:rPr>
          <w:lang w:eastAsia="zh-CN"/>
        </w:rPr>
        <w:t xml:space="preserve">in T98G cells </w:t>
      </w:r>
      <w:r w:rsidRPr="0031174B">
        <w:t>(Scale Bar=50</w:t>
      </w:r>
      <w:r>
        <w:t xml:space="preserve"> </w:t>
      </w:r>
      <w:proofErr w:type="spellStart"/>
      <w:r w:rsidRPr="00191B3C">
        <w:rPr>
          <w:szCs w:val="24"/>
        </w:rPr>
        <w:t>μ</w:t>
      </w:r>
      <w:r w:rsidRPr="0031174B">
        <w:t>m</w:t>
      </w:r>
      <w:proofErr w:type="spellEnd"/>
      <w:r w:rsidRPr="0031174B">
        <w:t>)</w:t>
      </w:r>
      <w:r>
        <w:rPr>
          <w:lang w:eastAsia="zh-CN"/>
        </w:rPr>
        <w:t xml:space="preserve">. </w:t>
      </w:r>
      <w:r w:rsidRPr="006E6390">
        <w:rPr>
          <w:b/>
          <w:bCs/>
          <w:lang w:eastAsia="zh-CN"/>
        </w:rPr>
        <w:t>(</w:t>
      </w:r>
      <w:r>
        <w:rPr>
          <w:b/>
          <w:bCs/>
          <w:lang w:eastAsia="zh-CN"/>
        </w:rPr>
        <w:t>D, F</w:t>
      </w:r>
      <w:r w:rsidRPr="006E6390">
        <w:rPr>
          <w:b/>
          <w:bCs/>
          <w:lang w:eastAsia="zh-CN"/>
        </w:rPr>
        <w:t>)</w:t>
      </w:r>
      <w:r>
        <w:rPr>
          <w:b/>
          <w:bCs/>
          <w:lang w:eastAsia="zh-CN"/>
        </w:rPr>
        <w:t xml:space="preserve"> </w:t>
      </w:r>
      <w:r>
        <w:rPr>
          <w:lang w:eastAsia="zh-CN"/>
        </w:rPr>
        <w:t>The level of oxidized lipid peroxides(green)</w:t>
      </w:r>
      <w:r w:rsidRPr="00531827">
        <w:rPr>
          <w:lang w:eastAsia="zh-CN"/>
        </w:rPr>
        <w:t xml:space="preserve"> </w:t>
      </w:r>
      <w:r>
        <w:rPr>
          <w:lang w:eastAsia="zh-CN"/>
        </w:rPr>
        <w:t>after V9302 treatment</w:t>
      </w:r>
      <w:r w:rsidRPr="001D1679">
        <w:rPr>
          <w:lang w:eastAsia="zh-CN"/>
        </w:rPr>
        <w:t xml:space="preserve"> </w:t>
      </w:r>
      <w:r>
        <w:rPr>
          <w:lang w:eastAsia="zh-CN"/>
        </w:rPr>
        <w:t xml:space="preserve">in T98G cells </w:t>
      </w:r>
      <w:r w:rsidRPr="0031174B">
        <w:t>(Scale Bar=50</w:t>
      </w:r>
      <w:r>
        <w:t xml:space="preserve"> </w:t>
      </w:r>
      <w:proofErr w:type="spellStart"/>
      <w:r w:rsidRPr="00191B3C">
        <w:rPr>
          <w:szCs w:val="24"/>
        </w:rPr>
        <w:t>μ</w:t>
      </w:r>
      <w:r w:rsidRPr="0031174B">
        <w:t>m</w:t>
      </w:r>
      <w:proofErr w:type="spellEnd"/>
      <w:r w:rsidRPr="0031174B">
        <w:t>)</w:t>
      </w:r>
      <w:r>
        <w:rPr>
          <w:lang w:eastAsia="zh-CN"/>
        </w:rPr>
        <w:t>.</w:t>
      </w:r>
    </w:p>
    <w:sectPr w:rsidR="00750348" w:rsidRPr="00750348" w:rsidSect="0093429D">
      <w:headerReference w:type="even" r:id="rId11"/>
      <w:footerReference w:type="even" r:id="rId12"/>
      <w:footerReference w:type="default" r:id="rId13"/>
      <w:headerReference w:type="first" r:id="rId14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4A5533" w14:textId="77777777" w:rsidR="00093432" w:rsidRDefault="00093432" w:rsidP="00117666">
      <w:pPr>
        <w:spacing w:after="0"/>
      </w:pPr>
      <w:r>
        <w:separator/>
      </w:r>
    </w:p>
  </w:endnote>
  <w:endnote w:type="continuationSeparator" w:id="0">
    <w:p w14:paraId="2ED47107" w14:textId="77777777" w:rsidR="00093432" w:rsidRDefault="00093432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00A91C57" w:rsidR="00995F6A" w:rsidRPr="00577C4C" w:rsidRDefault="00000000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50BC4D33" w14:textId="00A91C57" w:rsidR="00995F6A" w:rsidRPr="00577C4C" w:rsidRDefault="00000000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22C49E8E" w:rsidR="00995F6A" w:rsidRPr="00577C4C" w:rsidRDefault="00000000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570F0D09" w14:textId="22C49E8E" w:rsidR="00995F6A" w:rsidRPr="00577C4C" w:rsidRDefault="00000000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6B21BA" w14:textId="77777777" w:rsidR="00093432" w:rsidRDefault="00093432" w:rsidP="00117666">
      <w:pPr>
        <w:spacing w:after="0"/>
      </w:pPr>
      <w:r>
        <w:separator/>
      </w:r>
    </w:p>
  </w:footnote>
  <w:footnote w:type="continuationSeparator" w:id="0">
    <w:p w14:paraId="526253A6" w14:textId="77777777" w:rsidR="00093432" w:rsidRDefault="00093432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1377535D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1B15B79F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414430546">
    <w:abstractNumId w:val="0"/>
  </w:num>
  <w:num w:numId="2" w16cid:durableId="1326126018">
    <w:abstractNumId w:val="4"/>
  </w:num>
  <w:num w:numId="3" w16cid:durableId="1236478177">
    <w:abstractNumId w:val="1"/>
  </w:num>
  <w:num w:numId="4" w16cid:durableId="186335687">
    <w:abstractNumId w:val="5"/>
  </w:num>
  <w:num w:numId="5" w16cid:durableId="52536626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63649283">
    <w:abstractNumId w:val="3"/>
  </w:num>
  <w:num w:numId="7" w16cid:durableId="1030179652">
    <w:abstractNumId w:val="6"/>
  </w:num>
  <w:num w:numId="8" w16cid:durableId="1460025831">
    <w:abstractNumId w:val="6"/>
  </w:num>
  <w:num w:numId="9" w16cid:durableId="665130873">
    <w:abstractNumId w:val="6"/>
  </w:num>
  <w:num w:numId="10" w16cid:durableId="2147159811">
    <w:abstractNumId w:val="6"/>
  </w:num>
  <w:num w:numId="11" w16cid:durableId="713962333">
    <w:abstractNumId w:val="6"/>
  </w:num>
  <w:num w:numId="12" w16cid:durableId="2129427412">
    <w:abstractNumId w:val="6"/>
  </w:num>
  <w:num w:numId="13" w16cid:durableId="638877393">
    <w:abstractNumId w:val="3"/>
  </w:num>
  <w:num w:numId="14" w16cid:durableId="155728400">
    <w:abstractNumId w:val="2"/>
  </w:num>
  <w:num w:numId="15" w16cid:durableId="862208354">
    <w:abstractNumId w:val="2"/>
  </w:num>
  <w:num w:numId="16" w16cid:durableId="1818305282">
    <w:abstractNumId w:val="2"/>
  </w:num>
  <w:num w:numId="17" w16cid:durableId="1428042176">
    <w:abstractNumId w:val="2"/>
  </w:num>
  <w:num w:numId="18" w16cid:durableId="1409036220">
    <w:abstractNumId w:val="2"/>
  </w:num>
  <w:num w:numId="19" w16cid:durableId="9995050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366F1"/>
    <w:rsid w:val="00052A14"/>
    <w:rsid w:val="00077D53"/>
    <w:rsid w:val="00093432"/>
    <w:rsid w:val="00105FD9"/>
    <w:rsid w:val="00117666"/>
    <w:rsid w:val="00142B5A"/>
    <w:rsid w:val="001517EE"/>
    <w:rsid w:val="001549D3"/>
    <w:rsid w:val="00160065"/>
    <w:rsid w:val="00177D84"/>
    <w:rsid w:val="001D3ED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944A6"/>
    <w:rsid w:val="003A75DE"/>
    <w:rsid w:val="003D2F2D"/>
    <w:rsid w:val="00401590"/>
    <w:rsid w:val="00447801"/>
    <w:rsid w:val="00452E9C"/>
    <w:rsid w:val="004735C8"/>
    <w:rsid w:val="004947A6"/>
    <w:rsid w:val="004961FF"/>
    <w:rsid w:val="005158A1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4B69"/>
    <w:rsid w:val="0070566C"/>
    <w:rsid w:val="00714C50"/>
    <w:rsid w:val="00725A7D"/>
    <w:rsid w:val="007501BE"/>
    <w:rsid w:val="00750348"/>
    <w:rsid w:val="00790BB3"/>
    <w:rsid w:val="007C206C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05156"/>
    <w:rsid w:val="00B1671E"/>
    <w:rsid w:val="00B25EB8"/>
    <w:rsid w:val="00B37F4D"/>
    <w:rsid w:val="00C52A7B"/>
    <w:rsid w:val="00C56BAF"/>
    <w:rsid w:val="00C679AA"/>
    <w:rsid w:val="00C75972"/>
    <w:rsid w:val="00CB660C"/>
    <w:rsid w:val="00CD066B"/>
    <w:rsid w:val="00CE4FEE"/>
    <w:rsid w:val="00D01DCA"/>
    <w:rsid w:val="00D060CF"/>
    <w:rsid w:val="00DB59C3"/>
    <w:rsid w:val="00DC259A"/>
    <w:rsid w:val="00DE23E8"/>
    <w:rsid w:val="00E52377"/>
    <w:rsid w:val="00E537AD"/>
    <w:rsid w:val="00E63C44"/>
    <w:rsid w:val="00E64E17"/>
    <w:rsid w:val="00E866C9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70</TotalTime>
  <Pages>6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韩 俐莹</cp:lastModifiedBy>
  <cp:revision>8</cp:revision>
  <cp:lastPrinted>2013-10-03T12:51:00Z</cp:lastPrinted>
  <dcterms:created xsi:type="dcterms:W3CDTF">2018-11-23T08:58:00Z</dcterms:created>
  <dcterms:modified xsi:type="dcterms:W3CDTF">2022-10-23T15:57:00Z</dcterms:modified>
</cp:coreProperties>
</file>