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72740" w14:textId="77777777" w:rsidR="007329DE" w:rsidRPr="00FD4A2B" w:rsidRDefault="007329DE" w:rsidP="007329DE">
      <w:pPr>
        <w:spacing w:line="360" w:lineRule="auto"/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b/>
          <w:sz w:val="22"/>
          <w:szCs w:val="22"/>
        </w:rPr>
        <w:t>Supplementary Data</w:t>
      </w:r>
    </w:p>
    <w:p w14:paraId="41299293" w14:textId="77777777" w:rsidR="007329DE" w:rsidRPr="00FD4A2B" w:rsidRDefault="007329DE" w:rsidP="007329DE">
      <w:pPr>
        <w:spacing w:line="276" w:lineRule="auto"/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>Figure 1-figure supplement 1. Expression variance explained by leading TIP-</w:t>
      </w:r>
      <w:proofErr w:type="spellStart"/>
      <w:r w:rsidRPr="00FD4A2B">
        <w:rPr>
          <w:rFonts w:ascii="Cambria" w:hAnsi="Cambria"/>
          <w:sz w:val="22"/>
          <w:szCs w:val="22"/>
        </w:rPr>
        <w:t>eQTL</w:t>
      </w:r>
      <w:proofErr w:type="spellEnd"/>
      <w:r w:rsidRPr="00FD4A2B">
        <w:rPr>
          <w:rFonts w:ascii="Cambria" w:hAnsi="Cambria"/>
          <w:sz w:val="22"/>
          <w:szCs w:val="22"/>
        </w:rPr>
        <w:t xml:space="preserve"> and SNP-</w:t>
      </w:r>
      <w:proofErr w:type="spellStart"/>
      <w:r w:rsidRPr="00FD4A2B">
        <w:rPr>
          <w:rFonts w:ascii="Cambria" w:hAnsi="Cambria"/>
          <w:sz w:val="22"/>
          <w:szCs w:val="22"/>
        </w:rPr>
        <w:t>eQTL</w:t>
      </w:r>
      <w:proofErr w:type="spellEnd"/>
      <w:r w:rsidRPr="00FD4A2B">
        <w:rPr>
          <w:rFonts w:ascii="Cambria" w:hAnsi="Cambria"/>
          <w:sz w:val="22"/>
          <w:szCs w:val="22"/>
        </w:rPr>
        <w:t xml:space="preserve"> in the associations detected for each gene (dot). Panels in A) represent the analysis performed using a combined genotype matrix including all SNPs and TIPs.  Panels in B) represent the analysis performed using a combined genotype matrix including TIPs and a subsampled number of SNPs matching the exact number of TIPs. </w:t>
      </w:r>
    </w:p>
    <w:p w14:paraId="72E8E073" w14:textId="77777777" w:rsidR="007329DE" w:rsidRPr="00FD4A2B" w:rsidRDefault="007329DE" w:rsidP="007329DE">
      <w:pPr>
        <w:spacing w:line="360" w:lineRule="auto"/>
        <w:ind w:left="-284" w:right="-291"/>
        <w:jc w:val="both"/>
        <w:rPr>
          <w:rFonts w:ascii="Cambria" w:hAnsi="Cambria"/>
          <w:sz w:val="22"/>
          <w:szCs w:val="22"/>
        </w:rPr>
      </w:pPr>
    </w:p>
    <w:p w14:paraId="6AF78DD1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>Figure 2-figure supplement 1. Effect size of TIP-</w:t>
      </w:r>
      <w:proofErr w:type="spellStart"/>
      <w:r w:rsidRPr="00FD4A2B">
        <w:rPr>
          <w:rFonts w:ascii="Cambria" w:hAnsi="Cambria"/>
          <w:sz w:val="22"/>
          <w:szCs w:val="22"/>
        </w:rPr>
        <w:t>eQTLs</w:t>
      </w:r>
      <w:proofErr w:type="spellEnd"/>
      <w:r w:rsidRPr="00FD4A2B">
        <w:rPr>
          <w:rFonts w:ascii="Cambria" w:hAnsi="Cambria"/>
          <w:sz w:val="22"/>
          <w:szCs w:val="22"/>
        </w:rPr>
        <w:t xml:space="preserve"> based on their population frequency on the drought condition. </w:t>
      </w:r>
    </w:p>
    <w:p w14:paraId="36087673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</w:p>
    <w:p w14:paraId="7DB4E66D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>Figure 2-figure supplement 2. Population frequencies of TIP-</w:t>
      </w:r>
      <w:proofErr w:type="spellStart"/>
      <w:r w:rsidRPr="00FD4A2B">
        <w:rPr>
          <w:rFonts w:ascii="Cambria" w:hAnsi="Cambria"/>
          <w:sz w:val="22"/>
          <w:szCs w:val="22"/>
        </w:rPr>
        <w:t>eQTLs</w:t>
      </w:r>
      <w:proofErr w:type="spellEnd"/>
      <w:r w:rsidRPr="00FD4A2B">
        <w:rPr>
          <w:rFonts w:ascii="Cambria" w:hAnsi="Cambria"/>
          <w:sz w:val="22"/>
          <w:szCs w:val="22"/>
        </w:rPr>
        <w:t xml:space="preserve"> and TIP-no-</w:t>
      </w:r>
      <w:proofErr w:type="spellStart"/>
      <w:r w:rsidRPr="00FD4A2B">
        <w:rPr>
          <w:rFonts w:ascii="Cambria" w:hAnsi="Cambria"/>
          <w:sz w:val="22"/>
          <w:szCs w:val="22"/>
        </w:rPr>
        <w:t>eQTLs</w:t>
      </w:r>
      <w:proofErr w:type="spellEnd"/>
      <w:r w:rsidRPr="00FD4A2B">
        <w:rPr>
          <w:rFonts w:ascii="Cambria" w:hAnsi="Cambria"/>
          <w:sz w:val="22"/>
          <w:szCs w:val="22"/>
        </w:rPr>
        <w:t xml:space="preserve"> present at 1Kb upstream genes.</w:t>
      </w:r>
    </w:p>
    <w:p w14:paraId="1FF8DCD5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</w:p>
    <w:p w14:paraId="293CAD53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>Figure 4-figure supplement 1. Boxplots representing the expression differences between haplotypes in OsJAZ1. Three independent experimental replicates are shown separately.</w:t>
      </w:r>
    </w:p>
    <w:p w14:paraId="17D209BE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</w:p>
    <w:p w14:paraId="6FCC8787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 xml:space="preserve">Figure 5-figure supplement 1. Boxplots representing the expression differences between haplotypes in </w:t>
      </w:r>
      <w:proofErr w:type="spellStart"/>
      <w:r w:rsidRPr="00FD4A2B">
        <w:rPr>
          <w:rFonts w:ascii="Cambria" w:hAnsi="Cambria"/>
          <w:sz w:val="22"/>
          <w:szCs w:val="22"/>
        </w:rPr>
        <w:t>OsGAP</w:t>
      </w:r>
      <w:proofErr w:type="spellEnd"/>
      <w:r w:rsidRPr="00FD4A2B">
        <w:rPr>
          <w:rFonts w:ascii="Cambria" w:hAnsi="Cambria"/>
          <w:sz w:val="22"/>
          <w:szCs w:val="22"/>
        </w:rPr>
        <w:t>. Three independent experimental replicates are shown separately.</w:t>
      </w:r>
    </w:p>
    <w:p w14:paraId="14782727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</w:p>
    <w:p w14:paraId="6082C63A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>Figure 6-figure supplement 1. Boxplots representing the expression differences between haplotypes in OsMPH1. Three independent experimental replicates are shown separately.</w:t>
      </w:r>
    </w:p>
    <w:p w14:paraId="13FB8EB7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</w:p>
    <w:p w14:paraId="349ECEAF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>Supplementary file 1. Extended information on significant TIP-</w:t>
      </w:r>
      <w:proofErr w:type="spellStart"/>
      <w:r w:rsidRPr="00FD4A2B">
        <w:rPr>
          <w:rFonts w:ascii="Cambria" w:hAnsi="Cambria"/>
          <w:sz w:val="22"/>
          <w:szCs w:val="22"/>
        </w:rPr>
        <w:t>eQTLs</w:t>
      </w:r>
      <w:proofErr w:type="spellEnd"/>
      <w:r w:rsidRPr="00FD4A2B">
        <w:rPr>
          <w:rFonts w:ascii="Cambria" w:hAnsi="Cambria"/>
          <w:sz w:val="22"/>
          <w:szCs w:val="22"/>
        </w:rPr>
        <w:t>.</w:t>
      </w:r>
    </w:p>
    <w:p w14:paraId="4B6BDEFF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</w:p>
    <w:p w14:paraId="0456CB29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>Supplementary file 2. TIP-</w:t>
      </w:r>
      <w:proofErr w:type="spellStart"/>
      <w:r w:rsidRPr="00FD4A2B">
        <w:rPr>
          <w:rFonts w:ascii="Cambria" w:hAnsi="Cambria"/>
          <w:sz w:val="22"/>
          <w:szCs w:val="22"/>
        </w:rPr>
        <w:t>eQTL</w:t>
      </w:r>
      <w:proofErr w:type="spellEnd"/>
      <w:r w:rsidRPr="00FD4A2B">
        <w:rPr>
          <w:rFonts w:ascii="Cambria" w:hAnsi="Cambria"/>
          <w:sz w:val="22"/>
          <w:szCs w:val="22"/>
        </w:rPr>
        <w:t xml:space="preserve"> effect on gene expression levels </w:t>
      </w:r>
      <w:r w:rsidRPr="00FD4A2B">
        <w:rPr>
          <w:sz w:val="22"/>
          <w:szCs w:val="22"/>
        </w:rPr>
        <w:t xml:space="preserve">up, for increased gene expression when TE is present, down for decreased gene expression when TE is present) </w:t>
      </w:r>
      <w:r w:rsidRPr="00FD4A2B">
        <w:rPr>
          <w:rFonts w:ascii="Cambria" w:hAnsi="Cambria"/>
          <w:sz w:val="22"/>
          <w:szCs w:val="22"/>
        </w:rPr>
        <w:t>according to TE superfamily classification.</w:t>
      </w:r>
    </w:p>
    <w:p w14:paraId="10BC944D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</w:p>
    <w:p w14:paraId="2D920E7D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>Supplementary file 3. Extended information on indica-specific and japonica-specific TIPs associated with expression changes.</w:t>
      </w:r>
    </w:p>
    <w:p w14:paraId="574293F2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</w:p>
    <w:p w14:paraId="30329025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 xml:space="preserve">Supplementary file 4. NCBI-SRA accession numbers for </w:t>
      </w:r>
      <w:r w:rsidRPr="00FD4A2B">
        <w:rPr>
          <w:rFonts w:ascii="Cambria" w:hAnsi="Cambria"/>
          <w:i/>
          <w:iCs/>
          <w:sz w:val="22"/>
          <w:szCs w:val="22"/>
        </w:rPr>
        <w:t xml:space="preserve">O. </w:t>
      </w:r>
      <w:proofErr w:type="spellStart"/>
      <w:r w:rsidRPr="00FD4A2B">
        <w:rPr>
          <w:rFonts w:ascii="Cambria" w:hAnsi="Cambria"/>
          <w:i/>
          <w:iCs/>
          <w:sz w:val="22"/>
          <w:szCs w:val="22"/>
        </w:rPr>
        <w:t>rufipogon</w:t>
      </w:r>
      <w:proofErr w:type="spellEnd"/>
      <w:r w:rsidRPr="00FD4A2B">
        <w:rPr>
          <w:rFonts w:ascii="Cambria" w:hAnsi="Cambria"/>
          <w:sz w:val="22"/>
          <w:szCs w:val="22"/>
        </w:rPr>
        <w:t xml:space="preserve"> and </w:t>
      </w:r>
      <w:r w:rsidRPr="00FD4A2B">
        <w:rPr>
          <w:rFonts w:ascii="Cambria" w:hAnsi="Cambria"/>
          <w:i/>
          <w:iCs/>
          <w:sz w:val="22"/>
          <w:szCs w:val="22"/>
        </w:rPr>
        <w:t xml:space="preserve">O. </w:t>
      </w:r>
      <w:proofErr w:type="spellStart"/>
      <w:r w:rsidRPr="00FD4A2B">
        <w:rPr>
          <w:rFonts w:ascii="Cambria" w:hAnsi="Cambria"/>
          <w:i/>
          <w:iCs/>
          <w:sz w:val="22"/>
          <w:szCs w:val="22"/>
        </w:rPr>
        <w:t>nivara</w:t>
      </w:r>
      <w:proofErr w:type="spellEnd"/>
      <w:r w:rsidRPr="00FD4A2B">
        <w:rPr>
          <w:rFonts w:ascii="Cambria" w:hAnsi="Cambria"/>
          <w:sz w:val="22"/>
          <w:szCs w:val="22"/>
        </w:rPr>
        <w:t xml:space="preserve"> accessions used in this study.</w:t>
      </w:r>
    </w:p>
    <w:p w14:paraId="1ED09E21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</w:p>
    <w:p w14:paraId="444F24CA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>Supplementary file 5. PBS results and TIP information for TIP-</w:t>
      </w:r>
      <w:proofErr w:type="spellStart"/>
      <w:r w:rsidRPr="00FD4A2B">
        <w:rPr>
          <w:rFonts w:ascii="Cambria" w:hAnsi="Cambria"/>
          <w:sz w:val="22"/>
          <w:szCs w:val="22"/>
        </w:rPr>
        <w:t>eQTLs</w:t>
      </w:r>
      <w:proofErr w:type="spellEnd"/>
      <w:r w:rsidRPr="00FD4A2B">
        <w:rPr>
          <w:rFonts w:ascii="Cambria" w:hAnsi="Cambria"/>
          <w:sz w:val="22"/>
          <w:szCs w:val="22"/>
        </w:rPr>
        <w:t xml:space="preserve"> present in indica, japonica and </w:t>
      </w:r>
      <w:proofErr w:type="spellStart"/>
      <w:r w:rsidRPr="00FD4A2B">
        <w:rPr>
          <w:rFonts w:ascii="Cambria" w:hAnsi="Cambria"/>
          <w:sz w:val="22"/>
          <w:szCs w:val="22"/>
        </w:rPr>
        <w:t>rufipogon</w:t>
      </w:r>
      <w:proofErr w:type="spellEnd"/>
      <w:r w:rsidRPr="00FD4A2B">
        <w:rPr>
          <w:rFonts w:ascii="Cambria" w:hAnsi="Cambria"/>
          <w:sz w:val="22"/>
          <w:szCs w:val="22"/>
        </w:rPr>
        <w:t>/</w:t>
      </w:r>
      <w:proofErr w:type="spellStart"/>
      <w:r w:rsidRPr="00FD4A2B">
        <w:rPr>
          <w:rFonts w:ascii="Cambria" w:hAnsi="Cambria"/>
          <w:sz w:val="22"/>
          <w:szCs w:val="22"/>
        </w:rPr>
        <w:t>nivara</w:t>
      </w:r>
      <w:proofErr w:type="spellEnd"/>
      <w:r w:rsidRPr="00FD4A2B">
        <w:rPr>
          <w:rFonts w:ascii="Cambria" w:hAnsi="Cambria"/>
          <w:sz w:val="22"/>
          <w:szCs w:val="22"/>
        </w:rPr>
        <w:t xml:space="preserve"> populations.</w:t>
      </w:r>
    </w:p>
    <w:p w14:paraId="2B433A31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</w:p>
    <w:p w14:paraId="4D1C375A" w14:textId="77777777" w:rsidR="007329DE" w:rsidRPr="00FD4A2B" w:rsidRDefault="007329DE" w:rsidP="007329DE">
      <w:pPr>
        <w:ind w:left="-284" w:right="-291"/>
        <w:jc w:val="both"/>
        <w:rPr>
          <w:rFonts w:ascii="Cambria" w:hAnsi="Cambria"/>
          <w:sz w:val="22"/>
          <w:szCs w:val="22"/>
        </w:rPr>
      </w:pPr>
      <w:r w:rsidRPr="00FD4A2B">
        <w:rPr>
          <w:rFonts w:ascii="Cambria" w:hAnsi="Cambria"/>
          <w:sz w:val="22"/>
          <w:szCs w:val="22"/>
        </w:rPr>
        <w:t xml:space="preserve">Supplementary file 6. Statistical significance of the permutation test performed to identify selection on OsJAZ1, </w:t>
      </w:r>
      <w:proofErr w:type="spellStart"/>
      <w:r w:rsidRPr="00FD4A2B">
        <w:rPr>
          <w:rFonts w:ascii="Cambria" w:hAnsi="Cambria"/>
          <w:sz w:val="22"/>
          <w:szCs w:val="22"/>
        </w:rPr>
        <w:t>OsGAP</w:t>
      </w:r>
      <w:proofErr w:type="spellEnd"/>
      <w:r w:rsidRPr="00FD4A2B">
        <w:rPr>
          <w:rFonts w:ascii="Cambria" w:hAnsi="Cambria"/>
          <w:sz w:val="22"/>
          <w:szCs w:val="22"/>
        </w:rPr>
        <w:t xml:space="preserve"> and OsMPH1. Only the haplotypes that cleared the p-value cutoff of 0.01 were reported to be under selection.</w:t>
      </w:r>
    </w:p>
    <w:p w14:paraId="6977BFCF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9DE"/>
    <w:rsid w:val="001777A1"/>
    <w:rsid w:val="0073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D146A"/>
  <w15:chartTrackingRefBased/>
  <w15:docId w15:val="{F5AE0D07-5234-4710-9A62-FE069634B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29DE"/>
    <w:pPr>
      <w:spacing w:after="0" w:line="240" w:lineRule="auto"/>
    </w:pPr>
    <w:rPr>
      <w:rFonts w:eastAsiaTheme="minorEastAsia"/>
      <w:kern w:val="0"/>
      <w:sz w:val="24"/>
      <w:szCs w:val="24"/>
      <w:lang w:eastAsia="es-E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2023-05-15T03:12:00Z</dcterms:created>
  <dcterms:modified xsi:type="dcterms:W3CDTF">2023-05-15T03:12:00Z</dcterms:modified>
</cp:coreProperties>
</file>