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AFA06" w14:textId="3F8DF0E0" w:rsidR="009F1C07" w:rsidRPr="00394AD7" w:rsidRDefault="009F1C07" w:rsidP="009F1C07">
      <w:pPr>
        <w:pStyle w:val="Heading2"/>
      </w:pPr>
      <w:r w:rsidRPr="00394AD7">
        <w:t>Supplemental</w:t>
      </w:r>
      <w:r w:rsidR="1567754A">
        <w:t xml:space="preserve"> Materials</w:t>
      </w:r>
    </w:p>
    <w:p w14:paraId="25766BE2" w14:textId="77777777" w:rsidR="009F1C07" w:rsidRDefault="009F1C07" w:rsidP="009F1C07"/>
    <w:p w14:paraId="4B157D51" w14:textId="77777777" w:rsidR="009F1C07" w:rsidRDefault="009F1C07" w:rsidP="009F1C07">
      <w:pPr>
        <w:pStyle w:val="Heading3"/>
        <w:numPr>
          <w:ilvl w:val="0"/>
          <w:numId w:val="2"/>
        </w:numPr>
        <w:spacing w:line="480" w:lineRule="auto"/>
        <w:jc w:val="both"/>
      </w:pPr>
      <w:r>
        <w:t>Sample Cohort and Collection Details</w:t>
      </w:r>
    </w:p>
    <w:p w14:paraId="12755975" w14:textId="77777777" w:rsidR="009F1C07" w:rsidRPr="003A55CA" w:rsidRDefault="009F1C07" w:rsidP="009F1C07">
      <w:pPr>
        <w:pStyle w:val="Heading4"/>
        <w:numPr>
          <w:ilvl w:val="1"/>
          <w:numId w:val="2"/>
        </w:numPr>
        <w:spacing w:line="480" w:lineRule="auto"/>
        <w:jc w:val="both"/>
        <w:rPr>
          <w:rStyle w:val="normaltextrun"/>
          <w:rFonts w:ascii="Calibri" w:eastAsiaTheme="minorEastAsia" w:hAnsi="Calibri" w:cs="Calibri"/>
          <w:sz w:val="22"/>
          <w:szCs w:val="22"/>
        </w:rPr>
      </w:pPr>
      <w:r>
        <w:rPr>
          <w:rStyle w:val="normaltextrun"/>
        </w:rPr>
        <w:t xml:space="preserve">Sample Bank 1 (SB1) </w:t>
      </w:r>
      <w:r w:rsidRPr="2326275D">
        <w:rPr>
          <w:rStyle w:val="normaltextrun"/>
        </w:rPr>
        <w:t xml:space="preserve">and </w:t>
      </w:r>
      <w:r w:rsidRPr="00317D43">
        <w:t>Disco</w:t>
      </w:r>
      <w:r w:rsidRPr="00805D8D">
        <w:t>very life Sciences (</w:t>
      </w:r>
      <w:r w:rsidRPr="00D816F9">
        <w:t>DLS</w:t>
      </w:r>
      <w:r w:rsidRPr="00E56B27">
        <w:t xml:space="preserve">) </w:t>
      </w:r>
    </w:p>
    <w:p w14:paraId="3AF5867E" w14:textId="77777777" w:rsidR="009F1C07" w:rsidRPr="00EB773E" w:rsidRDefault="009F1C07" w:rsidP="009F1C07">
      <w:pPr>
        <w:spacing w:after="0" w:line="480" w:lineRule="auto"/>
        <w:jc w:val="both"/>
        <w:rPr>
          <w:rFonts w:ascii="Calibri" w:hAnsi="Calibri" w:cs="Calibri"/>
        </w:rPr>
      </w:pPr>
      <w:r>
        <w:rPr>
          <w:rStyle w:val="normaltextrun"/>
          <w:rFonts w:ascii="Calibri" w:hAnsi="Calibri" w:cs="Calibri"/>
        </w:rPr>
        <w:t xml:space="preserve">Samples were obtained under an IRB-approved protocol from pregnant women presenting at multiple sites across the United States. </w:t>
      </w:r>
    </w:p>
    <w:p w14:paraId="783550F5" w14:textId="77777777" w:rsidR="009F1C07" w:rsidRDefault="009F1C07" w:rsidP="009F1C07">
      <w:pPr>
        <w:spacing w:after="0" w:line="480" w:lineRule="auto"/>
        <w:jc w:val="both"/>
      </w:pPr>
      <w:r>
        <w:t xml:space="preserve">Qualifying Condition subjects were those with one of the following conditions: </w:t>
      </w:r>
    </w:p>
    <w:p w14:paraId="306FC842" w14:textId="77777777" w:rsidR="009F1C07" w:rsidRDefault="009F1C07" w:rsidP="009F1C07">
      <w:pPr>
        <w:pStyle w:val="ListParagraph"/>
        <w:numPr>
          <w:ilvl w:val="0"/>
          <w:numId w:val="1"/>
        </w:numPr>
        <w:spacing w:after="0" w:line="480" w:lineRule="auto"/>
        <w:jc w:val="both"/>
      </w:pPr>
      <w:r>
        <w:t>Pre-existing or pre-gestational</w:t>
      </w:r>
    </w:p>
    <w:p w14:paraId="4B624C31" w14:textId="77777777" w:rsidR="009F1C07" w:rsidRDefault="009F1C07" w:rsidP="009F1C07">
      <w:pPr>
        <w:pStyle w:val="ListParagraph"/>
        <w:numPr>
          <w:ilvl w:val="1"/>
          <w:numId w:val="1"/>
        </w:numPr>
        <w:spacing w:after="0" w:line="480" w:lineRule="auto"/>
        <w:jc w:val="both"/>
      </w:pPr>
      <w:r>
        <w:t xml:space="preserve">Hypertension (systolic ≥ 140 mm Hg OR diastolic ≥ 90 mm Hg) </w:t>
      </w:r>
    </w:p>
    <w:p w14:paraId="1511C0D4" w14:textId="77777777" w:rsidR="009F1C07" w:rsidRDefault="009F1C07" w:rsidP="009F1C07">
      <w:pPr>
        <w:pStyle w:val="ListParagraph"/>
        <w:numPr>
          <w:ilvl w:val="1"/>
          <w:numId w:val="1"/>
        </w:numPr>
        <w:spacing w:after="0" w:line="480" w:lineRule="auto"/>
        <w:jc w:val="both"/>
      </w:pPr>
      <w:r>
        <w:t xml:space="preserve">Diabetes mellitus (Type 1 or 2) </w:t>
      </w:r>
    </w:p>
    <w:p w14:paraId="651F545D" w14:textId="77777777" w:rsidR="009F1C07" w:rsidRPr="009A4048" w:rsidRDefault="009F1C07" w:rsidP="009F1C07">
      <w:pPr>
        <w:pStyle w:val="ListParagraph"/>
        <w:numPr>
          <w:ilvl w:val="0"/>
          <w:numId w:val="1"/>
        </w:numPr>
        <w:spacing w:after="0" w:line="480" w:lineRule="auto"/>
        <w:jc w:val="both"/>
        <w:rPr>
          <w:rFonts w:ascii="Calibri" w:hAnsi="Calibri" w:cs="Calibri"/>
        </w:rPr>
      </w:pPr>
      <w:r>
        <w:t xml:space="preserve">New onset </w:t>
      </w:r>
    </w:p>
    <w:p w14:paraId="7DF45B55" w14:textId="77777777" w:rsidR="009F1C07" w:rsidRPr="009A4048" w:rsidRDefault="009F1C07" w:rsidP="009F1C07">
      <w:pPr>
        <w:pStyle w:val="ListParagraph"/>
        <w:numPr>
          <w:ilvl w:val="1"/>
          <w:numId w:val="1"/>
        </w:numPr>
        <w:spacing w:after="0" w:line="480" w:lineRule="auto"/>
        <w:jc w:val="both"/>
        <w:rPr>
          <w:rFonts w:ascii="Calibri" w:hAnsi="Calibri" w:cs="Calibri"/>
        </w:rPr>
      </w:pPr>
      <w:r>
        <w:t xml:space="preserve">Elevated blood pressure (systolic ≥ 140 mm Hg OR diastolic ≥ 90 mm Hg) </w:t>
      </w:r>
    </w:p>
    <w:p w14:paraId="2260CD22" w14:textId="77777777" w:rsidR="009F1C07" w:rsidRPr="009A4048" w:rsidRDefault="009F1C07" w:rsidP="009F1C07">
      <w:pPr>
        <w:pStyle w:val="ListParagraph"/>
        <w:numPr>
          <w:ilvl w:val="1"/>
          <w:numId w:val="1"/>
        </w:numPr>
        <w:spacing w:after="0" w:line="480" w:lineRule="auto"/>
        <w:jc w:val="both"/>
        <w:rPr>
          <w:rFonts w:ascii="Calibri" w:hAnsi="Calibri" w:cs="Calibri"/>
        </w:rPr>
      </w:pPr>
      <w:r>
        <w:t xml:space="preserve">Proteinuria (≥ 300 mg per 24-hour urine collection OR protein/creatinine ratio ≥ 0.3 OR dipstick 1+ if other methods not available) </w:t>
      </w:r>
    </w:p>
    <w:p w14:paraId="76AA5190" w14:textId="77777777" w:rsidR="009F1C07" w:rsidRPr="009A4048" w:rsidRDefault="009F1C07" w:rsidP="009F1C07">
      <w:pPr>
        <w:pStyle w:val="ListParagraph"/>
        <w:numPr>
          <w:ilvl w:val="1"/>
          <w:numId w:val="1"/>
        </w:numPr>
        <w:spacing w:after="0" w:line="480" w:lineRule="auto"/>
        <w:jc w:val="both"/>
        <w:rPr>
          <w:rFonts w:ascii="Calibri" w:hAnsi="Calibri" w:cs="Calibri"/>
        </w:rPr>
      </w:pPr>
      <w:r>
        <w:t xml:space="preserve">Worsening of pre-existing proteinuria </w:t>
      </w:r>
    </w:p>
    <w:p w14:paraId="7F07F4B3" w14:textId="77777777" w:rsidR="009F1C07" w:rsidRPr="009A4048" w:rsidRDefault="009F1C07" w:rsidP="009F1C07">
      <w:pPr>
        <w:pStyle w:val="ListParagraph"/>
        <w:numPr>
          <w:ilvl w:val="1"/>
          <w:numId w:val="1"/>
        </w:numPr>
        <w:spacing w:after="0" w:line="480" w:lineRule="auto"/>
        <w:jc w:val="both"/>
        <w:rPr>
          <w:rFonts w:ascii="Calibri" w:hAnsi="Calibri" w:cs="Calibri"/>
        </w:rPr>
      </w:pPr>
      <w:r>
        <w:t xml:space="preserve">Gestational diabetes </w:t>
      </w:r>
    </w:p>
    <w:p w14:paraId="6F436CBD" w14:textId="77777777" w:rsidR="009F1C07" w:rsidRPr="009A4048" w:rsidRDefault="009F1C07" w:rsidP="009F1C07">
      <w:pPr>
        <w:pStyle w:val="ListParagraph"/>
        <w:numPr>
          <w:ilvl w:val="1"/>
          <w:numId w:val="1"/>
        </w:numPr>
        <w:spacing w:after="0" w:line="480" w:lineRule="auto"/>
        <w:jc w:val="both"/>
        <w:rPr>
          <w:rFonts w:ascii="Calibri" w:hAnsi="Calibri" w:cs="Calibri"/>
        </w:rPr>
      </w:pPr>
      <w:r>
        <w:t>Preeclampsia</w:t>
      </w:r>
    </w:p>
    <w:p w14:paraId="08AF764A" w14:textId="77777777" w:rsidR="009F1C07" w:rsidRPr="00CF725F" w:rsidRDefault="009F1C07" w:rsidP="009F1C07">
      <w:pPr>
        <w:spacing w:after="0" w:line="480" w:lineRule="auto"/>
        <w:jc w:val="both"/>
        <w:rPr>
          <w:rFonts w:ascii="Segoe UI" w:hAnsi="Segoe UI" w:cs="Segoe UI"/>
        </w:rPr>
      </w:pPr>
      <w:r w:rsidRPr="009A4048">
        <w:rPr>
          <w:rStyle w:val="normaltextrun"/>
          <w:rFonts w:ascii="Calibri" w:hAnsi="Calibri" w:cs="Calibri"/>
        </w:rPr>
        <w:t>Clinical data were collected from each subject</w:t>
      </w:r>
      <w:r>
        <w:rPr>
          <w:rStyle w:val="normaltextrun"/>
          <w:rFonts w:ascii="Calibri" w:hAnsi="Calibri" w:cs="Calibri"/>
        </w:rPr>
        <w:t xml:space="preserve"> at enrollment (baseline), follow-up visits, and post-delivery</w:t>
      </w:r>
      <w:r w:rsidRPr="00E56B27">
        <w:rPr>
          <w:rStyle w:val="normaltextrun"/>
          <w:rFonts w:ascii="Calibri" w:hAnsi="Calibri" w:cs="Calibri"/>
        </w:rPr>
        <w:t>.</w:t>
      </w:r>
      <w:r w:rsidRPr="009A4048">
        <w:rPr>
          <w:rStyle w:val="normaltextrun"/>
          <w:rFonts w:ascii="Calibri" w:hAnsi="Calibri" w:cs="Calibri"/>
        </w:rPr>
        <w:t xml:space="preserve"> </w:t>
      </w:r>
      <w:r>
        <w:rPr>
          <w:rStyle w:val="normaltextrun"/>
          <w:rFonts w:ascii="Calibri" w:hAnsi="Calibri" w:cs="Calibri"/>
        </w:rPr>
        <w:t>Clinical</w:t>
      </w:r>
      <w:r w:rsidRPr="00CF725F">
        <w:rPr>
          <w:rStyle w:val="normaltextrun"/>
          <w:rFonts w:ascii="Calibri" w:hAnsi="Calibri" w:cs="Calibri"/>
        </w:rPr>
        <w:t xml:space="preserve"> </w:t>
      </w:r>
      <w:r>
        <w:rPr>
          <w:rStyle w:val="normaltextrun"/>
          <w:rFonts w:ascii="Calibri" w:hAnsi="Calibri" w:cs="Calibri"/>
        </w:rPr>
        <w:t>s</w:t>
      </w:r>
      <w:r w:rsidRPr="00CF725F">
        <w:rPr>
          <w:rStyle w:val="normaltextrun"/>
          <w:rFonts w:ascii="Calibri" w:hAnsi="Calibri" w:cs="Calibri"/>
        </w:rPr>
        <w:t>amples were collected at the site, processed, and </w:t>
      </w:r>
      <w:r>
        <w:rPr>
          <w:rStyle w:val="normaltextrun"/>
          <w:rFonts w:ascii="Calibri" w:hAnsi="Calibri" w:cs="Calibri"/>
        </w:rPr>
        <w:t xml:space="preserve">shipped </w:t>
      </w:r>
      <w:r>
        <w:t>according to the protocol.</w:t>
      </w:r>
      <w:r w:rsidRPr="00CF725F">
        <w:rPr>
          <w:rStyle w:val="eop"/>
          <w:rFonts w:ascii="Calibri" w:hAnsi="Calibri" w:cs="Calibri"/>
        </w:rPr>
        <w:t> </w:t>
      </w:r>
      <w:r>
        <w:t>All samples were collected during routine clinical visits.</w:t>
      </w:r>
    </w:p>
    <w:p w14:paraId="4E59B073" w14:textId="77777777" w:rsidR="009F1C07" w:rsidRPr="00CF725F" w:rsidRDefault="009F1C07" w:rsidP="009F1C07">
      <w:pPr>
        <w:spacing w:line="480" w:lineRule="auto"/>
        <w:jc w:val="both"/>
        <w:rPr>
          <w:rFonts w:ascii="Segoe UI" w:hAnsi="Segoe UI" w:cs="Segoe UI"/>
        </w:rPr>
      </w:pPr>
      <w:r w:rsidRPr="2326275D">
        <w:rPr>
          <w:rStyle w:val="normaltextrun"/>
          <w:rFonts w:ascii="Calibri" w:hAnsi="Calibri" w:cs="Calibri"/>
          <w:color w:val="000000" w:themeColor="text1"/>
        </w:rPr>
        <w:t>Subjects were designated into the following cohorts:</w:t>
      </w:r>
      <w:r w:rsidRPr="2326275D">
        <w:rPr>
          <w:rStyle w:val="eop"/>
          <w:rFonts w:ascii="Calibri" w:hAnsi="Calibri" w:cs="Calibri"/>
          <w:color w:val="000000" w:themeColor="text1"/>
        </w:rPr>
        <w:t> </w:t>
      </w:r>
    </w:p>
    <w:p w14:paraId="61D31520" w14:textId="77777777" w:rsidR="009F1C07" w:rsidRPr="00E56B27" w:rsidRDefault="009F1C07" w:rsidP="009F1C07">
      <w:pPr>
        <w:spacing w:after="0" w:line="480" w:lineRule="auto"/>
        <w:jc w:val="both"/>
        <w:rPr>
          <w:rStyle w:val="eop"/>
          <w:rFonts w:ascii="Calibri" w:hAnsi="Calibri" w:cs="Calibri"/>
        </w:rPr>
      </w:pPr>
      <w:r w:rsidRPr="00E56B27">
        <w:rPr>
          <w:rStyle w:val="eop"/>
          <w:rFonts w:ascii="Calibri" w:hAnsi="Calibri" w:cs="Calibri"/>
        </w:rPr>
        <w:t>Healthy pregnancy</w:t>
      </w:r>
      <w:r>
        <w:rPr>
          <w:rStyle w:val="eop"/>
          <w:rFonts w:ascii="Calibri" w:hAnsi="Calibri" w:cs="Calibri"/>
        </w:rPr>
        <w:t xml:space="preserve"> (Normal)</w:t>
      </w:r>
      <w:r w:rsidRPr="00E56B27">
        <w:rPr>
          <w:rStyle w:val="eop"/>
          <w:rFonts w:ascii="Calibri" w:hAnsi="Calibri" w:cs="Calibri"/>
        </w:rPr>
        <w:t xml:space="preserve"> - </w:t>
      </w:r>
      <w:r w:rsidRPr="00E56B27">
        <w:rPr>
          <w:rStyle w:val="normaltextrun"/>
          <w:rFonts w:ascii="Calibri" w:hAnsi="Calibri" w:cs="Calibri"/>
        </w:rPr>
        <w:t xml:space="preserve">Subjects with no signs and symptoms of preeclampsia enrolled between </w:t>
      </w:r>
      <w:r>
        <w:rPr>
          <w:rStyle w:val="normaltextrun"/>
          <w:rFonts w:ascii="Calibri" w:hAnsi="Calibri" w:cs="Calibri"/>
        </w:rPr>
        <w:t>20</w:t>
      </w:r>
      <w:r w:rsidRPr="00E56B27">
        <w:rPr>
          <w:rStyle w:val="normaltextrun"/>
          <w:rFonts w:ascii="Calibri" w:hAnsi="Calibri" w:cs="Calibri"/>
        </w:rPr>
        <w:t>- and 39-weeks’ gestation on enrollment or anytime thereafter. </w:t>
      </w:r>
    </w:p>
    <w:p w14:paraId="79DE554C" w14:textId="77777777" w:rsidR="009F1C07" w:rsidRPr="00E56B27" w:rsidRDefault="009F1C07" w:rsidP="009F1C07">
      <w:pPr>
        <w:spacing w:after="0" w:line="480" w:lineRule="auto"/>
        <w:jc w:val="both"/>
        <w:rPr>
          <w:rStyle w:val="eop"/>
          <w:rFonts w:ascii="Calibri" w:hAnsi="Calibri" w:cs="Calibri"/>
        </w:rPr>
      </w:pPr>
      <w:r w:rsidRPr="00E56B27">
        <w:rPr>
          <w:rStyle w:val="normaltextrun"/>
          <w:rFonts w:ascii="Calibri" w:hAnsi="Calibri" w:cs="Calibri"/>
        </w:rPr>
        <w:lastRenderedPageBreak/>
        <w:t xml:space="preserve">Symptomatic Non-Preeclampsia - Subjects with signs and symptoms of preeclampsia enrolled between </w:t>
      </w:r>
      <w:r>
        <w:rPr>
          <w:rStyle w:val="normaltextrun"/>
          <w:rFonts w:ascii="Calibri" w:hAnsi="Calibri" w:cs="Calibri"/>
        </w:rPr>
        <w:t>20</w:t>
      </w:r>
      <w:r w:rsidRPr="00E56B27">
        <w:rPr>
          <w:rStyle w:val="normaltextrun"/>
          <w:rFonts w:ascii="Calibri" w:hAnsi="Calibri" w:cs="Calibri"/>
        </w:rPr>
        <w:t xml:space="preserve">- and 39-weeks’ gestation but were not diagnosed with preeclampsia on enrollment or anytime thereafter.  </w:t>
      </w:r>
    </w:p>
    <w:p w14:paraId="617B3B4B" w14:textId="77777777" w:rsidR="009F1C07" w:rsidRPr="00CF725F" w:rsidRDefault="009F1C07" w:rsidP="009F1C07">
      <w:pPr>
        <w:spacing w:after="0" w:line="480" w:lineRule="auto"/>
        <w:jc w:val="both"/>
        <w:rPr>
          <w:rFonts w:ascii="Segoe UI" w:hAnsi="Segoe UI" w:cs="Segoe UI"/>
        </w:rPr>
      </w:pPr>
      <w:r w:rsidRPr="00CF725F">
        <w:rPr>
          <w:rStyle w:val="normaltextrun"/>
          <w:rFonts w:ascii="Calibri" w:hAnsi="Calibri" w:cs="Calibri"/>
        </w:rPr>
        <w:t>Positive Preeclampsia</w:t>
      </w:r>
      <w:r>
        <w:rPr>
          <w:rStyle w:val="normaltextrun"/>
          <w:rFonts w:ascii="Calibri" w:hAnsi="Calibri" w:cs="Calibri"/>
        </w:rPr>
        <w:t xml:space="preserve"> - </w:t>
      </w:r>
      <w:r w:rsidRPr="00CF725F">
        <w:rPr>
          <w:rStyle w:val="normaltextrun"/>
          <w:rFonts w:ascii="Calibri" w:hAnsi="Calibri" w:cs="Calibri"/>
        </w:rPr>
        <w:t>Subjects that satisfied two conditions:</w:t>
      </w:r>
      <w:r w:rsidRPr="00CF725F">
        <w:rPr>
          <w:rStyle w:val="eop"/>
          <w:rFonts w:ascii="Calibri" w:hAnsi="Calibri" w:cs="Calibri"/>
        </w:rPr>
        <w:t> </w:t>
      </w:r>
      <w:r w:rsidRPr="00CF725F">
        <w:rPr>
          <w:rStyle w:val="normaltextrun"/>
          <w:rFonts w:ascii="Calibri" w:hAnsi="Calibri" w:cs="Calibri"/>
        </w:rPr>
        <w:t>(1) diagnosed with preeclampsia between </w:t>
      </w:r>
      <w:r>
        <w:rPr>
          <w:rStyle w:val="normaltextrun"/>
          <w:rFonts w:ascii="Calibri" w:hAnsi="Calibri" w:cs="Calibri"/>
        </w:rPr>
        <w:t>20</w:t>
      </w:r>
      <w:r w:rsidRPr="00E56B27">
        <w:rPr>
          <w:rStyle w:val="normaltextrun"/>
          <w:rFonts w:ascii="Calibri" w:hAnsi="Calibri" w:cs="Calibri"/>
        </w:rPr>
        <w:t xml:space="preserve">- and 39-weeks’ </w:t>
      </w:r>
      <w:r w:rsidRPr="00CF725F">
        <w:rPr>
          <w:rStyle w:val="normaltextrun"/>
          <w:rFonts w:ascii="Calibri" w:hAnsi="Calibri" w:cs="Calibri"/>
        </w:rPr>
        <w:t>gestation at the time of sample collection</w:t>
      </w:r>
      <w:r>
        <w:rPr>
          <w:rStyle w:val="normaltextrun"/>
          <w:rFonts w:ascii="Calibri" w:hAnsi="Calibri" w:cs="Calibri"/>
        </w:rPr>
        <w:t xml:space="preserve"> and </w:t>
      </w:r>
      <w:r w:rsidRPr="00CF725F">
        <w:rPr>
          <w:rStyle w:val="normaltextrun"/>
          <w:rFonts w:ascii="Calibri" w:hAnsi="Calibri" w:cs="Calibri"/>
        </w:rPr>
        <w:t>(2) delivered before 37 </w:t>
      </w:r>
      <w:r w:rsidRPr="2326275D">
        <w:rPr>
          <w:rStyle w:val="normaltextrun"/>
          <w:rFonts w:ascii="Calibri" w:hAnsi="Calibri" w:cs="Calibri"/>
        </w:rPr>
        <w:t>weeks'</w:t>
      </w:r>
      <w:r w:rsidRPr="00CF725F">
        <w:rPr>
          <w:rStyle w:val="normaltextrun"/>
          <w:rFonts w:ascii="Calibri" w:hAnsi="Calibri" w:cs="Calibri"/>
        </w:rPr>
        <w:t> gestation.</w:t>
      </w:r>
      <w:r w:rsidRPr="00CF725F">
        <w:rPr>
          <w:rStyle w:val="eop"/>
          <w:rFonts w:ascii="Calibri" w:hAnsi="Calibri" w:cs="Calibri"/>
        </w:rPr>
        <w:t> </w:t>
      </w:r>
    </w:p>
    <w:p w14:paraId="4F9EA1A8" w14:textId="77777777" w:rsidR="009F1C07" w:rsidRPr="00CF725F" w:rsidRDefault="009F1C07" w:rsidP="009F1C07">
      <w:pPr>
        <w:pStyle w:val="Heading4"/>
        <w:numPr>
          <w:ilvl w:val="1"/>
          <w:numId w:val="2"/>
        </w:numPr>
        <w:spacing w:line="480" w:lineRule="auto"/>
        <w:rPr>
          <w:rFonts w:ascii="Calibri" w:hAnsi="Calibri" w:cs="Calibri"/>
        </w:rPr>
      </w:pPr>
      <w:r>
        <w:t xml:space="preserve">Sample Bank 2 (SB2) </w:t>
      </w:r>
    </w:p>
    <w:p w14:paraId="13AC9C13" w14:textId="77777777" w:rsidR="009F1C07" w:rsidRPr="00CF725F" w:rsidRDefault="009F1C07" w:rsidP="009F1C07">
      <w:pPr>
        <w:spacing w:after="0" w:line="480" w:lineRule="auto"/>
        <w:jc w:val="both"/>
        <w:rPr>
          <w:rFonts w:ascii="Calibri" w:hAnsi="Calibri" w:cs="Calibri"/>
        </w:rPr>
      </w:pPr>
      <w:r>
        <w:rPr>
          <w:rStyle w:val="normaltextrun"/>
          <w:rFonts w:ascii="Calibri" w:hAnsi="Calibri" w:cs="Calibri"/>
        </w:rPr>
        <w:t>Samples were obtained under an IRB-approved protocol from pregnant women presenting at multiple sites across the United States. W</w:t>
      </w:r>
      <w:r w:rsidRPr="00E56B27">
        <w:rPr>
          <w:rStyle w:val="normaltextrun"/>
          <w:rFonts w:ascii="Calibri" w:hAnsi="Calibri" w:cs="Calibri"/>
        </w:rPr>
        <w:t>hole blood samples</w:t>
      </w:r>
      <w:r>
        <w:rPr>
          <w:rStyle w:val="normaltextrun"/>
          <w:rFonts w:ascii="Calibri" w:hAnsi="Calibri" w:cs="Calibri"/>
        </w:rPr>
        <w:t xml:space="preserve"> were collected</w:t>
      </w:r>
      <w:r w:rsidRPr="00E56B27">
        <w:rPr>
          <w:rStyle w:val="normaltextrun"/>
          <w:rFonts w:ascii="Calibri" w:hAnsi="Calibri" w:cs="Calibri"/>
        </w:rPr>
        <w:t> from pregnant women with signs and symptoms of preeclampsia, including those who were being referred to a center for preeclampsia rule-out testing. Preeclampsia was diagnosed according to the ACOG 2013 and 2019 Diagnostic Guidelines.  </w:t>
      </w:r>
      <w:r>
        <w:rPr>
          <w:rStyle w:val="normaltextrun"/>
          <w:rFonts w:ascii="Calibri" w:hAnsi="Calibri" w:cs="Calibri"/>
        </w:rPr>
        <w:t>The subjects used in this protocol</w:t>
      </w:r>
      <w:r w:rsidRPr="5A80DB5B">
        <w:rPr>
          <w:rStyle w:val="normaltextrun"/>
          <w:rFonts w:ascii="Calibri" w:hAnsi="Calibri" w:cs="Calibri"/>
        </w:rPr>
        <w:t xml:space="preserve"> consisted of pregnant women 18 to 45 years of age and 28 0/7 to 36 6/7 weeks’ gestational age (GA) who presented with signs and symptoms of preeclampsia. </w:t>
      </w:r>
      <w:r>
        <w:rPr>
          <w:rStyle w:val="normaltextrun"/>
          <w:rFonts w:ascii="Calibri" w:hAnsi="Calibri" w:cs="Calibri"/>
        </w:rPr>
        <w:t>Enrolled subjects</w:t>
      </w:r>
      <w:r w:rsidRPr="5A80DB5B">
        <w:rPr>
          <w:rStyle w:val="normaltextrun"/>
          <w:rFonts w:ascii="Calibri" w:hAnsi="Calibri" w:cs="Calibri"/>
        </w:rPr>
        <w:t xml:space="preserve"> were followed </w:t>
      </w:r>
      <w:r>
        <w:rPr>
          <w:rStyle w:val="normaltextrun"/>
          <w:rFonts w:ascii="Calibri" w:hAnsi="Calibri" w:cs="Calibri"/>
        </w:rPr>
        <w:t xml:space="preserve">with samples collected </w:t>
      </w:r>
      <w:r w:rsidRPr="5A80DB5B">
        <w:rPr>
          <w:rStyle w:val="normaltextrun"/>
          <w:rFonts w:ascii="Calibri" w:hAnsi="Calibri" w:cs="Calibri"/>
        </w:rPr>
        <w:t>through delivery by their Provider(s).</w:t>
      </w:r>
      <w:r w:rsidRPr="5A80DB5B">
        <w:rPr>
          <w:rStyle w:val="eop"/>
          <w:rFonts w:ascii="Calibri" w:hAnsi="Calibri" w:cs="Calibri"/>
        </w:rPr>
        <w:t> </w:t>
      </w:r>
    </w:p>
    <w:p w14:paraId="5FEC49E9" w14:textId="77777777" w:rsidR="009F1C07" w:rsidRPr="00D406E0" w:rsidRDefault="009F1C07" w:rsidP="009F1C07">
      <w:pPr>
        <w:spacing w:after="0" w:line="480" w:lineRule="auto"/>
        <w:jc w:val="both"/>
      </w:pPr>
      <w:r w:rsidRPr="5A80DB5B">
        <w:rPr>
          <w:rStyle w:val="eop"/>
          <w:rFonts w:ascii="Calibri" w:hAnsi="Calibri" w:cs="Calibri"/>
        </w:rPr>
        <w:t> </w:t>
      </w:r>
      <w:r w:rsidRPr="5A80DB5B">
        <w:rPr>
          <w:rStyle w:val="normaltextrun"/>
          <w:rFonts w:ascii="Calibri" w:hAnsi="Calibri" w:cs="Calibri"/>
        </w:rPr>
        <w:t>All clinical samples were collected in SSTs, spun, and stored frozen at the clinical sites.  Bulk shipments of the frozen samples were received by the </w:t>
      </w:r>
      <w:proofErr w:type="spellStart"/>
      <w:r w:rsidRPr="5A80DB5B">
        <w:rPr>
          <w:rStyle w:val="normaltextrun"/>
          <w:rFonts w:ascii="Calibri" w:hAnsi="Calibri" w:cs="Calibri"/>
        </w:rPr>
        <w:t>Progenity</w:t>
      </w:r>
      <w:proofErr w:type="spellEnd"/>
      <w:r w:rsidRPr="5A80DB5B">
        <w:rPr>
          <w:rStyle w:val="normaltextrun"/>
          <w:rFonts w:ascii="Calibri" w:hAnsi="Calibri" w:cs="Calibri"/>
        </w:rPr>
        <w:t> Biorepository in Ann Arbor, Michigan, processed further by thawing the contents of the SSTs and aliquoting the serum, followed by freezing at –80</w:t>
      </w:r>
      <w:r w:rsidRPr="5A80DB5B">
        <w:rPr>
          <w:rStyle w:val="normaltextrun"/>
          <w:rFonts w:ascii="Calibri" w:hAnsi="Calibri" w:cs="Calibri"/>
          <w:vertAlign w:val="superscript"/>
        </w:rPr>
        <w:t>o</w:t>
      </w:r>
      <w:r w:rsidRPr="5A80DB5B">
        <w:rPr>
          <w:rStyle w:val="normaltextrun"/>
          <w:rFonts w:ascii="Calibri" w:hAnsi="Calibri" w:cs="Calibri"/>
        </w:rPr>
        <w:t>C and managed within the </w:t>
      </w:r>
      <w:proofErr w:type="spellStart"/>
      <w:r w:rsidRPr="5A80DB5B">
        <w:rPr>
          <w:rStyle w:val="normaltextrun"/>
          <w:rFonts w:ascii="Calibri" w:hAnsi="Calibri" w:cs="Calibri"/>
        </w:rPr>
        <w:t>Progenity</w:t>
      </w:r>
      <w:proofErr w:type="spellEnd"/>
      <w:r w:rsidRPr="5A80DB5B">
        <w:rPr>
          <w:rStyle w:val="normaltextrun"/>
          <w:rFonts w:ascii="Calibri" w:hAnsi="Calibri" w:cs="Calibri"/>
        </w:rPr>
        <w:t> Biorepository.  All clinical data were managed by Vision Clinical Research (VCR) data-management and transferred to </w:t>
      </w:r>
      <w:proofErr w:type="spellStart"/>
      <w:r w:rsidRPr="5A80DB5B">
        <w:rPr>
          <w:rStyle w:val="normaltextrun"/>
          <w:rFonts w:ascii="Calibri" w:hAnsi="Calibri" w:cs="Calibri"/>
        </w:rPr>
        <w:t>Progenity</w:t>
      </w:r>
      <w:proofErr w:type="spellEnd"/>
      <w:r w:rsidRPr="5A80DB5B">
        <w:rPr>
          <w:rStyle w:val="normaltextrun"/>
          <w:rFonts w:ascii="Calibri" w:hAnsi="Calibri" w:cs="Calibri"/>
        </w:rPr>
        <w:t> data-management once final.  All clinical data associated with usable clinical specimens were adjudicated in three cohorts, Negative Preeclampsia Controls, Cases, and Positive Preeclampsia Controls.</w:t>
      </w:r>
      <w:r w:rsidRPr="5A80DB5B">
        <w:rPr>
          <w:rStyle w:val="eop"/>
          <w:rFonts w:ascii="Calibri" w:hAnsi="Calibri" w:cs="Calibri"/>
        </w:rPr>
        <w:t> </w:t>
      </w:r>
      <w:r w:rsidRPr="5A80DB5B">
        <w:rPr>
          <w:rStyle w:val="normaltextrun"/>
          <w:rFonts w:ascii="Calibri" w:hAnsi="Calibri" w:cs="Calibri"/>
          <w:color w:val="000000" w:themeColor="text1"/>
        </w:rPr>
        <w:t xml:space="preserve">Depending on the diagnosis and delivery, subjects </w:t>
      </w:r>
      <w:r>
        <w:rPr>
          <w:rStyle w:val="normaltextrun"/>
          <w:rFonts w:ascii="Calibri" w:hAnsi="Calibri" w:cs="Calibri"/>
          <w:color w:val="000000" w:themeColor="text1"/>
        </w:rPr>
        <w:t>were</w:t>
      </w:r>
      <w:r w:rsidRPr="5A80DB5B">
        <w:rPr>
          <w:rStyle w:val="normaltextrun"/>
          <w:rFonts w:ascii="Calibri" w:hAnsi="Calibri" w:cs="Calibri"/>
          <w:color w:val="000000" w:themeColor="text1"/>
        </w:rPr>
        <w:t xml:space="preserve"> designated into the Study Cohort Positive Preeclampsia Controls </w:t>
      </w:r>
      <w:r>
        <w:rPr>
          <w:rStyle w:val="normaltextrun"/>
          <w:rFonts w:ascii="Calibri" w:hAnsi="Calibri" w:cs="Calibri"/>
          <w:color w:val="000000" w:themeColor="text1"/>
        </w:rPr>
        <w:t>if</w:t>
      </w:r>
      <w:r w:rsidRPr="5A80DB5B">
        <w:rPr>
          <w:rStyle w:val="eop"/>
          <w:rFonts w:ascii="Calibri" w:hAnsi="Calibri" w:cs="Calibri"/>
          <w:color w:val="000000" w:themeColor="text1"/>
        </w:rPr>
        <w:t> </w:t>
      </w:r>
      <w:r w:rsidRPr="001A2444">
        <w:rPr>
          <w:rStyle w:val="normaltextrun"/>
          <w:rFonts w:ascii="Calibri" w:hAnsi="Calibri" w:cs="Calibri"/>
          <w:color w:val="000000" w:themeColor="text1"/>
        </w:rPr>
        <w:t xml:space="preserve">a diagnosis of preeclampsia </w:t>
      </w:r>
      <w:r>
        <w:rPr>
          <w:rStyle w:val="normaltextrun"/>
          <w:rFonts w:ascii="Calibri" w:hAnsi="Calibri" w:cs="Calibri"/>
          <w:color w:val="000000" w:themeColor="text1"/>
        </w:rPr>
        <w:t xml:space="preserve">occurred </w:t>
      </w:r>
      <w:r w:rsidRPr="001A2444">
        <w:rPr>
          <w:rStyle w:val="normaltextrun"/>
          <w:rFonts w:ascii="Calibri" w:hAnsi="Calibri" w:cs="Calibri"/>
          <w:color w:val="000000" w:themeColor="text1"/>
        </w:rPr>
        <w:t>within 24 hours of testing. </w:t>
      </w:r>
      <w:r w:rsidRPr="001A2444">
        <w:rPr>
          <w:rStyle w:val="eop"/>
          <w:rFonts w:ascii="Calibri" w:hAnsi="Calibri" w:cs="Calibri"/>
          <w:color w:val="000000" w:themeColor="text1"/>
        </w:rPr>
        <w:t> </w:t>
      </w:r>
    </w:p>
    <w:p w14:paraId="06DC54A7" w14:textId="1286FB2E" w:rsidR="009F1C07" w:rsidRDefault="009F1C07" w:rsidP="009F1C07">
      <w:pPr>
        <w:keepNext/>
      </w:pPr>
      <w:r>
        <w:lastRenderedPageBreak/>
        <w:t xml:space="preserve"> Samples from SB1, SB2 and DLS were combined and classified as shown in </w:t>
      </w:r>
      <w:r w:rsidR="000A72B1">
        <w:t xml:space="preserve">supplementary </w:t>
      </w:r>
      <w:r>
        <w:t xml:space="preserve">figure 1. </w:t>
      </w:r>
    </w:p>
    <w:p w14:paraId="4DA83873" w14:textId="77777777" w:rsidR="009F1C07" w:rsidRDefault="009F1C07" w:rsidP="009F1C07">
      <w:pPr>
        <w:keepNext/>
        <w:jc w:val="center"/>
      </w:pPr>
      <w:r>
        <w:rPr>
          <w:noProof/>
        </w:rPr>
        <w:drawing>
          <wp:inline distT="0" distB="0" distL="0" distR="0" wp14:anchorId="6C5913F3" wp14:editId="305F40D9">
            <wp:extent cx="5940425" cy="2907030"/>
            <wp:effectExtent l="0" t="0" r="317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2907030"/>
                    </a:xfrm>
                    <a:prstGeom prst="rect">
                      <a:avLst/>
                    </a:prstGeom>
                    <a:noFill/>
                    <a:ln>
                      <a:noFill/>
                    </a:ln>
                  </pic:spPr>
                </pic:pic>
              </a:graphicData>
            </a:graphic>
          </wp:inline>
        </w:drawing>
      </w:r>
    </w:p>
    <w:p w14:paraId="498A6CF1" w14:textId="3E6653CB" w:rsidR="009F1C07" w:rsidRPr="008B2B72" w:rsidRDefault="00912AD1" w:rsidP="00375096">
      <w:pPr>
        <w:pStyle w:val="Caption"/>
        <w:rPr>
          <w:color w:val="auto"/>
        </w:rPr>
      </w:pPr>
      <w:r w:rsidRPr="008B2B72">
        <w:rPr>
          <w:color w:val="auto"/>
        </w:rPr>
        <w:t>Supp</w:t>
      </w:r>
      <w:r w:rsidR="001C315F" w:rsidRPr="008B2B72">
        <w:rPr>
          <w:color w:val="auto"/>
        </w:rPr>
        <w:t>lementary f</w:t>
      </w:r>
      <w:r w:rsidR="009F1C07" w:rsidRPr="008B2B72">
        <w:rPr>
          <w:color w:val="auto"/>
        </w:rPr>
        <w:t>igure 1. Flow chart describes the type of clinical sample used for preeclampsia classification algorithm Development. Total of 194 asymptomatic subjects, 591 symptomatic non-PE subjects, and 107 PE subjects were used during the algorithm development.</w:t>
      </w:r>
    </w:p>
    <w:p w14:paraId="148494C3" w14:textId="77777777" w:rsidR="00375096" w:rsidRPr="00375096" w:rsidRDefault="00375096" w:rsidP="00375096"/>
    <w:p w14:paraId="5E82393C" w14:textId="040406CA" w:rsidR="009F1C07" w:rsidRDefault="001C315F" w:rsidP="009F1C07">
      <w:r>
        <w:t xml:space="preserve">Supplementary </w:t>
      </w:r>
      <w:r w:rsidR="00473200">
        <w:t>T</w:t>
      </w:r>
      <w:r w:rsidR="009F1C07">
        <w:t>able 1 Clinical characteristics of 892 samples</w:t>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0"/>
        <w:gridCol w:w="1695"/>
        <w:gridCol w:w="1710"/>
        <w:gridCol w:w="1170"/>
        <w:gridCol w:w="1350"/>
      </w:tblGrid>
      <w:tr w:rsidR="009F1C07" w:rsidRPr="00E449F9" w14:paraId="1394B8EF" w14:textId="77777777" w:rsidTr="0055267D">
        <w:trPr>
          <w:trHeight w:val="315"/>
        </w:trPr>
        <w:tc>
          <w:tcPr>
            <w:tcW w:w="3880" w:type="dxa"/>
            <w:shd w:val="clear" w:color="auto" w:fill="auto"/>
            <w:noWrap/>
            <w:vAlign w:val="bottom"/>
            <w:hideMark/>
          </w:tcPr>
          <w:p w14:paraId="44DA8AEA" w14:textId="77777777" w:rsidR="009F1C07" w:rsidRPr="00E449F9" w:rsidRDefault="009F1C07" w:rsidP="0055267D">
            <w:pPr>
              <w:spacing w:after="0" w:line="240" w:lineRule="auto"/>
              <w:rPr>
                <w:rFonts w:ascii="Calibri" w:eastAsia="Times New Roman" w:hAnsi="Calibri" w:cs="Times New Roman"/>
                <w:b/>
                <w:bCs/>
                <w:color w:val="000000"/>
                <w:sz w:val="24"/>
                <w:szCs w:val="24"/>
              </w:rPr>
            </w:pPr>
            <w:r w:rsidRPr="00E449F9">
              <w:rPr>
                <w:rFonts w:ascii="Calibri" w:eastAsia="Times New Roman" w:hAnsi="Calibri" w:cs="Times New Roman"/>
                <w:b/>
                <w:bCs/>
                <w:color w:val="000000"/>
                <w:sz w:val="24"/>
                <w:szCs w:val="24"/>
              </w:rPr>
              <w:t>Demographic and Clinical Variables</w:t>
            </w:r>
          </w:p>
        </w:tc>
        <w:tc>
          <w:tcPr>
            <w:tcW w:w="1695" w:type="dxa"/>
            <w:shd w:val="clear" w:color="auto" w:fill="auto"/>
            <w:noWrap/>
            <w:vAlign w:val="bottom"/>
            <w:hideMark/>
          </w:tcPr>
          <w:p w14:paraId="0F0FFDDD" w14:textId="77777777" w:rsidR="009F1C07" w:rsidRPr="00E449F9" w:rsidRDefault="009F1C07" w:rsidP="0055267D">
            <w:pPr>
              <w:spacing w:after="0" w:line="240" w:lineRule="auto"/>
              <w:jc w:val="center"/>
              <w:rPr>
                <w:rFonts w:ascii="Calibri" w:eastAsia="Times New Roman" w:hAnsi="Calibri" w:cs="Times New Roman"/>
                <w:b/>
                <w:bCs/>
                <w:color w:val="000000"/>
              </w:rPr>
            </w:pPr>
            <w:r w:rsidRPr="00E449F9">
              <w:rPr>
                <w:rFonts w:ascii="Calibri" w:eastAsia="Times New Roman" w:hAnsi="Calibri" w:cs="Times New Roman"/>
                <w:b/>
                <w:bCs/>
                <w:color w:val="000000"/>
              </w:rPr>
              <w:t>Symptomatic Non- PE (n=591)</w:t>
            </w:r>
          </w:p>
        </w:tc>
        <w:tc>
          <w:tcPr>
            <w:tcW w:w="1710" w:type="dxa"/>
            <w:shd w:val="clear" w:color="auto" w:fill="auto"/>
            <w:noWrap/>
            <w:vAlign w:val="bottom"/>
            <w:hideMark/>
          </w:tcPr>
          <w:p w14:paraId="738ACC5E" w14:textId="77777777" w:rsidR="009F1C07" w:rsidRPr="00E449F9" w:rsidRDefault="009F1C07" w:rsidP="0055267D">
            <w:pPr>
              <w:spacing w:after="0" w:line="240" w:lineRule="auto"/>
              <w:jc w:val="center"/>
              <w:rPr>
                <w:rFonts w:ascii="Calibri" w:eastAsia="Times New Roman" w:hAnsi="Calibri" w:cs="Times New Roman"/>
                <w:b/>
                <w:bCs/>
                <w:color w:val="000000"/>
              </w:rPr>
            </w:pPr>
            <w:r w:rsidRPr="00E449F9">
              <w:rPr>
                <w:rFonts w:ascii="Calibri" w:eastAsia="Times New Roman" w:hAnsi="Calibri" w:cs="Times New Roman"/>
                <w:b/>
                <w:bCs/>
                <w:color w:val="000000"/>
              </w:rPr>
              <w:t>Asymptomatic Non-PE (n=194)</w:t>
            </w:r>
          </w:p>
        </w:tc>
        <w:tc>
          <w:tcPr>
            <w:tcW w:w="1170" w:type="dxa"/>
            <w:shd w:val="clear" w:color="auto" w:fill="auto"/>
            <w:noWrap/>
            <w:vAlign w:val="bottom"/>
            <w:hideMark/>
          </w:tcPr>
          <w:p w14:paraId="2ECF1E1F" w14:textId="77777777" w:rsidR="009F1C07" w:rsidRPr="00E449F9" w:rsidRDefault="009F1C07" w:rsidP="0055267D">
            <w:pPr>
              <w:spacing w:after="0" w:line="240" w:lineRule="auto"/>
              <w:jc w:val="center"/>
              <w:rPr>
                <w:rFonts w:ascii="Calibri" w:eastAsia="Times New Roman" w:hAnsi="Calibri" w:cs="Times New Roman"/>
                <w:b/>
                <w:bCs/>
                <w:color w:val="000000"/>
              </w:rPr>
            </w:pPr>
            <w:r w:rsidRPr="00E449F9">
              <w:rPr>
                <w:rFonts w:ascii="Calibri" w:eastAsia="Times New Roman" w:hAnsi="Calibri" w:cs="Times New Roman"/>
                <w:b/>
                <w:bCs/>
                <w:color w:val="000000"/>
              </w:rPr>
              <w:t>PE (n=107)</w:t>
            </w:r>
          </w:p>
        </w:tc>
        <w:tc>
          <w:tcPr>
            <w:tcW w:w="1350" w:type="dxa"/>
            <w:shd w:val="clear" w:color="auto" w:fill="auto"/>
            <w:noWrap/>
            <w:vAlign w:val="bottom"/>
            <w:hideMark/>
          </w:tcPr>
          <w:p w14:paraId="5AC35B5C" w14:textId="77777777" w:rsidR="009F1C07" w:rsidRPr="00E449F9" w:rsidRDefault="009F1C07" w:rsidP="0055267D">
            <w:pPr>
              <w:spacing w:after="0" w:line="240" w:lineRule="auto"/>
              <w:jc w:val="center"/>
              <w:rPr>
                <w:rFonts w:ascii="Calibri" w:eastAsia="Times New Roman" w:hAnsi="Calibri" w:cs="Times New Roman"/>
                <w:b/>
                <w:bCs/>
                <w:color w:val="000000"/>
              </w:rPr>
            </w:pPr>
            <w:r w:rsidRPr="00E449F9">
              <w:rPr>
                <w:rFonts w:ascii="Calibri" w:eastAsia="Times New Roman" w:hAnsi="Calibri" w:cs="Times New Roman"/>
                <w:b/>
                <w:bCs/>
                <w:color w:val="000000"/>
              </w:rPr>
              <w:t>All (n=892)</w:t>
            </w:r>
          </w:p>
        </w:tc>
      </w:tr>
      <w:tr w:rsidR="009F1C07" w:rsidRPr="00E449F9" w14:paraId="3134AE9D" w14:textId="77777777" w:rsidTr="0055267D">
        <w:trPr>
          <w:trHeight w:val="300"/>
        </w:trPr>
        <w:tc>
          <w:tcPr>
            <w:tcW w:w="3880" w:type="dxa"/>
            <w:shd w:val="clear" w:color="auto" w:fill="auto"/>
            <w:noWrap/>
            <w:vAlign w:val="bottom"/>
            <w:hideMark/>
          </w:tcPr>
          <w:p w14:paraId="4B875A80" w14:textId="77777777" w:rsidR="009F1C07" w:rsidRPr="00E449F9" w:rsidRDefault="009F1C07" w:rsidP="0055267D">
            <w:pPr>
              <w:spacing w:after="0" w:line="240" w:lineRule="auto"/>
              <w:rPr>
                <w:rFonts w:ascii="Calibri" w:eastAsia="Times New Roman" w:hAnsi="Calibri" w:cs="Times New Roman"/>
                <w:b/>
                <w:bCs/>
                <w:color w:val="000000"/>
              </w:rPr>
            </w:pPr>
            <w:r w:rsidRPr="00E449F9">
              <w:rPr>
                <w:rFonts w:ascii="Calibri" w:eastAsia="Times New Roman" w:hAnsi="Calibri" w:cs="Times New Roman"/>
                <w:b/>
                <w:bCs/>
                <w:color w:val="000000"/>
              </w:rPr>
              <w:t>Blood Pressure</w:t>
            </w:r>
          </w:p>
        </w:tc>
        <w:tc>
          <w:tcPr>
            <w:tcW w:w="1695" w:type="dxa"/>
            <w:shd w:val="clear" w:color="auto" w:fill="auto"/>
            <w:noWrap/>
            <w:vAlign w:val="bottom"/>
            <w:hideMark/>
          </w:tcPr>
          <w:p w14:paraId="22A7CAC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1A19F0F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703DAC3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090573B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21F9322C" w14:textId="77777777" w:rsidTr="0055267D">
        <w:trPr>
          <w:trHeight w:val="300"/>
        </w:trPr>
        <w:tc>
          <w:tcPr>
            <w:tcW w:w="3880" w:type="dxa"/>
            <w:shd w:val="clear" w:color="auto" w:fill="auto"/>
            <w:noWrap/>
            <w:vAlign w:val="bottom"/>
            <w:hideMark/>
          </w:tcPr>
          <w:p w14:paraId="4D1B77EE"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Systolic Median (IQR)</w:t>
            </w:r>
          </w:p>
        </w:tc>
        <w:tc>
          <w:tcPr>
            <w:tcW w:w="1695" w:type="dxa"/>
            <w:shd w:val="clear" w:color="auto" w:fill="auto"/>
            <w:noWrap/>
            <w:vAlign w:val="bottom"/>
            <w:hideMark/>
          </w:tcPr>
          <w:p w14:paraId="31D4B676"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123 (19)</w:t>
            </w:r>
          </w:p>
        </w:tc>
        <w:tc>
          <w:tcPr>
            <w:tcW w:w="1710" w:type="dxa"/>
            <w:shd w:val="clear" w:color="auto" w:fill="auto"/>
            <w:noWrap/>
            <w:vAlign w:val="bottom"/>
            <w:hideMark/>
          </w:tcPr>
          <w:p w14:paraId="48688DE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113 (15)</w:t>
            </w:r>
          </w:p>
        </w:tc>
        <w:tc>
          <w:tcPr>
            <w:tcW w:w="1170" w:type="dxa"/>
            <w:shd w:val="clear" w:color="auto" w:fill="auto"/>
            <w:noWrap/>
            <w:vAlign w:val="bottom"/>
            <w:hideMark/>
          </w:tcPr>
          <w:p w14:paraId="6E18CA3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160 (23.3)</w:t>
            </w:r>
          </w:p>
        </w:tc>
        <w:tc>
          <w:tcPr>
            <w:tcW w:w="1350" w:type="dxa"/>
            <w:shd w:val="clear" w:color="auto" w:fill="auto"/>
            <w:noWrap/>
            <w:vAlign w:val="bottom"/>
            <w:hideMark/>
          </w:tcPr>
          <w:p w14:paraId="4813282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122 (25)</w:t>
            </w:r>
          </w:p>
        </w:tc>
      </w:tr>
      <w:tr w:rsidR="009F1C07" w:rsidRPr="00E449F9" w14:paraId="46FEB0AB" w14:textId="77777777" w:rsidTr="0055267D">
        <w:trPr>
          <w:trHeight w:val="300"/>
        </w:trPr>
        <w:tc>
          <w:tcPr>
            <w:tcW w:w="3880" w:type="dxa"/>
            <w:shd w:val="clear" w:color="auto" w:fill="auto"/>
            <w:noWrap/>
            <w:vAlign w:val="bottom"/>
            <w:hideMark/>
          </w:tcPr>
          <w:p w14:paraId="70068412"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Diastolic Median (IQR)</w:t>
            </w:r>
          </w:p>
        </w:tc>
        <w:tc>
          <w:tcPr>
            <w:tcW w:w="1695" w:type="dxa"/>
            <w:shd w:val="clear" w:color="auto" w:fill="auto"/>
            <w:noWrap/>
            <w:vAlign w:val="bottom"/>
            <w:hideMark/>
          </w:tcPr>
          <w:p w14:paraId="45058852"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73 (14)</w:t>
            </w:r>
          </w:p>
        </w:tc>
        <w:tc>
          <w:tcPr>
            <w:tcW w:w="1710" w:type="dxa"/>
            <w:shd w:val="clear" w:color="auto" w:fill="auto"/>
            <w:noWrap/>
            <w:vAlign w:val="bottom"/>
            <w:hideMark/>
          </w:tcPr>
          <w:p w14:paraId="004B8D4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65 (13)</w:t>
            </w:r>
          </w:p>
        </w:tc>
        <w:tc>
          <w:tcPr>
            <w:tcW w:w="1170" w:type="dxa"/>
            <w:shd w:val="clear" w:color="auto" w:fill="auto"/>
            <w:noWrap/>
            <w:vAlign w:val="bottom"/>
            <w:hideMark/>
          </w:tcPr>
          <w:p w14:paraId="6D77AE5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99 (14)</w:t>
            </w:r>
          </w:p>
        </w:tc>
        <w:tc>
          <w:tcPr>
            <w:tcW w:w="1350" w:type="dxa"/>
            <w:shd w:val="clear" w:color="auto" w:fill="auto"/>
            <w:noWrap/>
            <w:vAlign w:val="bottom"/>
            <w:hideMark/>
          </w:tcPr>
          <w:p w14:paraId="236724E2"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73 (18)</w:t>
            </w:r>
          </w:p>
        </w:tc>
      </w:tr>
      <w:tr w:rsidR="009F1C07" w:rsidRPr="00E449F9" w14:paraId="1F1F6A6E" w14:textId="77777777" w:rsidTr="0055267D">
        <w:trPr>
          <w:trHeight w:val="300"/>
        </w:trPr>
        <w:tc>
          <w:tcPr>
            <w:tcW w:w="3880" w:type="dxa"/>
            <w:shd w:val="clear" w:color="auto" w:fill="auto"/>
            <w:noWrap/>
            <w:vAlign w:val="bottom"/>
            <w:hideMark/>
          </w:tcPr>
          <w:p w14:paraId="33CC5D4C" w14:textId="77777777" w:rsidR="009F1C07" w:rsidRPr="00E449F9" w:rsidRDefault="009F1C07" w:rsidP="0055267D">
            <w:pPr>
              <w:spacing w:after="0" w:line="240" w:lineRule="auto"/>
              <w:rPr>
                <w:rFonts w:ascii="Calibri" w:eastAsia="Times New Roman" w:hAnsi="Calibri" w:cs="Times New Roman"/>
                <w:b/>
                <w:bCs/>
                <w:color w:val="000000"/>
              </w:rPr>
            </w:pPr>
            <w:r w:rsidRPr="00E449F9">
              <w:rPr>
                <w:rFonts w:ascii="Calibri" w:eastAsia="Times New Roman" w:hAnsi="Calibri" w:cs="Times New Roman"/>
                <w:b/>
                <w:bCs/>
                <w:color w:val="000000"/>
              </w:rPr>
              <w:t>Pregestational Diabetes</w:t>
            </w:r>
          </w:p>
        </w:tc>
        <w:tc>
          <w:tcPr>
            <w:tcW w:w="1695" w:type="dxa"/>
            <w:shd w:val="clear" w:color="auto" w:fill="auto"/>
            <w:noWrap/>
            <w:vAlign w:val="bottom"/>
            <w:hideMark/>
          </w:tcPr>
          <w:p w14:paraId="422409E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7B9C757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3C548B2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126A9D4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0F1AC437" w14:textId="77777777" w:rsidTr="0055267D">
        <w:trPr>
          <w:trHeight w:val="300"/>
        </w:trPr>
        <w:tc>
          <w:tcPr>
            <w:tcW w:w="3880" w:type="dxa"/>
            <w:shd w:val="clear" w:color="auto" w:fill="auto"/>
            <w:noWrap/>
            <w:vAlign w:val="bottom"/>
            <w:hideMark/>
          </w:tcPr>
          <w:p w14:paraId="1342D10F"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No</w:t>
            </w:r>
          </w:p>
        </w:tc>
        <w:tc>
          <w:tcPr>
            <w:tcW w:w="1695" w:type="dxa"/>
            <w:shd w:val="clear" w:color="auto" w:fill="auto"/>
            <w:noWrap/>
            <w:vAlign w:val="bottom"/>
            <w:hideMark/>
          </w:tcPr>
          <w:p w14:paraId="055AF0C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358 (60.6%)</w:t>
            </w:r>
          </w:p>
        </w:tc>
        <w:tc>
          <w:tcPr>
            <w:tcW w:w="1710" w:type="dxa"/>
            <w:shd w:val="clear" w:color="auto" w:fill="auto"/>
            <w:noWrap/>
            <w:vAlign w:val="bottom"/>
            <w:hideMark/>
          </w:tcPr>
          <w:p w14:paraId="0CD41BA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194 (100%)</w:t>
            </w:r>
          </w:p>
        </w:tc>
        <w:tc>
          <w:tcPr>
            <w:tcW w:w="1170" w:type="dxa"/>
            <w:shd w:val="clear" w:color="auto" w:fill="auto"/>
            <w:noWrap/>
            <w:vAlign w:val="bottom"/>
            <w:hideMark/>
          </w:tcPr>
          <w:p w14:paraId="4036685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51 (47.7%)</w:t>
            </w:r>
          </w:p>
        </w:tc>
        <w:tc>
          <w:tcPr>
            <w:tcW w:w="1350" w:type="dxa"/>
            <w:shd w:val="clear" w:color="auto" w:fill="auto"/>
            <w:noWrap/>
            <w:vAlign w:val="bottom"/>
            <w:hideMark/>
          </w:tcPr>
          <w:p w14:paraId="024E40D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603 (67.6%)</w:t>
            </w:r>
          </w:p>
        </w:tc>
      </w:tr>
      <w:tr w:rsidR="009F1C07" w:rsidRPr="00E449F9" w14:paraId="18329AB6" w14:textId="77777777" w:rsidTr="0055267D">
        <w:trPr>
          <w:trHeight w:val="300"/>
        </w:trPr>
        <w:tc>
          <w:tcPr>
            <w:tcW w:w="3880" w:type="dxa"/>
            <w:shd w:val="clear" w:color="auto" w:fill="auto"/>
            <w:noWrap/>
            <w:vAlign w:val="bottom"/>
            <w:hideMark/>
          </w:tcPr>
          <w:p w14:paraId="10E61D5F"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Yes</w:t>
            </w:r>
          </w:p>
        </w:tc>
        <w:tc>
          <w:tcPr>
            <w:tcW w:w="1695" w:type="dxa"/>
            <w:shd w:val="clear" w:color="auto" w:fill="auto"/>
            <w:noWrap/>
            <w:vAlign w:val="bottom"/>
            <w:hideMark/>
          </w:tcPr>
          <w:p w14:paraId="6701702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233 (39.4%)</w:t>
            </w:r>
          </w:p>
        </w:tc>
        <w:tc>
          <w:tcPr>
            <w:tcW w:w="1710" w:type="dxa"/>
            <w:shd w:val="clear" w:color="auto" w:fill="auto"/>
            <w:noWrap/>
            <w:vAlign w:val="bottom"/>
            <w:hideMark/>
          </w:tcPr>
          <w:p w14:paraId="3D3822D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2D9D856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21 (19.6%)</w:t>
            </w:r>
          </w:p>
        </w:tc>
        <w:tc>
          <w:tcPr>
            <w:tcW w:w="1350" w:type="dxa"/>
            <w:shd w:val="clear" w:color="auto" w:fill="auto"/>
            <w:noWrap/>
            <w:vAlign w:val="bottom"/>
            <w:hideMark/>
          </w:tcPr>
          <w:p w14:paraId="0F14489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254 (28.5%)</w:t>
            </w:r>
          </w:p>
        </w:tc>
      </w:tr>
      <w:tr w:rsidR="009F1C07" w:rsidRPr="00E449F9" w14:paraId="21A30AE2" w14:textId="77777777" w:rsidTr="0055267D">
        <w:trPr>
          <w:trHeight w:val="300"/>
        </w:trPr>
        <w:tc>
          <w:tcPr>
            <w:tcW w:w="3880" w:type="dxa"/>
            <w:shd w:val="clear" w:color="auto" w:fill="auto"/>
            <w:noWrap/>
            <w:vAlign w:val="bottom"/>
            <w:hideMark/>
          </w:tcPr>
          <w:p w14:paraId="6865EC44"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Missing</w:t>
            </w:r>
          </w:p>
        </w:tc>
        <w:tc>
          <w:tcPr>
            <w:tcW w:w="1695" w:type="dxa"/>
            <w:shd w:val="clear" w:color="auto" w:fill="auto"/>
            <w:noWrap/>
            <w:vAlign w:val="bottom"/>
            <w:hideMark/>
          </w:tcPr>
          <w:p w14:paraId="2925D6B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2BAB783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6C30676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35 (32.7%)</w:t>
            </w:r>
          </w:p>
        </w:tc>
        <w:tc>
          <w:tcPr>
            <w:tcW w:w="1350" w:type="dxa"/>
            <w:shd w:val="clear" w:color="auto" w:fill="auto"/>
            <w:noWrap/>
            <w:vAlign w:val="bottom"/>
            <w:hideMark/>
          </w:tcPr>
          <w:p w14:paraId="17FB601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35 (3.9%)</w:t>
            </w:r>
          </w:p>
        </w:tc>
      </w:tr>
      <w:tr w:rsidR="009F1C07" w:rsidRPr="00E449F9" w14:paraId="6B72C42C" w14:textId="77777777" w:rsidTr="0055267D">
        <w:trPr>
          <w:trHeight w:val="300"/>
        </w:trPr>
        <w:tc>
          <w:tcPr>
            <w:tcW w:w="3880" w:type="dxa"/>
            <w:shd w:val="clear" w:color="auto" w:fill="auto"/>
            <w:noWrap/>
            <w:vAlign w:val="bottom"/>
            <w:hideMark/>
          </w:tcPr>
          <w:p w14:paraId="06E54B7C" w14:textId="77777777" w:rsidR="009F1C07" w:rsidRPr="00E449F9" w:rsidRDefault="009F1C07" w:rsidP="0055267D">
            <w:pPr>
              <w:spacing w:after="0" w:line="240" w:lineRule="auto"/>
              <w:rPr>
                <w:rFonts w:ascii="Calibri" w:eastAsia="Times New Roman" w:hAnsi="Calibri" w:cs="Times New Roman"/>
                <w:b/>
                <w:bCs/>
                <w:color w:val="000000"/>
              </w:rPr>
            </w:pPr>
            <w:r w:rsidRPr="00E449F9">
              <w:rPr>
                <w:rFonts w:ascii="Calibri" w:eastAsia="Times New Roman" w:hAnsi="Calibri" w:cs="Times New Roman"/>
                <w:b/>
                <w:bCs/>
                <w:color w:val="000000"/>
              </w:rPr>
              <w:t>Diabetes</w:t>
            </w:r>
          </w:p>
        </w:tc>
        <w:tc>
          <w:tcPr>
            <w:tcW w:w="1695" w:type="dxa"/>
            <w:shd w:val="clear" w:color="auto" w:fill="auto"/>
            <w:noWrap/>
            <w:vAlign w:val="bottom"/>
            <w:hideMark/>
          </w:tcPr>
          <w:p w14:paraId="258D7D2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4008433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1806CE2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5820553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3B3617F3" w14:textId="77777777" w:rsidTr="0055267D">
        <w:trPr>
          <w:trHeight w:val="300"/>
        </w:trPr>
        <w:tc>
          <w:tcPr>
            <w:tcW w:w="3880" w:type="dxa"/>
            <w:shd w:val="clear" w:color="auto" w:fill="auto"/>
            <w:noWrap/>
            <w:vAlign w:val="bottom"/>
            <w:hideMark/>
          </w:tcPr>
          <w:p w14:paraId="2CDCC2F9"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No</w:t>
            </w:r>
          </w:p>
        </w:tc>
        <w:tc>
          <w:tcPr>
            <w:tcW w:w="1695" w:type="dxa"/>
            <w:shd w:val="clear" w:color="auto" w:fill="auto"/>
            <w:noWrap/>
            <w:vAlign w:val="bottom"/>
            <w:hideMark/>
          </w:tcPr>
          <w:p w14:paraId="2C308F0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269 (45.5%)</w:t>
            </w:r>
          </w:p>
        </w:tc>
        <w:tc>
          <w:tcPr>
            <w:tcW w:w="1710" w:type="dxa"/>
            <w:shd w:val="clear" w:color="auto" w:fill="auto"/>
            <w:noWrap/>
            <w:vAlign w:val="bottom"/>
            <w:hideMark/>
          </w:tcPr>
          <w:p w14:paraId="5DEB6E02"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193 (99.5%)</w:t>
            </w:r>
          </w:p>
        </w:tc>
        <w:tc>
          <w:tcPr>
            <w:tcW w:w="1170" w:type="dxa"/>
            <w:shd w:val="clear" w:color="auto" w:fill="auto"/>
            <w:noWrap/>
            <w:vAlign w:val="bottom"/>
            <w:hideMark/>
          </w:tcPr>
          <w:p w14:paraId="2BE82F99"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79 (73.8%)</w:t>
            </w:r>
          </w:p>
        </w:tc>
        <w:tc>
          <w:tcPr>
            <w:tcW w:w="1350" w:type="dxa"/>
            <w:shd w:val="clear" w:color="auto" w:fill="auto"/>
            <w:noWrap/>
            <w:vAlign w:val="bottom"/>
            <w:hideMark/>
          </w:tcPr>
          <w:p w14:paraId="0576D78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541 (60.7%)</w:t>
            </w:r>
          </w:p>
        </w:tc>
      </w:tr>
      <w:tr w:rsidR="009F1C07" w:rsidRPr="00E449F9" w14:paraId="0CB41445" w14:textId="77777777" w:rsidTr="0055267D">
        <w:trPr>
          <w:trHeight w:val="300"/>
        </w:trPr>
        <w:tc>
          <w:tcPr>
            <w:tcW w:w="3880" w:type="dxa"/>
            <w:shd w:val="clear" w:color="auto" w:fill="auto"/>
            <w:noWrap/>
            <w:vAlign w:val="bottom"/>
            <w:hideMark/>
          </w:tcPr>
          <w:p w14:paraId="2541A5F0"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Yes</w:t>
            </w:r>
          </w:p>
        </w:tc>
        <w:tc>
          <w:tcPr>
            <w:tcW w:w="1695" w:type="dxa"/>
            <w:shd w:val="clear" w:color="auto" w:fill="auto"/>
            <w:noWrap/>
            <w:vAlign w:val="bottom"/>
            <w:hideMark/>
          </w:tcPr>
          <w:p w14:paraId="6287A7C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322 (54.48%)</w:t>
            </w:r>
          </w:p>
        </w:tc>
        <w:tc>
          <w:tcPr>
            <w:tcW w:w="1710" w:type="dxa"/>
            <w:shd w:val="clear" w:color="auto" w:fill="auto"/>
            <w:noWrap/>
            <w:vAlign w:val="bottom"/>
            <w:hideMark/>
          </w:tcPr>
          <w:p w14:paraId="093D457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0E9F49A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28 (26.1%)</w:t>
            </w:r>
          </w:p>
        </w:tc>
        <w:tc>
          <w:tcPr>
            <w:tcW w:w="1350" w:type="dxa"/>
            <w:shd w:val="clear" w:color="auto" w:fill="auto"/>
            <w:noWrap/>
            <w:vAlign w:val="bottom"/>
            <w:hideMark/>
          </w:tcPr>
          <w:p w14:paraId="0FD8D6C6"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350 (39.2%)</w:t>
            </w:r>
          </w:p>
        </w:tc>
      </w:tr>
      <w:tr w:rsidR="009F1C07" w:rsidRPr="00E449F9" w14:paraId="43BF24D6" w14:textId="77777777" w:rsidTr="0055267D">
        <w:trPr>
          <w:trHeight w:val="300"/>
        </w:trPr>
        <w:tc>
          <w:tcPr>
            <w:tcW w:w="3880" w:type="dxa"/>
            <w:shd w:val="clear" w:color="auto" w:fill="auto"/>
            <w:noWrap/>
            <w:vAlign w:val="bottom"/>
            <w:hideMark/>
          </w:tcPr>
          <w:p w14:paraId="737A403A"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Missing</w:t>
            </w:r>
          </w:p>
        </w:tc>
        <w:tc>
          <w:tcPr>
            <w:tcW w:w="1695" w:type="dxa"/>
            <w:shd w:val="clear" w:color="auto" w:fill="auto"/>
            <w:noWrap/>
            <w:vAlign w:val="bottom"/>
            <w:hideMark/>
          </w:tcPr>
          <w:p w14:paraId="33FEF4D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5704D5F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 (0.5%)</w:t>
            </w:r>
          </w:p>
        </w:tc>
        <w:tc>
          <w:tcPr>
            <w:tcW w:w="1170" w:type="dxa"/>
            <w:shd w:val="clear" w:color="auto" w:fill="auto"/>
            <w:noWrap/>
            <w:vAlign w:val="bottom"/>
            <w:hideMark/>
          </w:tcPr>
          <w:p w14:paraId="6F91657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37EE1597"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 (0.1%)</w:t>
            </w:r>
          </w:p>
        </w:tc>
      </w:tr>
      <w:tr w:rsidR="009F1C07" w:rsidRPr="00E449F9" w14:paraId="735AEF78" w14:textId="77777777" w:rsidTr="0055267D">
        <w:trPr>
          <w:trHeight w:val="300"/>
        </w:trPr>
        <w:tc>
          <w:tcPr>
            <w:tcW w:w="3880" w:type="dxa"/>
            <w:shd w:val="clear" w:color="auto" w:fill="auto"/>
            <w:noWrap/>
            <w:vAlign w:val="bottom"/>
            <w:hideMark/>
          </w:tcPr>
          <w:p w14:paraId="16F4FD90" w14:textId="77777777" w:rsidR="009F1C07" w:rsidRPr="00E449F9" w:rsidRDefault="009F1C07" w:rsidP="0055267D">
            <w:pPr>
              <w:spacing w:after="0" w:line="240" w:lineRule="auto"/>
              <w:rPr>
                <w:rFonts w:ascii="Calibri" w:eastAsia="Times New Roman" w:hAnsi="Calibri" w:cs="Times New Roman"/>
                <w:b/>
                <w:bCs/>
                <w:color w:val="000000"/>
              </w:rPr>
            </w:pPr>
            <w:r w:rsidRPr="00E449F9">
              <w:rPr>
                <w:rFonts w:ascii="Calibri" w:eastAsia="Times New Roman" w:hAnsi="Calibri" w:cs="Times New Roman"/>
                <w:b/>
                <w:bCs/>
                <w:color w:val="000000"/>
              </w:rPr>
              <w:t>Chronic Hypertension</w:t>
            </w:r>
          </w:p>
        </w:tc>
        <w:tc>
          <w:tcPr>
            <w:tcW w:w="1695" w:type="dxa"/>
            <w:shd w:val="clear" w:color="auto" w:fill="auto"/>
            <w:noWrap/>
            <w:vAlign w:val="bottom"/>
            <w:hideMark/>
          </w:tcPr>
          <w:p w14:paraId="4FB02C4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34A00ED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7B652C0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7357336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05964608" w14:textId="77777777" w:rsidTr="0055267D">
        <w:trPr>
          <w:trHeight w:val="300"/>
        </w:trPr>
        <w:tc>
          <w:tcPr>
            <w:tcW w:w="3880" w:type="dxa"/>
            <w:shd w:val="clear" w:color="auto" w:fill="auto"/>
            <w:noWrap/>
            <w:vAlign w:val="bottom"/>
            <w:hideMark/>
          </w:tcPr>
          <w:p w14:paraId="02A1C9B4"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No</w:t>
            </w:r>
          </w:p>
        </w:tc>
        <w:tc>
          <w:tcPr>
            <w:tcW w:w="1695" w:type="dxa"/>
            <w:shd w:val="clear" w:color="auto" w:fill="auto"/>
            <w:noWrap/>
            <w:vAlign w:val="bottom"/>
            <w:hideMark/>
          </w:tcPr>
          <w:p w14:paraId="13C3C2A7"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349 (59.1%)</w:t>
            </w:r>
          </w:p>
        </w:tc>
        <w:tc>
          <w:tcPr>
            <w:tcW w:w="1710" w:type="dxa"/>
            <w:shd w:val="clear" w:color="auto" w:fill="auto"/>
            <w:noWrap/>
            <w:vAlign w:val="bottom"/>
            <w:hideMark/>
          </w:tcPr>
          <w:p w14:paraId="580F465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194 (100%)</w:t>
            </w:r>
          </w:p>
        </w:tc>
        <w:tc>
          <w:tcPr>
            <w:tcW w:w="1170" w:type="dxa"/>
            <w:shd w:val="clear" w:color="auto" w:fill="auto"/>
            <w:noWrap/>
            <w:vAlign w:val="bottom"/>
            <w:hideMark/>
          </w:tcPr>
          <w:p w14:paraId="5D0AD8B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63 (58.9)</w:t>
            </w:r>
          </w:p>
        </w:tc>
        <w:tc>
          <w:tcPr>
            <w:tcW w:w="1350" w:type="dxa"/>
            <w:shd w:val="clear" w:color="auto" w:fill="auto"/>
            <w:noWrap/>
            <w:vAlign w:val="bottom"/>
            <w:hideMark/>
          </w:tcPr>
          <w:p w14:paraId="0427CAA8"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606 (67.9)</w:t>
            </w:r>
          </w:p>
        </w:tc>
      </w:tr>
      <w:tr w:rsidR="009F1C07" w:rsidRPr="00E449F9" w14:paraId="0BE26E34" w14:textId="77777777" w:rsidTr="0055267D">
        <w:trPr>
          <w:trHeight w:val="300"/>
        </w:trPr>
        <w:tc>
          <w:tcPr>
            <w:tcW w:w="3880" w:type="dxa"/>
            <w:shd w:val="clear" w:color="auto" w:fill="auto"/>
            <w:noWrap/>
            <w:vAlign w:val="bottom"/>
            <w:hideMark/>
          </w:tcPr>
          <w:p w14:paraId="710960D1"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Yes</w:t>
            </w:r>
          </w:p>
        </w:tc>
        <w:tc>
          <w:tcPr>
            <w:tcW w:w="1695" w:type="dxa"/>
            <w:shd w:val="clear" w:color="auto" w:fill="auto"/>
            <w:noWrap/>
            <w:vAlign w:val="bottom"/>
            <w:hideMark/>
          </w:tcPr>
          <w:p w14:paraId="0FD42FC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242 (41%)</w:t>
            </w:r>
          </w:p>
        </w:tc>
        <w:tc>
          <w:tcPr>
            <w:tcW w:w="1710" w:type="dxa"/>
            <w:shd w:val="clear" w:color="auto" w:fill="auto"/>
            <w:noWrap/>
            <w:vAlign w:val="bottom"/>
            <w:hideMark/>
          </w:tcPr>
          <w:p w14:paraId="5A3AD1A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1D8A732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44 (41.1)</w:t>
            </w:r>
          </w:p>
        </w:tc>
        <w:tc>
          <w:tcPr>
            <w:tcW w:w="1350" w:type="dxa"/>
            <w:shd w:val="clear" w:color="auto" w:fill="auto"/>
            <w:noWrap/>
            <w:vAlign w:val="bottom"/>
            <w:hideMark/>
          </w:tcPr>
          <w:p w14:paraId="637147F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286 (32.1)</w:t>
            </w:r>
          </w:p>
        </w:tc>
      </w:tr>
      <w:tr w:rsidR="009F1C07" w:rsidRPr="00E449F9" w14:paraId="61A1662E" w14:textId="77777777" w:rsidTr="0055267D">
        <w:trPr>
          <w:trHeight w:val="315"/>
        </w:trPr>
        <w:tc>
          <w:tcPr>
            <w:tcW w:w="3880" w:type="dxa"/>
            <w:shd w:val="clear" w:color="auto" w:fill="auto"/>
            <w:noWrap/>
            <w:vAlign w:val="bottom"/>
            <w:hideMark/>
          </w:tcPr>
          <w:p w14:paraId="08AA7F76" w14:textId="77777777" w:rsidR="009F1C07" w:rsidRPr="00E449F9" w:rsidRDefault="009F1C07" w:rsidP="0055267D">
            <w:pPr>
              <w:spacing w:after="0" w:line="240" w:lineRule="auto"/>
              <w:rPr>
                <w:rFonts w:ascii="Calibri" w:eastAsia="Times New Roman" w:hAnsi="Calibri" w:cs="Times New Roman"/>
                <w:b/>
                <w:bCs/>
                <w:color w:val="000000"/>
                <w:sz w:val="24"/>
                <w:szCs w:val="24"/>
              </w:rPr>
            </w:pPr>
            <w:r w:rsidRPr="00E449F9">
              <w:rPr>
                <w:rFonts w:ascii="Calibri" w:eastAsia="Times New Roman" w:hAnsi="Calibri" w:cs="Times New Roman"/>
                <w:b/>
                <w:bCs/>
                <w:color w:val="000000"/>
                <w:sz w:val="24"/>
                <w:szCs w:val="24"/>
              </w:rPr>
              <w:t>Gestation Age</w:t>
            </w:r>
          </w:p>
        </w:tc>
        <w:tc>
          <w:tcPr>
            <w:tcW w:w="1695" w:type="dxa"/>
            <w:shd w:val="clear" w:color="auto" w:fill="auto"/>
            <w:noWrap/>
            <w:vAlign w:val="bottom"/>
            <w:hideMark/>
          </w:tcPr>
          <w:p w14:paraId="0FE878A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646A887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66034F72"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280BA40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4CEEC1E4" w14:textId="77777777" w:rsidTr="0055267D">
        <w:trPr>
          <w:trHeight w:val="300"/>
        </w:trPr>
        <w:tc>
          <w:tcPr>
            <w:tcW w:w="3880" w:type="dxa"/>
            <w:shd w:val="clear" w:color="auto" w:fill="auto"/>
            <w:noWrap/>
            <w:vAlign w:val="bottom"/>
            <w:hideMark/>
          </w:tcPr>
          <w:p w14:paraId="07D9DC4A"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GA Weeks at Enrollment Median (IQR)</w:t>
            </w:r>
          </w:p>
        </w:tc>
        <w:tc>
          <w:tcPr>
            <w:tcW w:w="1695" w:type="dxa"/>
            <w:shd w:val="clear" w:color="auto" w:fill="auto"/>
            <w:noWrap/>
            <w:vAlign w:val="bottom"/>
            <w:hideMark/>
          </w:tcPr>
          <w:p w14:paraId="4BE4B3B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32 (7.5)</w:t>
            </w:r>
          </w:p>
        </w:tc>
        <w:tc>
          <w:tcPr>
            <w:tcW w:w="1710" w:type="dxa"/>
            <w:shd w:val="clear" w:color="auto" w:fill="auto"/>
            <w:noWrap/>
            <w:vAlign w:val="bottom"/>
            <w:hideMark/>
          </w:tcPr>
          <w:p w14:paraId="1FD01D9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31 (8)</w:t>
            </w:r>
          </w:p>
        </w:tc>
        <w:tc>
          <w:tcPr>
            <w:tcW w:w="1170" w:type="dxa"/>
            <w:shd w:val="clear" w:color="auto" w:fill="auto"/>
            <w:noWrap/>
            <w:vAlign w:val="bottom"/>
            <w:hideMark/>
          </w:tcPr>
          <w:p w14:paraId="0E0D2CF0"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33 (3)</w:t>
            </w:r>
          </w:p>
        </w:tc>
        <w:tc>
          <w:tcPr>
            <w:tcW w:w="1350" w:type="dxa"/>
            <w:shd w:val="clear" w:color="auto" w:fill="auto"/>
            <w:noWrap/>
            <w:vAlign w:val="bottom"/>
            <w:hideMark/>
          </w:tcPr>
          <w:p w14:paraId="2A81B44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32 (7)</w:t>
            </w:r>
          </w:p>
        </w:tc>
      </w:tr>
      <w:tr w:rsidR="009F1C07" w:rsidRPr="00E449F9" w14:paraId="4BBEDFC3" w14:textId="77777777" w:rsidTr="0055267D">
        <w:trPr>
          <w:trHeight w:val="315"/>
        </w:trPr>
        <w:tc>
          <w:tcPr>
            <w:tcW w:w="3880" w:type="dxa"/>
            <w:shd w:val="clear" w:color="auto" w:fill="auto"/>
            <w:noWrap/>
            <w:vAlign w:val="bottom"/>
            <w:hideMark/>
          </w:tcPr>
          <w:p w14:paraId="7E913273"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GA Weeks at Delivery Median (IQR)</w:t>
            </w:r>
          </w:p>
        </w:tc>
        <w:tc>
          <w:tcPr>
            <w:tcW w:w="1695" w:type="dxa"/>
            <w:shd w:val="clear" w:color="auto" w:fill="auto"/>
            <w:noWrap/>
            <w:vAlign w:val="bottom"/>
            <w:hideMark/>
          </w:tcPr>
          <w:p w14:paraId="234951D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38 (2)</w:t>
            </w:r>
          </w:p>
        </w:tc>
        <w:tc>
          <w:tcPr>
            <w:tcW w:w="1710" w:type="dxa"/>
            <w:shd w:val="clear" w:color="auto" w:fill="auto"/>
            <w:noWrap/>
            <w:vAlign w:val="bottom"/>
            <w:hideMark/>
          </w:tcPr>
          <w:p w14:paraId="4ED4E2C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39 (1.8)</w:t>
            </w:r>
          </w:p>
        </w:tc>
        <w:tc>
          <w:tcPr>
            <w:tcW w:w="1170" w:type="dxa"/>
            <w:shd w:val="clear" w:color="auto" w:fill="auto"/>
            <w:noWrap/>
            <w:vAlign w:val="bottom"/>
            <w:hideMark/>
          </w:tcPr>
          <w:p w14:paraId="580D691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34 (3)</w:t>
            </w:r>
          </w:p>
        </w:tc>
        <w:tc>
          <w:tcPr>
            <w:tcW w:w="1350" w:type="dxa"/>
            <w:shd w:val="clear" w:color="auto" w:fill="auto"/>
            <w:noWrap/>
            <w:vAlign w:val="bottom"/>
            <w:hideMark/>
          </w:tcPr>
          <w:p w14:paraId="1585DEB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38 (2)</w:t>
            </w:r>
          </w:p>
        </w:tc>
      </w:tr>
      <w:tr w:rsidR="009F1C07" w:rsidRPr="00E449F9" w14:paraId="07357C62" w14:textId="77777777" w:rsidTr="0055267D">
        <w:trPr>
          <w:trHeight w:val="330"/>
        </w:trPr>
        <w:tc>
          <w:tcPr>
            <w:tcW w:w="3880" w:type="dxa"/>
            <w:shd w:val="clear" w:color="auto" w:fill="auto"/>
            <w:noWrap/>
            <w:vAlign w:val="center"/>
            <w:hideMark/>
          </w:tcPr>
          <w:p w14:paraId="749B1347" w14:textId="77777777" w:rsidR="009F1C07" w:rsidRPr="00E449F9" w:rsidRDefault="009F1C07" w:rsidP="0055267D">
            <w:pPr>
              <w:spacing w:after="0" w:line="240" w:lineRule="auto"/>
              <w:rPr>
                <w:rFonts w:ascii="Calibri" w:eastAsia="Times New Roman" w:hAnsi="Calibri" w:cs="Times New Roman"/>
                <w:b/>
                <w:bCs/>
                <w:color w:val="000000"/>
                <w:sz w:val="24"/>
                <w:szCs w:val="24"/>
              </w:rPr>
            </w:pPr>
            <w:r w:rsidRPr="00E449F9">
              <w:rPr>
                <w:rFonts w:ascii="Calibri" w:eastAsia="Times New Roman" w:hAnsi="Calibri" w:cs="Times New Roman"/>
                <w:b/>
                <w:bCs/>
                <w:color w:val="000000"/>
                <w:sz w:val="24"/>
                <w:szCs w:val="24"/>
              </w:rPr>
              <w:lastRenderedPageBreak/>
              <w:t>Age at enrollment</w:t>
            </w:r>
          </w:p>
        </w:tc>
        <w:tc>
          <w:tcPr>
            <w:tcW w:w="1695" w:type="dxa"/>
            <w:shd w:val="clear" w:color="auto" w:fill="auto"/>
            <w:noWrap/>
            <w:vAlign w:val="bottom"/>
            <w:hideMark/>
          </w:tcPr>
          <w:p w14:paraId="7C3F8A0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2C9ECC2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630A515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1DDECB99"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568733F7" w14:textId="77777777" w:rsidTr="0055267D">
        <w:trPr>
          <w:trHeight w:val="330"/>
        </w:trPr>
        <w:tc>
          <w:tcPr>
            <w:tcW w:w="3880" w:type="dxa"/>
            <w:shd w:val="clear" w:color="auto" w:fill="auto"/>
            <w:noWrap/>
            <w:vAlign w:val="center"/>
            <w:hideMark/>
          </w:tcPr>
          <w:p w14:paraId="29F1803D"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Age in years Median (IQR)</w:t>
            </w:r>
          </w:p>
        </w:tc>
        <w:tc>
          <w:tcPr>
            <w:tcW w:w="1695" w:type="dxa"/>
            <w:shd w:val="clear" w:color="auto" w:fill="auto"/>
            <w:noWrap/>
            <w:vAlign w:val="bottom"/>
            <w:hideMark/>
          </w:tcPr>
          <w:p w14:paraId="30D1665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30 (9)</w:t>
            </w:r>
          </w:p>
        </w:tc>
        <w:tc>
          <w:tcPr>
            <w:tcW w:w="1710" w:type="dxa"/>
            <w:shd w:val="clear" w:color="auto" w:fill="auto"/>
            <w:noWrap/>
            <w:vAlign w:val="bottom"/>
            <w:hideMark/>
          </w:tcPr>
          <w:p w14:paraId="6C4F4089"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28 (10)</w:t>
            </w:r>
          </w:p>
        </w:tc>
        <w:tc>
          <w:tcPr>
            <w:tcW w:w="1170" w:type="dxa"/>
            <w:shd w:val="clear" w:color="auto" w:fill="auto"/>
            <w:noWrap/>
            <w:vAlign w:val="bottom"/>
            <w:hideMark/>
          </w:tcPr>
          <w:p w14:paraId="376BC56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29 (8)</w:t>
            </w:r>
          </w:p>
        </w:tc>
        <w:tc>
          <w:tcPr>
            <w:tcW w:w="1350" w:type="dxa"/>
            <w:shd w:val="clear" w:color="auto" w:fill="auto"/>
            <w:noWrap/>
            <w:vAlign w:val="bottom"/>
            <w:hideMark/>
          </w:tcPr>
          <w:p w14:paraId="3C81B19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29 (9)</w:t>
            </w:r>
          </w:p>
        </w:tc>
      </w:tr>
      <w:tr w:rsidR="009F1C07" w:rsidRPr="00E449F9" w14:paraId="74D7C7D1" w14:textId="77777777" w:rsidTr="0055267D">
        <w:trPr>
          <w:trHeight w:val="315"/>
        </w:trPr>
        <w:tc>
          <w:tcPr>
            <w:tcW w:w="3880" w:type="dxa"/>
            <w:shd w:val="clear" w:color="auto" w:fill="auto"/>
            <w:noWrap/>
            <w:vAlign w:val="bottom"/>
            <w:hideMark/>
          </w:tcPr>
          <w:p w14:paraId="1BE16E76" w14:textId="77777777" w:rsidR="009F1C07" w:rsidRPr="00E449F9" w:rsidRDefault="009F1C07" w:rsidP="0055267D">
            <w:pPr>
              <w:spacing w:after="0" w:line="240" w:lineRule="auto"/>
              <w:rPr>
                <w:rFonts w:ascii="Calibri" w:eastAsia="Times New Roman" w:hAnsi="Calibri" w:cs="Times New Roman"/>
                <w:b/>
                <w:bCs/>
                <w:color w:val="000000"/>
                <w:sz w:val="24"/>
                <w:szCs w:val="24"/>
              </w:rPr>
            </w:pPr>
            <w:r w:rsidRPr="00E449F9">
              <w:rPr>
                <w:rFonts w:ascii="Calibri" w:eastAsia="Times New Roman" w:hAnsi="Calibri" w:cs="Times New Roman"/>
                <w:b/>
                <w:bCs/>
                <w:color w:val="000000"/>
                <w:sz w:val="24"/>
                <w:szCs w:val="24"/>
              </w:rPr>
              <w:t>Race</w:t>
            </w:r>
          </w:p>
        </w:tc>
        <w:tc>
          <w:tcPr>
            <w:tcW w:w="1695" w:type="dxa"/>
            <w:shd w:val="clear" w:color="auto" w:fill="auto"/>
            <w:noWrap/>
            <w:vAlign w:val="bottom"/>
            <w:hideMark/>
          </w:tcPr>
          <w:p w14:paraId="325775A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6048E71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67D59D37"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08FD349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2D9FD7B4" w14:textId="77777777" w:rsidTr="0055267D">
        <w:trPr>
          <w:trHeight w:val="330"/>
        </w:trPr>
        <w:tc>
          <w:tcPr>
            <w:tcW w:w="3880" w:type="dxa"/>
            <w:shd w:val="clear" w:color="auto" w:fill="auto"/>
            <w:noWrap/>
            <w:vAlign w:val="center"/>
            <w:hideMark/>
          </w:tcPr>
          <w:p w14:paraId="15198EE5"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WHITE</w:t>
            </w:r>
          </w:p>
        </w:tc>
        <w:tc>
          <w:tcPr>
            <w:tcW w:w="1695" w:type="dxa"/>
            <w:shd w:val="clear" w:color="auto" w:fill="auto"/>
            <w:noWrap/>
            <w:vAlign w:val="bottom"/>
            <w:hideMark/>
          </w:tcPr>
          <w:p w14:paraId="108BA54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332 (56.2%)</w:t>
            </w:r>
          </w:p>
        </w:tc>
        <w:tc>
          <w:tcPr>
            <w:tcW w:w="1710" w:type="dxa"/>
            <w:shd w:val="clear" w:color="auto" w:fill="auto"/>
            <w:noWrap/>
            <w:vAlign w:val="bottom"/>
            <w:hideMark/>
          </w:tcPr>
          <w:p w14:paraId="5851916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148 (76.3%)</w:t>
            </w:r>
          </w:p>
        </w:tc>
        <w:tc>
          <w:tcPr>
            <w:tcW w:w="1170" w:type="dxa"/>
            <w:shd w:val="clear" w:color="auto" w:fill="auto"/>
            <w:noWrap/>
            <w:vAlign w:val="bottom"/>
            <w:hideMark/>
          </w:tcPr>
          <w:p w14:paraId="4C44F89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56 (52.3%)</w:t>
            </w:r>
          </w:p>
        </w:tc>
        <w:tc>
          <w:tcPr>
            <w:tcW w:w="1350" w:type="dxa"/>
            <w:shd w:val="clear" w:color="auto" w:fill="auto"/>
            <w:noWrap/>
            <w:vAlign w:val="bottom"/>
            <w:hideMark/>
          </w:tcPr>
          <w:p w14:paraId="0D0255B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536 (60.1%)</w:t>
            </w:r>
          </w:p>
        </w:tc>
      </w:tr>
      <w:tr w:rsidR="009F1C07" w:rsidRPr="00E449F9" w14:paraId="7AB96AD8" w14:textId="77777777" w:rsidTr="0055267D">
        <w:trPr>
          <w:trHeight w:val="330"/>
        </w:trPr>
        <w:tc>
          <w:tcPr>
            <w:tcW w:w="3880" w:type="dxa"/>
            <w:shd w:val="clear" w:color="auto" w:fill="auto"/>
            <w:noWrap/>
            <w:vAlign w:val="center"/>
            <w:hideMark/>
          </w:tcPr>
          <w:p w14:paraId="6822D607"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BLACK</w:t>
            </w:r>
          </w:p>
        </w:tc>
        <w:tc>
          <w:tcPr>
            <w:tcW w:w="1695" w:type="dxa"/>
            <w:shd w:val="clear" w:color="auto" w:fill="auto"/>
            <w:noWrap/>
            <w:vAlign w:val="bottom"/>
            <w:hideMark/>
          </w:tcPr>
          <w:p w14:paraId="1B79A8E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235 (39.8%)</w:t>
            </w:r>
          </w:p>
        </w:tc>
        <w:tc>
          <w:tcPr>
            <w:tcW w:w="1710" w:type="dxa"/>
            <w:shd w:val="clear" w:color="auto" w:fill="auto"/>
            <w:noWrap/>
            <w:vAlign w:val="bottom"/>
            <w:hideMark/>
          </w:tcPr>
          <w:p w14:paraId="25508D8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38 (19.6%)</w:t>
            </w:r>
          </w:p>
        </w:tc>
        <w:tc>
          <w:tcPr>
            <w:tcW w:w="1170" w:type="dxa"/>
            <w:shd w:val="clear" w:color="auto" w:fill="auto"/>
            <w:noWrap/>
            <w:vAlign w:val="bottom"/>
            <w:hideMark/>
          </w:tcPr>
          <w:p w14:paraId="1E51C94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46 (43%)</w:t>
            </w:r>
          </w:p>
        </w:tc>
        <w:tc>
          <w:tcPr>
            <w:tcW w:w="1350" w:type="dxa"/>
            <w:shd w:val="clear" w:color="auto" w:fill="auto"/>
            <w:noWrap/>
            <w:vAlign w:val="bottom"/>
            <w:hideMark/>
          </w:tcPr>
          <w:p w14:paraId="42A2CDA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319 (35.8%)</w:t>
            </w:r>
          </w:p>
        </w:tc>
      </w:tr>
      <w:tr w:rsidR="009F1C07" w:rsidRPr="00E449F9" w14:paraId="7E0B4823" w14:textId="77777777" w:rsidTr="0055267D">
        <w:trPr>
          <w:trHeight w:val="330"/>
        </w:trPr>
        <w:tc>
          <w:tcPr>
            <w:tcW w:w="3880" w:type="dxa"/>
            <w:shd w:val="clear" w:color="auto" w:fill="auto"/>
            <w:noWrap/>
            <w:vAlign w:val="center"/>
            <w:hideMark/>
          </w:tcPr>
          <w:p w14:paraId="3644CA1E"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ASIAN</w:t>
            </w:r>
          </w:p>
        </w:tc>
        <w:tc>
          <w:tcPr>
            <w:tcW w:w="1695" w:type="dxa"/>
            <w:shd w:val="clear" w:color="auto" w:fill="auto"/>
            <w:noWrap/>
            <w:vAlign w:val="bottom"/>
            <w:hideMark/>
          </w:tcPr>
          <w:p w14:paraId="080ABF3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7 (1.2%)</w:t>
            </w:r>
          </w:p>
        </w:tc>
        <w:tc>
          <w:tcPr>
            <w:tcW w:w="1710" w:type="dxa"/>
            <w:shd w:val="clear" w:color="auto" w:fill="auto"/>
            <w:noWrap/>
            <w:vAlign w:val="bottom"/>
            <w:hideMark/>
          </w:tcPr>
          <w:p w14:paraId="1F572E9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 (1.6%)</w:t>
            </w:r>
          </w:p>
        </w:tc>
        <w:tc>
          <w:tcPr>
            <w:tcW w:w="1170" w:type="dxa"/>
            <w:shd w:val="clear" w:color="auto" w:fill="auto"/>
            <w:noWrap/>
            <w:vAlign w:val="bottom"/>
            <w:hideMark/>
          </w:tcPr>
          <w:p w14:paraId="6EA285B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6BF0557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10 (1.1%)</w:t>
            </w:r>
          </w:p>
        </w:tc>
      </w:tr>
      <w:tr w:rsidR="009F1C07" w:rsidRPr="00E449F9" w14:paraId="52961FDF" w14:textId="77777777" w:rsidTr="0055267D">
        <w:trPr>
          <w:trHeight w:val="315"/>
        </w:trPr>
        <w:tc>
          <w:tcPr>
            <w:tcW w:w="3880" w:type="dxa"/>
            <w:shd w:val="clear" w:color="auto" w:fill="auto"/>
            <w:noWrap/>
            <w:vAlign w:val="bottom"/>
            <w:hideMark/>
          </w:tcPr>
          <w:p w14:paraId="11DB5071"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NATIVE AMERICAN</w:t>
            </w:r>
          </w:p>
        </w:tc>
        <w:tc>
          <w:tcPr>
            <w:tcW w:w="1695" w:type="dxa"/>
            <w:shd w:val="clear" w:color="auto" w:fill="auto"/>
            <w:noWrap/>
            <w:vAlign w:val="bottom"/>
            <w:hideMark/>
          </w:tcPr>
          <w:p w14:paraId="25A9BDE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 (0.2%)</w:t>
            </w:r>
          </w:p>
        </w:tc>
        <w:tc>
          <w:tcPr>
            <w:tcW w:w="1710" w:type="dxa"/>
            <w:shd w:val="clear" w:color="auto" w:fill="auto"/>
            <w:noWrap/>
            <w:vAlign w:val="bottom"/>
            <w:hideMark/>
          </w:tcPr>
          <w:p w14:paraId="7BE7A30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0067434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 (1.2%)</w:t>
            </w:r>
          </w:p>
        </w:tc>
        <w:tc>
          <w:tcPr>
            <w:tcW w:w="1350" w:type="dxa"/>
            <w:shd w:val="clear" w:color="auto" w:fill="auto"/>
            <w:noWrap/>
            <w:vAlign w:val="bottom"/>
            <w:hideMark/>
          </w:tcPr>
          <w:p w14:paraId="148BCF2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 (0.3%)</w:t>
            </w:r>
          </w:p>
        </w:tc>
      </w:tr>
      <w:tr w:rsidR="009F1C07" w:rsidRPr="00E449F9" w14:paraId="32A90238" w14:textId="77777777" w:rsidTr="0055267D">
        <w:trPr>
          <w:trHeight w:val="300"/>
        </w:trPr>
        <w:tc>
          <w:tcPr>
            <w:tcW w:w="3880" w:type="dxa"/>
            <w:shd w:val="clear" w:color="auto" w:fill="auto"/>
            <w:noWrap/>
            <w:vAlign w:val="bottom"/>
            <w:hideMark/>
          </w:tcPr>
          <w:p w14:paraId="64519205"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PACIFIC ISLANDER</w:t>
            </w:r>
          </w:p>
        </w:tc>
        <w:tc>
          <w:tcPr>
            <w:tcW w:w="1695" w:type="dxa"/>
            <w:shd w:val="clear" w:color="auto" w:fill="auto"/>
            <w:noWrap/>
            <w:vAlign w:val="bottom"/>
            <w:hideMark/>
          </w:tcPr>
          <w:p w14:paraId="285BBE55"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62A187A9"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 (0.5%)</w:t>
            </w:r>
          </w:p>
        </w:tc>
        <w:tc>
          <w:tcPr>
            <w:tcW w:w="1170" w:type="dxa"/>
            <w:shd w:val="clear" w:color="auto" w:fill="auto"/>
            <w:noWrap/>
            <w:vAlign w:val="bottom"/>
            <w:hideMark/>
          </w:tcPr>
          <w:p w14:paraId="69DE54D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116A3612"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 (0.1%)</w:t>
            </w:r>
          </w:p>
        </w:tc>
      </w:tr>
      <w:tr w:rsidR="009F1C07" w:rsidRPr="00E449F9" w14:paraId="2DB9A8EE" w14:textId="77777777" w:rsidTr="0055267D">
        <w:trPr>
          <w:trHeight w:val="300"/>
        </w:trPr>
        <w:tc>
          <w:tcPr>
            <w:tcW w:w="3880" w:type="dxa"/>
            <w:shd w:val="clear" w:color="auto" w:fill="auto"/>
            <w:noWrap/>
            <w:vAlign w:val="bottom"/>
            <w:hideMark/>
          </w:tcPr>
          <w:p w14:paraId="18C6E23B" w14:textId="77777777" w:rsidR="009F1C07" w:rsidRPr="00E449F9" w:rsidRDefault="009F1C07" w:rsidP="0055267D">
            <w:pPr>
              <w:spacing w:after="0" w:line="240" w:lineRule="auto"/>
              <w:rPr>
                <w:rFonts w:ascii="Calibri" w:eastAsia="Times New Roman" w:hAnsi="Calibri" w:cs="Times New Roman"/>
                <w:color w:val="000000"/>
              </w:rPr>
            </w:pPr>
            <w:r w:rsidRPr="00E449F9">
              <w:rPr>
                <w:rFonts w:ascii="Calibri" w:eastAsia="Times New Roman" w:hAnsi="Calibri" w:cs="Times New Roman"/>
                <w:color w:val="000000"/>
              </w:rPr>
              <w:t>Missing</w:t>
            </w:r>
          </w:p>
        </w:tc>
        <w:tc>
          <w:tcPr>
            <w:tcW w:w="1695" w:type="dxa"/>
            <w:shd w:val="clear" w:color="auto" w:fill="auto"/>
            <w:noWrap/>
            <w:vAlign w:val="bottom"/>
            <w:hideMark/>
          </w:tcPr>
          <w:p w14:paraId="20E1BAA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16 (2.7%)</w:t>
            </w:r>
          </w:p>
        </w:tc>
        <w:tc>
          <w:tcPr>
            <w:tcW w:w="1710" w:type="dxa"/>
            <w:shd w:val="clear" w:color="auto" w:fill="auto"/>
            <w:noWrap/>
            <w:vAlign w:val="bottom"/>
            <w:hideMark/>
          </w:tcPr>
          <w:p w14:paraId="0EC1EAD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4 (2.1%)</w:t>
            </w:r>
          </w:p>
        </w:tc>
        <w:tc>
          <w:tcPr>
            <w:tcW w:w="1170" w:type="dxa"/>
            <w:shd w:val="clear" w:color="auto" w:fill="auto"/>
            <w:noWrap/>
            <w:vAlign w:val="bottom"/>
            <w:hideMark/>
          </w:tcPr>
          <w:p w14:paraId="405A011C"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 (2.8%)</w:t>
            </w:r>
          </w:p>
        </w:tc>
        <w:tc>
          <w:tcPr>
            <w:tcW w:w="1350" w:type="dxa"/>
            <w:shd w:val="clear" w:color="auto" w:fill="auto"/>
            <w:noWrap/>
            <w:vAlign w:val="bottom"/>
            <w:hideMark/>
          </w:tcPr>
          <w:p w14:paraId="57E956F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23 (2.6%)</w:t>
            </w:r>
          </w:p>
        </w:tc>
      </w:tr>
      <w:tr w:rsidR="009F1C07" w:rsidRPr="00E449F9" w14:paraId="46CBA0D6" w14:textId="77777777" w:rsidTr="0055267D">
        <w:trPr>
          <w:trHeight w:val="300"/>
        </w:trPr>
        <w:tc>
          <w:tcPr>
            <w:tcW w:w="3880" w:type="dxa"/>
            <w:shd w:val="clear" w:color="auto" w:fill="auto"/>
            <w:noWrap/>
            <w:vAlign w:val="bottom"/>
            <w:hideMark/>
          </w:tcPr>
          <w:p w14:paraId="46928794" w14:textId="77777777" w:rsidR="009F1C07" w:rsidRPr="00E449F9" w:rsidRDefault="009F1C07" w:rsidP="0055267D">
            <w:pPr>
              <w:spacing w:after="0" w:line="240" w:lineRule="auto"/>
              <w:rPr>
                <w:rFonts w:ascii="Calibri" w:eastAsia="Times New Roman" w:hAnsi="Calibri" w:cs="Times New Roman"/>
                <w:b/>
                <w:bCs/>
                <w:color w:val="000000"/>
              </w:rPr>
            </w:pPr>
            <w:r w:rsidRPr="00E449F9">
              <w:rPr>
                <w:rFonts w:ascii="Calibri" w:eastAsia="Times New Roman" w:hAnsi="Calibri" w:cs="Times New Roman"/>
                <w:b/>
                <w:bCs/>
                <w:color w:val="000000"/>
              </w:rPr>
              <w:t>Ethnicity</w:t>
            </w:r>
          </w:p>
        </w:tc>
        <w:tc>
          <w:tcPr>
            <w:tcW w:w="1695" w:type="dxa"/>
            <w:shd w:val="clear" w:color="auto" w:fill="auto"/>
            <w:noWrap/>
            <w:vAlign w:val="bottom"/>
            <w:hideMark/>
          </w:tcPr>
          <w:p w14:paraId="7E681FC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710" w:type="dxa"/>
            <w:shd w:val="clear" w:color="auto" w:fill="auto"/>
            <w:noWrap/>
            <w:vAlign w:val="bottom"/>
            <w:hideMark/>
          </w:tcPr>
          <w:p w14:paraId="7B987F37"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170" w:type="dxa"/>
            <w:shd w:val="clear" w:color="auto" w:fill="auto"/>
            <w:noWrap/>
            <w:vAlign w:val="bottom"/>
            <w:hideMark/>
          </w:tcPr>
          <w:p w14:paraId="2455647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c>
          <w:tcPr>
            <w:tcW w:w="1350" w:type="dxa"/>
            <w:shd w:val="clear" w:color="auto" w:fill="auto"/>
            <w:noWrap/>
            <w:vAlign w:val="bottom"/>
            <w:hideMark/>
          </w:tcPr>
          <w:p w14:paraId="7AFC9421"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 </w:t>
            </w:r>
          </w:p>
        </w:tc>
      </w:tr>
      <w:tr w:rsidR="009F1C07" w:rsidRPr="00E449F9" w14:paraId="462DA6B7" w14:textId="77777777" w:rsidTr="0055267D">
        <w:trPr>
          <w:trHeight w:val="330"/>
        </w:trPr>
        <w:tc>
          <w:tcPr>
            <w:tcW w:w="3880" w:type="dxa"/>
            <w:shd w:val="clear" w:color="auto" w:fill="auto"/>
            <w:noWrap/>
            <w:vAlign w:val="center"/>
            <w:hideMark/>
          </w:tcPr>
          <w:p w14:paraId="0CE60C7C"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HISPANIC OR LATINO</w:t>
            </w:r>
          </w:p>
        </w:tc>
        <w:tc>
          <w:tcPr>
            <w:tcW w:w="1695" w:type="dxa"/>
            <w:shd w:val="clear" w:color="auto" w:fill="auto"/>
            <w:noWrap/>
            <w:vAlign w:val="bottom"/>
            <w:hideMark/>
          </w:tcPr>
          <w:p w14:paraId="7079A33F"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12 (2%)</w:t>
            </w:r>
          </w:p>
        </w:tc>
        <w:tc>
          <w:tcPr>
            <w:tcW w:w="1710" w:type="dxa"/>
            <w:shd w:val="clear" w:color="auto" w:fill="auto"/>
            <w:noWrap/>
            <w:vAlign w:val="bottom"/>
            <w:hideMark/>
          </w:tcPr>
          <w:p w14:paraId="05789C8E"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7 (3.6%)</w:t>
            </w:r>
          </w:p>
        </w:tc>
        <w:tc>
          <w:tcPr>
            <w:tcW w:w="1170" w:type="dxa"/>
            <w:shd w:val="clear" w:color="auto" w:fill="auto"/>
            <w:noWrap/>
            <w:vAlign w:val="bottom"/>
            <w:hideMark/>
          </w:tcPr>
          <w:p w14:paraId="7F1AA00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10 (9.4%)</w:t>
            </w:r>
          </w:p>
        </w:tc>
        <w:tc>
          <w:tcPr>
            <w:tcW w:w="1350" w:type="dxa"/>
            <w:shd w:val="clear" w:color="auto" w:fill="auto"/>
            <w:noWrap/>
            <w:vAlign w:val="bottom"/>
            <w:hideMark/>
          </w:tcPr>
          <w:p w14:paraId="3B79AEA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29 (3.3%)</w:t>
            </w:r>
          </w:p>
        </w:tc>
      </w:tr>
      <w:tr w:rsidR="009F1C07" w:rsidRPr="00E449F9" w14:paraId="6D36F47D" w14:textId="77777777" w:rsidTr="0055267D">
        <w:trPr>
          <w:trHeight w:val="330"/>
        </w:trPr>
        <w:tc>
          <w:tcPr>
            <w:tcW w:w="3880" w:type="dxa"/>
            <w:shd w:val="clear" w:color="auto" w:fill="auto"/>
            <w:noWrap/>
            <w:vAlign w:val="center"/>
            <w:hideMark/>
          </w:tcPr>
          <w:p w14:paraId="60618BDA"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NOT HISPANIC OR LATINO</w:t>
            </w:r>
          </w:p>
        </w:tc>
        <w:tc>
          <w:tcPr>
            <w:tcW w:w="1695" w:type="dxa"/>
            <w:shd w:val="clear" w:color="auto" w:fill="auto"/>
            <w:noWrap/>
            <w:vAlign w:val="bottom"/>
            <w:hideMark/>
          </w:tcPr>
          <w:p w14:paraId="193F0E14"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399 (67.5%)</w:t>
            </w:r>
          </w:p>
        </w:tc>
        <w:tc>
          <w:tcPr>
            <w:tcW w:w="1710" w:type="dxa"/>
            <w:shd w:val="clear" w:color="auto" w:fill="auto"/>
            <w:noWrap/>
            <w:vAlign w:val="bottom"/>
            <w:hideMark/>
          </w:tcPr>
          <w:p w14:paraId="230BCD9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162 (83.5%)</w:t>
            </w:r>
          </w:p>
        </w:tc>
        <w:tc>
          <w:tcPr>
            <w:tcW w:w="1170" w:type="dxa"/>
            <w:shd w:val="clear" w:color="auto" w:fill="auto"/>
            <w:noWrap/>
            <w:vAlign w:val="bottom"/>
            <w:hideMark/>
          </w:tcPr>
          <w:p w14:paraId="16DBCA4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94 (87.8%)</w:t>
            </w:r>
          </w:p>
        </w:tc>
        <w:tc>
          <w:tcPr>
            <w:tcW w:w="1350" w:type="dxa"/>
            <w:shd w:val="clear" w:color="auto" w:fill="auto"/>
            <w:noWrap/>
            <w:vAlign w:val="bottom"/>
            <w:hideMark/>
          </w:tcPr>
          <w:p w14:paraId="08EC52F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655 (73.4%)</w:t>
            </w:r>
          </w:p>
        </w:tc>
      </w:tr>
      <w:tr w:rsidR="009F1C07" w:rsidRPr="00E449F9" w14:paraId="64D5648D" w14:textId="77777777" w:rsidTr="0055267D">
        <w:trPr>
          <w:trHeight w:val="330"/>
        </w:trPr>
        <w:tc>
          <w:tcPr>
            <w:tcW w:w="3880" w:type="dxa"/>
            <w:shd w:val="clear" w:color="auto" w:fill="auto"/>
            <w:noWrap/>
            <w:vAlign w:val="center"/>
            <w:hideMark/>
          </w:tcPr>
          <w:p w14:paraId="704E52CC" w14:textId="77777777" w:rsidR="009F1C07" w:rsidRPr="00E449F9" w:rsidRDefault="009F1C07" w:rsidP="0055267D">
            <w:pPr>
              <w:spacing w:after="0" w:line="240" w:lineRule="auto"/>
              <w:rPr>
                <w:rFonts w:ascii="Calibri" w:eastAsia="Times New Roman" w:hAnsi="Calibri" w:cs="Times New Roman"/>
                <w:color w:val="000000"/>
                <w:sz w:val="24"/>
                <w:szCs w:val="24"/>
              </w:rPr>
            </w:pPr>
            <w:r w:rsidRPr="00E449F9">
              <w:rPr>
                <w:rFonts w:ascii="Calibri" w:eastAsia="Times New Roman" w:hAnsi="Calibri" w:cs="Times New Roman"/>
                <w:color w:val="000000"/>
                <w:sz w:val="24"/>
                <w:szCs w:val="24"/>
              </w:rPr>
              <w:t>Missing</w:t>
            </w:r>
          </w:p>
        </w:tc>
        <w:tc>
          <w:tcPr>
            <w:tcW w:w="1695" w:type="dxa"/>
            <w:shd w:val="clear" w:color="auto" w:fill="auto"/>
            <w:noWrap/>
            <w:vAlign w:val="bottom"/>
            <w:hideMark/>
          </w:tcPr>
          <w:p w14:paraId="07CB51D3"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180 (30.5%)</w:t>
            </w:r>
          </w:p>
        </w:tc>
        <w:tc>
          <w:tcPr>
            <w:tcW w:w="1710" w:type="dxa"/>
            <w:shd w:val="clear" w:color="auto" w:fill="auto"/>
            <w:noWrap/>
            <w:vAlign w:val="bottom"/>
            <w:hideMark/>
          </w:tcPr>
          <w:p w14:paraId="1E0ECCEB"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25 (12.9%)</w:t>
            </w:r>
          </w:p>
        </w:tc>
        <w:tc>
          <w:tcPr>
            <w:tcW w:w="1170" w:type="dxa"/>
            <w:shd w:val="clear" w:color="auto" w:fill="auto"/>
            <w:noWrap/>
            <w:vAlign w:val="bottom"/>
            <w:hideMark/>
          </w:tcPr>
          <w:p w14:paraId="38D80EDD"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3 (2.8)</w:t>
            </w:r>
          </w:p>
        </w:tc>
        <w:tc>
          <w:tcPr>
            <w:tcW w:w="1350" w:type="dxa"/>
            <w:shd w:val="clear" w:color="auto" w:fill="auto"/>
            <w:noWrap/>
            <w:vAlign w:val="bottom"/>
            <w:hideMark/>
          </w:tcPr>
          <w:p w14:paraId="53BF16AA" w14:textId="77777777" w:rsidR="009F1C07" w:rsidRPr="00E449F9" w:rsidRDefault="009F1C07" w:rsidP="0055267D">
            <w:pPr>
              <w:spacing w:after="0" w:line="240" w:lineRule="auto"/>
              <w:jc w:val="center"/>
              <w:rPr>
                <w:rFonts w:ascii="Calibri" w:eastAsia="Times New Roman" w:hAnsi="Calibri" w:cs="Times New Roman"/>
                <w:color w:val="000000"/>
              </w:rPr>
            </w:pPr>
            <w:r w:rsidRPr="00E449F9">
              <w:rPr>
                <w:rFonts w:ascii="Calibri" w:eastAsia="Times New Roman" w:hAnsi="Calibri" w:cs="Times New Roman"/>
                <w:color w:val="000000"/>
              </w:rPr>
              <w:t>208 (23.3%)</w:t>
            </w:r>
          </w:p>
        </w:tc>
      </w:tr>
    </w:tbl>
    <w:p w14:paraId="697F6B88" w14:textId="77777777" w:rsidR="009F1C07" w:rsidRDefault="009F1C07" w:rsidP="009F1C07"/>
    <w:p w14:paraId="584D3957" w14:textId="77777777" w:rsidR="009F1C07" w:rsidRDefault="009F1C07" w:rsidP="009F1C07">
      <w:pPr>
        <w:pStyle w:val="Heading3"/>
        <w:numPr>
          <w:ilvl w:val="0"/>
          <w:numId w:val="2"/>
        </w:numPr>
        <w:spacing w:line="360" w:lineRule="auto"/>
      </w:pPr>
      <w:r>
        <w:t xml:space="preserve">Biomarker Assay Method </w:t>
      </w:r>
    </w:p>
    <w:p w14:paraId="259D9EE4" w14:textId="1727F981" w:rsidR="009F1C07" w:rsidRPr="008B2B72" w:rsidRDefault="001C315F" w:rsidP="009F1C07">
      <w:pPr>
        <w:pStyle w:val="Caption"/>
        <w:rPr>
          <w:rFonts w:ascii="Calibri" w:eastAsia="Times New Roman" w:hAnsi="Calibri" w:cs="Calibri"/>
          <w:color w:val="auto"/>
        </w:rPr>
      </w:pPr>
      <w:r w:rsidRPr="008B2B72">
        <w:rPr>
          <w:color w:val="auto"/>
        </w:rPr>
        <w:t>Supplementary t</w:t>
      </w:r>
      <w:r w:rsidR="009F1C07" w:rsidRPr="008B2B72">
        <w:rPr>
          <w:color w:val="auto"/>
        </w:rPr>
        <w:t>able 2. Description of antibodies and assay protocol parameters</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1178"/>
        <w:gridCol w:w="1238"/>
        <w:gridCol w:w="1059"/>
        <w:gridCol w:w="1090"/>
        <w:gridCol w:w="1332"/>
        <w:gridCol w:w="1497"/>
        <w:gridCol w:w="1461"/>
      </w:tblGrid>
      <w:tr w:rsidR="009F1C07" w:rsidRPr="000B243F" w14:paraId="6ED22539" w14:textId="77777777" w:rsidTr="0055267D">
        <w:trPr>
          <w:trHeight w:val="818"/>
        </w:trPr>
        <w:tc>
          <w:tcPr>
            <w:tcW w:w="1107" w:type="dxa"/>
            <w:shd w:val="clear" w:color="auto" w:fill="FFFFFF" w:themeFill="background1"/>
            <w:vAlign w:val="center"/>
            <w:hideMark/>
          </w:tcPr>
          <w:p w14:paraId="2AE553F7"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Assay</w:t>
            </w:r>
          </w:p>
        </w:tc>
        <w:tc>
          <w:tcPr>
            <w:tcW w:w="1178" w:type="dxa"/>
            <w:shd w:val="clear" w:color="auto" w:fill="FFFFFF" w:themeFill="background1"/>
            <w:vAlign w:val="center"/>
            <w:hideMark/>
          </w:tcPr>
          <w:p w14:paraId="3AD2FAFB"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Capture Antibody</w:t>
            </w:r>
          </w:p>
        </w:tc>
        <w:tc>
          <w:tcPr>
            <w:tcW w:w="1238" w:type="dxa"/>
            <w:shd w:val="clear" w:color="auto" w:fill="FFFFFF" w:themeFill="background1"/>
            <w:vAlign w:val="center"/>
            <w:hideMark/>
          </w:tcPr>
          <w:p w14:paraId="4AF33744"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Detection Antibody</w:t>
            </w:r>
          </w:p>
        </w:tc>
        <w:tc>
          <w:tcPr>
            <w:tcW w:w="1059" w:type="dxa"/>
            <w:shd w:val="clear" w:color="auto" w:fill="auto"/>
            <w:vAlign w:val="center"/>
            <w:hideMark/>
          </w:tcPr>
          <w:p w14:paraId="6F9BFB80"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 xml:space="preserve">Sample Dilution </w:t>
            </w:r>
            <w:r>
              <w:br/>
            </w:r>
            <w:r w:rsidRPr="113AACAF">
              <w:rPr>
                <w:rFonts w:ascii="Calibri" w:eastAsia="Times New Roman" w:hAnsi="Calibri" w:cs="Calibri"/>
                <w:b/>
                <w:bCs/>
                <w:color w:val="2A2A2A"/>
                <w:sz w:val="20"/>
                <w:szCs w:val="20"/>
              </w:rPr>
              <w:t>(fold)</w:t>
            </w:r>
          </w:p>
        </w:tc>
        <w:tc>
          <w:tcPr>
            <w:tcW w:w="1090" w:type="dxa"/>
            <w:shd w:val="clear" w:color="auto" w:fill="auto"/>
            <w:vAlign w:val="center"/>
            <w:hideMark/>
          </w:tcPr>
          <w:p w14:paraId="4E0C487F"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Sample Volume</w:t>
            </w:r>
            <w:r w:rsidRPr="113AACAF">
              <w:rPr>
                <w:rFonts w:ascii="Calibri" w:eastAsia="Times New Roman" w:hAnsi="Calibri" w:cs="Calibri"/>
                <w:color w:val="2A2A2A"/>
                <w:sz w:val="20"/>
                <w:szCs w:val="20"/>
              </w:rPr>
              <w:t> </w:t>
            </w:r>
            <w:r>
              <w:br/>
            </w:r>
            <w:r w:rsidRPr="113AACAF">
              <w:rPr>
                <w:rFonts w:ascii="Calibri" w:eastAsia="Times New Roman" w:hAnsi="Calibri" w:cs="Calibri"/>
                <w:b/>
                <w:bCs/>
                <w:color w:val="2A2A2A"/>
                <w:sz w:val="20"/>
                <w:szCs w:val="20"/>
              </w:rPr>
              <w:t>(µL)</w:t>
            </w:r>
          </w:p>
        </w:tc>
        <w:tc>
          <w:tcPr>
            <w:tcW w:w="1332" w:type="dxa"/>
            <w:shd w:val="clear" w:color="auto" w:fill="auto"/>
            <w:vAlign w:val="center"/>
            <w:hideMark/>
          </w:tcPr>
          <w:p w14:paraId="484618A9"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Sample Incubation Time (min)</w:t>
            </w:r>
          </w:p>
        </w:tc>
        <w:tc>
          <w:tcPr>
            <w:tcW w:w="1497" w:type="dxa"/>
            <w:shd w:val="clear" w:color="auto" w:fill="auto"/>
            <w:vAlign w:val="center"/>
            <w:hideMark/>
          </w:tcPr>
          <w:p w14:paraId="442CF425"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Conjugate Incubation Time (min)</w:t>
            </w:r>
          </w:p>
        </w:tc>
        <w:tc>
          <w:tcPr>
            <w:tcW w:w="1461" w:type="dxa"/>
            <w:shd w:val="clear" w:color="auto" w:fill="auto"/>
            <w:vAlign w:val="center"/>
            <w:hideMark/>
          </w:tcPr>
          <w:p w14:paraId="0B9F06BD" w14:textId="77777777" w:rsidR="009F1C07" w:rsidRPr="000B243F" w:rsidRDefault="009F1C07" w:rsidP="0055267D">
            <w:pPr>
              <w:spacing w:after="0" w:line="240" w:lineRule="auto"/>
              <w:jc w:val="center"/>
              <w:rPr>
                <w:rFonts w:ascii="Calibri" w:eastAsia="Times New Roman" w:hAnsi="Calibri" w:cs="Calibri"/>
                <w:b/>
                <w:bCs/>
                <w:color w:val="2A2A2A"/>
                <w:sz w:val="20"/>
                <w:szCs w:val="20"/>
              </w:rPr>
            </w:pPr>
            <w:r w:rsidRPr="113AACAF">
              <w:rPr>
                <w:rFonts w:ascii="Calibri" w:eastAsia="Times New Roman" w:hAnsi="Calibri" w:cs="Calibri"/>
                <w:b/>
                <w:bCs/>
                <w:color w:val="2A2A2A"/>
                <w:sz w:val="20"/>
                <w:szCs w:val="20"/>
              </w:rPr>
              <w:t>TMB Incubation Time (min)</w:t>
            </w:r>
          </w:p>
        </w:tc>
      </w:tr>
      <w:tr w:rsidR="009F1C07" w:rsidRPr="000B243F" w14:paraId="27AB4C29" w14:textId="77777777" w:rsidTr="0055267D">
        <w:trPr>
          <w:trHeight w:val="603"/>
        </w:trPr>
        <w:tc>
          <w:tcPr>
            <w:tcW w:w="1107" w:type="dxa"/>
            <w:shd w:val="clear" w:color="auto" w:fill="FFFFFF" w:themeFill="background1"/>
            <w:vAlign w:val="center"/>
            <w:hideMark/>
          </w:tcPr>
          <w:p w14:paraId="0EEAEE20"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CD274</w:t>
            </w:r>
          </w:p>
        </w:tc>
        <w:tc>
          <w:tcPr>
            <w:tcW w:w="1178" w:type="dxa"/>
            <w:shd w:val="clear" w:color="auto" w:fill="FFFFFF" w:themeFill="background1"/>
            <w:vAlign w:val="center"/>
            <w:hideMark/>
          </w:tcPr>
          <w:p w14:paraId="65BE032F"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gramEnd"/>
            <w:r w:rsidRPr="113AACAF">
              <w:rPr>
                <w:rFonts w:ascii="Calibri" w:eastAsia="Times New Roman" w:hAnsi="Calibri" w:cs="Calibri"/>
                <w:color w:val="2A2A2A"/>
                <w:sz w:val="20"/>
                <w:szCs w:val="20"/>
              </w:rPr>
              <w:t>CD274</w:t>
            </w:r>
          </w:p>
        </w:tc>
        <w:tc>
          <w:tcPr>
            <w:tcW w:w="1238" w:type="dxa"/>
            <w:shd w:val="clear" w:color="auto" w:fill="FFFFFF" w:themeFill="background1"/>
            <w:vAlign w:val="center"/>
            <w:hideMark/>
          </w:tcPr>
          <w:p w14:paraId="458D1FCE"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goat-anti-</w:t>
            </w:r>
            <w:proofErr w:type="gramEnd"/>
            <w:r w:rsidRPr="113AACAF">
              <w:rPr>
                <w:rFonts w:ascii="Calibri" w:eastAsia="Times New Roman" w:hAnsi="Calibri" w:cs="Calibri"/>
                <w:color w:val="2A2A2A"/>
                <w:sz w:val="20"/>
                <w:szCs w:val="20"/>
              </w:rPr>
              <w:t>CD274</w:t>
            </w:r>
          </w:p>
        </w:tc>
        <w:tc>
          <w:tcPr>
            <w:tcW w:w="1059" w:type="dxa"/>
            <w:shd w:val="clear" w:color="auto" w:fill="auto"/>
            <w:vAlign w:val="center"/>
            <w:hideMark/>
          </w:tcPr>
          <w:p w14:paraId="5209F3BB"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4</w:t>
            </w:r>
          </w:p>
        </w:tc>
        <w:tc>
          <w:tcPr>
            <w:tcW w:w="1090" w:type="dxa"/>
            <w:shd w:val="clear" w:color="auto" w:fill="auto"/>
            <w:vAlign w:val="center"/>
            <w:hideMark/>
          </w:tcPr>
          <w:p w14:paraId="62D83B3A"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Pr>
                <w:rFonts w:ascii="Calibri" w:eastAsia="Times New Roman" w:hAnsi="Calibri" w:cs="Calibri"/>
                <w:color w:val="2A2A2A"/>
                <w:sz w:val="20"/>
                <w:szCs w:val="20"/>
              </w:rPr>
              <w:t>25</w:t>
            </w:r>
          </w:p>
        </w:tc>
        <w:tc>
          <w:tcPr>
            <w:tcW w:w="1332" w:type="dxa"/>
            <w:shd w:val="clear" w:color="auto" w:fill="auto"/>
            <w:vAlign w:val="center"/>
            <w:hideMark/>
          </w:tcPr>
          <w:p w14:paraId="1C65084C"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6AFC187C"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644434D2"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r w:rsidR="009F1C07" w:rsidRPr="000B243F" w14:paraId="26D43EEB" w14:textId="77777777" w:rsidTr="0055267D">
        <w:trPr>
          <w:trHeight w:val="603"/>
        </w:trPr>
        <w:tc>
          <w:tcPr>
            <w:tcW w:w="1107" w:type="dxa"/>
            <w:shd w:val="clear" w:color="auto" w:fill="FFFFFF" w:themeFill="background1"/>
            <w:vAlign w:val="center"/>
            <w:hideMark/>
          </w:tcPr>
          <w:p w14:paraId="71957BA3"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spellStart"/>
            <w:r w:rsidRPr="113AACAF">
              <w:rPr>
                <w:rFonts w:ascii="Calibri" w:eastAsia="Times New Roman" w:hAnsi="Calibri" w:cs="Calibri"/>
                <w:color w:val="2A2A2A"/>
                <w:sz w:val="20"/>
                <w:szCs w:val="20"/>
              </w:rPr>
              <w:t>Decorin</w:t>
            </w:r>
            <w:proofErr w:type="spellEnd"/>
          </w:p>
        </w:tc>
        <w:tc>
          <w:tcPr>
            <w:tcW w:w="1178" w:type="dxa"/>
            <w:shd w:val="clear" w:color="auto" w:fill="FFFFFF" w:themeFill="background1"/>
            <w:vAlign w:val="center"/>
            <w:hideMark/>
          </w:tcPr>
          <w:p w14:paraId="0EB505A4"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spellStart"/>
            <w:proofErr w:type="gramEnd"/>
            <w:r w:rsidRPr="113AACAF">
              <w:rPr>
                <w:rFonts w:ascii="Calibri" w:eastAsia="Times New Roman" w:hAnsi="Calibri" w:cs="Calibri"/>
                <w:color w:val="2A2A2A"/>
                <w:sz w:val="20"/>
                <w:szCs w:val="20"/>
              </w:rPr>
              <w:t>Decorin</w:t>
            </w:r>
            <w:proofErr w:type="spellEnd"/>
          </w:p>
        </w:tc>
        <w:tc>
          <w:tcPr>
            <w:tcW w:w="1238" w:type="dxa"/>
            <w:shd w:val="clear" w:color="auto" w:fill="FFFFFF" w:themeFill="background1"/>
            <w:vAlign w:val="center"/>
            <w:hideMark/>
          </w:tcPr>
          <w:p w14:paraId="51A62DEF"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spellStart"/>
            <w:proofErr w:type="gramEnd"/>
            <w:r w:rsidRPr="113AACAF">
              <w:rPr>
                <w:rFonts w:ascii="Calibri" w:eastAsia="Times New Roman" w:hAnsi="Calibri" w:cs="Calibri"/>
                <w:color w:val="2A2A2A"/>
                <w:sz w:val="20"/>
                <w:szCs w:val="20"/>
              </w:rPr>
              <w:t>Decorin</w:t>
            </w:r>
            <w:proofErr w:type="spellEnd"/>
          </w:p>
        </w:tc>
        <w:tc>
          <w:tcPr>
            <w:tcW w:w="1059" w:type="dxa"/>
            <w:shd w:val="clear" w:color="auto" w:fill="auto"/>
            <w:vAlign w:val="center"/>
            <w:hideMark/>
          </w:tcPr>
          <w:p w14:paraId="6F3CFCFE"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Pr>
                <w:rFonts w:ascii="Calibri" w:eastAsia="Times New Roman" w:hAnsi="Calibri" w:cs="Calibri"/>
                <w:color w:val="2A2A2A"/>
                <w:sz w:val="20"/>
                <w:szCs w:val="20"/>
              </w:rPr>
              <w:t>5</w:t>
            </w:r>
            <w:r w:rsidRPr="113AACAF">
              <w:rPr>
                <w:rFonts w:ascii="Calibri" w:eastAsia="Times New Roman" w:hAnsi="Calibri" w:cs="Calibri"/>
                <w:color w:val="2A2A2A"/>
                <w:sz w:val="20"/>
                <w:szCs w:val="20"/>
              </w:rPr>
              <w:t>0</w:t>
            </w:r>
          </w:p>
        </w:tc>
        <w:tc>
          <w:tcPr>
            <w:tcW w:w="1090" w:type="dxa"/>
            <w:shd w:val="clear" w:color="auto" w:fill="auto"/>
            <w:vAlign w:val="center"/>
            <w:hideMark/>
          </w:tcPr>
          <w:p w14:paraId="11C28DF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2</w:t>
            </w:r>
          </w:p>
        </w:tc>
        <w:tc>
          <w:tcPr>
            <w:tcW w:w="1332" w:type="dxa"/>
            <w:shd w:val="clear" w:color="auto" w:fill="auto"/>
            <w:vAlign w:val="center"/>
            <w:hideMark/>
          </w:tcPr>
          <w:p w14:paraId="6FCC1F27"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04D41BC0"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58393C8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r w:rsidR="009F1C07" w:rsidRPr="000B243F" w14:paraId="60D99B89" w14:textId="77777777" w:rsidTr="0055267D">
        <w:trPr>
          <w:trHeight w:val="603"/>
        </w:trPr>
        <w:tc>
          <w:tcPr>
            <w:tcW w:w="1107" w:type="dxa"/>
            <w:shd w:val="clear" w:color="auto" w:fill="FFFFFF" w:themeFill="background1"/>
            <w:vAlign w:val="center"/>
            <w:hideMark/>
          </w:tcPr>
          <w:p w14:paraId="377E8D78"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Endoglin</w:t>
            </w:r>
          </w:p>
        </w:tc>
        <w:tc>
          <w:tcPr>
            <w:tcW w:w="1178" w:type="dxa"/>
            <w:shd w:val="clear" w:color="auto" w:fill="FFFFFF" w:themeFill="background1"/>
            <w:vAlign w:val="center"/>
            <w:hideMark/>
          </w:tcPr>
          <w:p w14:paraId="0D06151B"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gramEnd"/>
            <w:r w:rsidRPr="113AACAF">
              <w:rPr>
                <w:rFonts w:ascii="Calibri" w:eastAsia="Times New Roman" w:hAnsi="Calibri" w:cs="Calibri"/>
                <w:color w:val="2A2A2A"/>
                <w:sz w:val="20"/>
                <w:szCs w:val="20"/>
              </w:rPr>
              <w:t>Endoglin</w:t>
            </w:r>
          </w:p>
        </w:tc>
        <w:tc>
          <w:tcPr>
            <w:tcW w:w="1238" w:type="dxa"/>
            <w:shd w:val="clear" w:color="auto" w:fill="FFFFFF" w:themeFill="background1"/>
            <w:vAlign w:val="center"/>
            <w:hideMark/>
          </w:tcPr>
          <w:p w14:paraId="3D645E7D"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gramEnd"/>
            <w:r w:rsidRPr="113AACAF">
              <w:rPr>
                <w:rFonts w:ascii="Calibri" w:eastAsia="Times New Roman" w:hAnsi="Calibri" w:cs="Calibri"/>
                <w:color w:val="2A2A2A"/>
                <w:sz w:val="20"/>
                <w:szCs w:val="20"/>
              </w:rPr>
              <w:t>Endoglin</w:t>
            </w:r>
          </w:p>
        </w:tc>
        <w:tc>
          <w:tcPr>
            <w:tcW w:w="1059" w:type="dxa"/>
            <w:shd w:val="clear" w:color="auto" w:fill="auto"/>
            <w:vAlign w:val="center"/>
            <w:hideMark/>
          </w:tcPr>
          <w:p w14:paraId="4E89A54B"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10</w:t>
            </w:r>
          </w:p>
        </w:tc>
        <w:tc>
          <w:tcPr>
            <w:tcW w:w="1090" w:type="dxa"/>
            <w:shd w:val="clear" w:color="auto" w:fill="auto"/>
            <w:vAlign w:val="center"/>
            <w:hideMark/>
          </w:tcPr>
          <w:p w14:paraId="11971DD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5</w:t>
            </w:r>
          </w:p>
        </w:tc>
        <w:tc>
          <w:tcPr>
            <w:tcW w:w="1332" w:type="dxa"/>
            <w:shd w:val="clear" w:color="auto" w:fill="auto"/>
            <w:vAlign w:val="center"/>
            <w:hideMark/>
          </w:tcPr>
          <w:p w14:paraId="6D5FA028"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0890187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1B066EE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30</w:t>
            </w:r>
          </w:p>
        </w:tc>
      </w:tr>
      <w:tr w:rsidR="009F1C07" w:rsidRPr="000B243F" w14:paraId="61E32307" w14:textId="77777777" w:rsidTr="0055267D">
        <w:trPr>
          <w:trHeight w:val="603"/>
        </w:trPr>
        <w:tc>
          <w:tcPr>
            <w:tcW w:w="1107" w:type="dxa"/>
            <w:shd w:val="clear" w:color="auto" w:fill="FFFFFF" w:themeFill="background1"/>
            <w:vAlign w:val="center"/>
            <w:hideMark/>
          </w:tcPr>
          <w:p w14:paraId="1730CE22"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FGF21</w:t>
            </w:r>
          </w:p>
        </w:tc>
        <w:tc>
          <w:tcPr>
            <w:tcW w:w="1178" w:type="dxa"/>
            <w:shd w:val="clear" w:color="auto" w:fill="FFFFFF" w:themeFill="background1"/>
            <w:vAlign w:val="center"/>
            <w:hideMark/>
          </w:tcPr>
          <w:p w14:paraId="4660AF64"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gramEnd"/>
            <w:r w:rsidRPr="113AACAF">
              <w:rPr>
                <w:rFonts w:ascii="Calibri" w:eastAsia="Times New Roman" w:hAnsi="Calibri" w:cs="Calibri"/>
                <w:color w:val="2A2A2A"/>
                <w:sz w:val="20"/>
                <w:szCs w:val="20"/>
              </w:rPr>
              <w:t>FGF21</w:t>
            </w:r>
          </w:p>
        </w:tc>
        <w:tc>
          <w:tcPr>
            <w:tcW w:w="1238" w:type="dxa"/>
            <w:shd w:val="clear" w:color="auto" w:fill="FFFFFF" w:themeFill="background1"/>
            <w:vAlign w:val="center"/>
            <w:hideMark/>
          </w:tcPr>
          <w:p w14:paraId="06355C49"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goat-anti-</w:t>
            </w:r>
            <w:proofErr w:type="gramEnd"/>
            <w:r w:rsidRPr="113AACAF">
              <w:rPr>
                <w:rFonts w:ascii="Calibri" w:eastAsia="Times New Roman" w:hAnsi="Calibri" w:cs="Calibri"/>
                <w:color w:val="2A2A2A"/>
                <w:sz w:val="20"/>
                <w:szCs w:val="20"/>
              </w:rPr>
              <w:t>FGF21</w:t>
            </w:r>
          </w:p>
        </w:tc>
        <w:tc>
          <w:tcPr>
            <w:tcW w:w="1059" w:type="dxa"/>
            <w:shd w:val="clear" w:color="auto" w:fill="auto"/>
            <w:vAlign w:val="center"/>
            <w:hideMark/>
          </w:tcPr>
          <w:p w14:paraId="4821FE8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No Dilution</w:t>
            </w:r>
          </w:p>
        </w:tc>
        <w:tc>
          <w:tcPr>
            <w:tcW w:w="1090" w:type="dxa"/>
            <w:shd w:val="clear" w:color="auto" w:fill="auto"/>
            <w:vAlign w:val="center"/>
            <w:hideMark/>
          </w:tcPr>
          <w:p w14:paraId="5B2EB97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50</w:t>
            </w:r>
          </w:p>
        </w:tc>
        <w:tc>
          <w:tcPr>
            <w:tcW w:w="1332" w:type="dxa"/>
            <w:shd w:val="clear" w:color="auto" w:fill="auto"/>
            <w:vAlign w:val="center"/>
            <w:hideMark/>
          </w:tcPr>
          <w:p w14:paraId="2A8CFE9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7E0EC455"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178EF1E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r w:rsidR="009F1C07" w:rsidRPr="000B243F" w14:paraId="18248465" w14:textId="77777777" w:rsidTr="0055267D">
        <w:trPr>
          <w:trHeight w:val="603"/>
        </w:trPr>
        <w:tc>
          <w:tcPr>
            <w:tcW w:w="1107" w:type="dxa"/>
            <w:shd w:val="clear" w:color="auto" w:fill="FFFFFF" w:themeFill="background1"/>
            <w:vAlign w:val="center"/>
            <w:hideMark/>
          </w:tcPr>
          <w:p w14:paraId="61C3A3E6"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sFlt-1</w:t>
            </w:r>
          </w:p>
        </w:tc>
        <w:tc>
          <w:tcPr>
            <w:tcW w:w="1178" w:type="dxa"/>
            <w:shd w:val="clear" w:color="auto" w:fill="FFFFFF" w:themeFill="background1"/>
            <w:vAlign w:val="center"/>
            <w:hideMark/>
          </w:tcPr>
          <w:p w14:paraId="29739F06"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mouse-anti-sFlt-1</w:t>
            </w:r>
          </w:p>
        </w:tc>
        <w:tc>
          <w:tcPr>
            <w:tcW w:w="1238" w:type="dxa"/>
            <w:shd w:val="clear" w:color="auto" w:fill="FFFFFF" w:themeFill="background1"/>
            <w:vAlign w:val="center"/>
            <w:hideMark/>
          </w:tcPr>
          <w:p w14:paraId="53A8754E"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goat-anti-sFlt-1</w:t>
            </w:r>
          </w:p>
        </w:tc>
        <w:tc>
          <w:tcPr>
            <w:tcW w:w="1059" w:type="dxa"/>
            <w:shd w:val="clear" w:color="auto" w:fill="auto"/>
            <w:vAlign w:val="center"/>
            <w:hideMark/>
          </w:tcPr>
          <w:p w14:paraId="00A9202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100</w:t>
            </w:r>
          </w:p>
        </w:tc>
        <w:tc>
          <w:tcPr>
            <w:tcW w:w="1090" w:type="dxa"/>
            <w:shd w:val="clear" w:color="auto" w:fill="auto"/>
            <w:vAlign w:val="center"/>
            <w:hideMark/>
          </w:tcPr>
          <w:p w14:paraId="73436ACE"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1</w:t>
            </w:r>
          </w:p>
        </w:tc>
        <w:tc>
          <w:tcPr>
            <w:tcW w:w="1332" w:type="dxa"/>
            <w:shd w:val="clear" w:color="auto" w:fill="auto"/>
            <w:vAlign w:val="center"/>
            <w:hideMark/>
          </w:tcPr>
          <w:p w14:paraId="7C655D97"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57C45FDE"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239EA4C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r w:rsidR="009F1C07" w:rsidRPr="000B243F" w14:paraId="4E6EBD48" w14:textId="77777777" w:rsidTr="0055267D">
        <w:trPr>
          <w:trHeight w:val="603"/>
        </w:trPr>
        <w:tc>
          <w:tcPr>
            <w:tcW w:w="1107" w:type="dxa"/>
            <w:shd w:val="clear" w:color="auto" w:fill="FFFFFF" w:themeFill="background1"/>
            <w:vAlign w:val="center"/>
            <w:hideMark/>
          </w:tcPr>
          <w:p w14:paraId="4BF7D435"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KIM-1</w:t>
            </w:r>
          </w:p>
        </w:tc>
        <w:tc>
          <w:tcPr>
            <w:tcW w:w="1178" w:type="dxa"/>
            <w:shd w:val="clear" w:color="auto" w:fill="FFFFFF" w:themeFill="background1"/>
            <w:vAlign w:val="center"/>
            <w:hideMark/>
          </w:tcPr>
          <w:p w14:paraId="7D94D3F6"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mouse-anti-KIM-1</w:t>
            </w:r>
          </w:p>
        </w:tc>
        <w:tc>
          <w:tcPr>
            <w:tcW w:w="1238" w:type="dxa"/>
            <w:shd w:val="clear" w:color="auto" w:fill="FFFFFF" w:themeFill="background1"/>
            <w:vAlign w:val="center"/>
            <w:hideMark/>
          </w:tcPr>
          <w:p w14:paraId="519474FC"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goat-anti-KIM-1</w:t>
            </w:r>
          </w:p>
        </w:tc>
        <w:tc>
          <w:tcPr>
            <w:tcW w:w="1059" w:type="dxa"/>
            <w:shd w:val="clear" w:color="auto" w:fill="auto"/>
            <w:vAlign w:val="center"/>
            <w:hideMark/>
          </w:tcPr>
          <w:p w14:paraId="4758C1AF"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w:t>
            </w:r>
          </w:p>
        </w:tc>
        <w:tc>
          <w:tcPr>
            <w:tcW w:w="1090" w:type="dxa"/>
            <w:shd w:val="clear" w:color="auto" w:fill="auto"/>
            <w:vAlign w:val="center"/>
            <w:hideMark/>
          </w:tcPr>
          <w:p w14:paraId="330B441F"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25</w:t>
            </w:r>
          </w:p>
        </w:tc>
        <w:tc>
          <w:tcPr>
            <w:tcW w:w="1332" w:type="dxa"/>
            <w:shd w:val="clear" w:color="auto" w:fill="auto"/>
            <w:vAlign w:val="center"/>
            <w:hideMark/>
          </w:tcPr>
          <w:p w14:paraId="5241222B"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27C89B5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45</w:t>
            </w:r>
          </w:p>
        </w:tc>
        <w:tc>
          <w:tcPr>
            <w:tcW w:w="1461" w:type="dxa"/>
            <w:shd w:val="clear" w:color="auto" w:fill="auto"/>
            <w:vAlign w:val="center"/>
            <w:hideMark/>
          </w:tcPr>
          <w:p w14:paraId="55FC62FF"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r w:rsidR="009F1C07" w:rsidRPr="000B243F" w14:paraId="309F7D93" w14:textId="77777777" w:rsidTr="0055267D">
        <w:trPr>
          <w:trHeight w:val="603"/>
        </w:trPr>
        <w:tc>
          <w:tcPr>
            <w:tcW w:w="1107" w:type="dxa"/>
            <w:shd w:val="clear" w:color="auto" w:fill="FFFFFF" w:themeFill="background1"/>
            <w:vAlign w:val="center"/>
            <w:hideMark/>
          </w:tcPr>
          <w:p w14:paraId="09605B8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 xml:space="preserve">Free </w:t>
            </w:r>
            <w:proofErr w:type="spellStart"/>
            <w:r w:rsidRPr="113AACAF">
              <w:rPr>
                <w:rFonts w:ascii="Calibri" w:eastAsia="Times New Roman" w:hAnsi="Calibri" w:cs="Calibri"/>
                <w:color w:val="2A2A2A"/>
                <w:sz w:val="20"/>
                <w:szCs w:val="20"/>
              </w:rPr>
              <w:t>PlGF</w:t>
            </w:r>
            <w:proofErr w:type="spellEnd"/>
          </w:p>
        </w:tc>
        <w:tc>
          <w:tcPr>
            <w:tcW w:w="1178" w:type="dxa"/>
            <w:shd w:val="clear" w:color="auto" w:fill="FFFFFF" w:themeFill="background1"/>
            <w:vAlign w:val="center"/>
            <w:hideMark/>
          </w:tcPr>
          <w:p w14:paraId="50A44B38"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spellStart"/>
            <w:proofErr w:type="gramEnd"/>
            <w:r w:rsidRPr="113AACAF">
              <w:rPr>
                <w:rFonts w:ascii="Calibri" w:eastAsia="Times New Roman" w:hAnsi="Calibri" w:cs="Calibri"/>
                <w:color w:val="2A2A2A"/>
                <w:sz w:val="20"/>
                <w:szCs w:val="20"/>
              </w:rPr>
              <w:t>PlGF</w:t>
            </w:r>
            <w:proofErr w:type="spellEnd"/>
          </w:p>
        </w:tc>
        <w:tc>
          <w:tcPr>
            <w:tcW w:w="1238" w:type="dxa"/>
            <w:shd w:val="clear" w:color="auto" w:fill="FFFFFF" w:themeFill="background1"/>
            <w:vAlign w:val="center"/>
            <w:hideMark/>
          </w:tcPr>
          <w:p w14:paraId="49E682E1"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goat-anti-</w:t>
            </w:r>
            <w:proofErr w:type="spellStart"/>
            <w:proofErr w:type="gramEnd"/>
            <w:r w:rsidRPr="113AACAF">
              <w:rPr>
                <w:rFonts w:ascii="Calibri" w:eastAsia="Times New Roman" w:hAnsi="Calibri" w:cs="Calibri"/>
                <w:color w:val="2A2A2A"/>
                <w:sz w:val="20"/>
                <w:szCs w:val="20"/>
              </w:rPr>
              <w:t>PlGF</w:t>
            </w:r>
            <w:proofErr w:type="spellEnd"/>
          </w:p>
        </w:tc>
        <w:tc>
          <w:tcPr>
            <w:tcW w:w="1059" w:type="dxa"/>
            <w:shd w:val="clear" w:color="auto" w:fill="auto"/>
            <w:vAlign w:val="center"/>
            <w:hideMark/>
          </w:tcPr>
          <w:p w14:paraId="2B37BBEB"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w:t>
            </w:r>
          </w:p>
        </w:tc>
        <w:tc>
          <w:tcPr>
            <w:tcW w:w="1090" w:type="dxa"/>
            <w:shd w:val="clear" w:color="auto" w:fill="auto"/>
            <w:vAlign w:val="center"/>
            <w:hideMark/>
          </w:tcPr>
          <w:p w14:paraId="1430F978"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50</w:t>
            </w:r>
          </w:p>
        </w:tc>
        <w:tc>
          <w:tcPr>
            <w:tcW w:w="1332" w:type="dxa"/>
            <w:shd w:val="clear" w:color="auto" w:fill="auto"/>
            <w:vAlign w:val="center"/>
            <w:hideMark/>
          </w:tcPr>
          <w:p w14:paraId="35DF34EE"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30</w:t>
            </w:r>
          </w:p>
        </w:tc>
        <w:tc>
          <w:tcPr>
            <w:tcW w:w="1497" w:type="dxa"/>
            <w:shd w:val="clear" w:color="auto" w:fill="auto"/>
            <w:vAlign w:val="center"/>
            <w:hideMark/>
          </w:tcPr>
          <w:p w14:paraId="4EFE5B1D"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30</w:t>
            </w:r>
          </w:p>
        </w:tc>
        <w:tc>
          <w:tcPr>
            <w:tcW w:w="1461" w:type="dxa"/>
            <w:shd w:val="clear" w:color="auto" w:fill="auto"/>
            <w:vAlign w:val="center"/>
            <w:hideMark/>
          </w:tcPr>
          <w:p w14:paraId="0EFA3A69"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30</w:t>
            </w:r>
          </w:p>
        </w:tc>
      </w:tr>
      <w:tr w:rsidR="009F1C07" w:rsidRPr="000B243F" w14:paraId="49055488" w14:textId="77777777" w:rsidTr="0055267D">
        <w:trPr>
          <w:trHeight w:val="603"/>
        </w:trPr>
        <w:tc>
          <w:tcPr>
            <w:tcW w:w="1107" w:type="dxa"/>
            <w:shd w:val="clear" w:color="auto" w:fill="FFFFFF" w:themeFill="background1"/>
            <w:vAlign w:val="center"/>
            <w:hideMark/>
          </w:tcPr>
          <w:p w14:paraId="71A1496A"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 xml:space="preserve">Total </w:t>
            </w:r>
            <w:proofErr w:type="spellStart"/>
            <w:r w:rsidRPr="113AACAF">
              <w:rPr>
                <w:rFonts w:ascii="Calibri" w:eastAsia="Times New Roman" w:hAnsi="Calibri" w:cs="Calibri"/>
                <w:color w:val="2A2A2A"/>
                <w:sz w:val="20"/>
                <w:szCs w:val="20"/>
              </w:rPr>
              <w:t>PlGF</w:t>
            </w:r>
            <w:proofErr w:type="spellEnd"/>
          </w:p>
        </w:tc>
        <w:tc>
          <w:tcPr>
            <w:tcW w:w="1178" w:type="dxa"/>
            <w:shd w:val="clear" w:color="auto" w:fill="FFFFFF" w:themeFill="background1"/>
            <w:vAlign w:val="center"/>
            <w:hideMark/>
          </w:tcPr>
          <w:p w14:paraId="538A5F9E"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mouse-anti-</w:t>
            </w:r>
            <w:proofErr w:type="spellStart"/>
            <w:proofErr w:type="gramEnd"/>
            <w:r w:rsidRPr="113AACAF">
              <w:rPr>
                <w:rFonts w:ascii="Calibri" w:eastAsia="Times New Roman" w:hAnsi="Calibri" w:cs="Calibri"/>
                <w:color w:val="2A2A2A"/>
                <w:sz w:val="20"/>
                <w:szCs w:val="20"/>
              </w:rPr>
              <w:t>PlGF</w:t>
            </w:r>
            <w:proofErr w:type="spellEnd"/>
          </w:p>
        </w:tc>
        <w:tc>
          <w:tcPr>
            <w:tcW w:w="1238" w:type="dxa"/>
            <w:shd w:val="clear" w:color="auto" w:fill="FFFFFF" w:themeFill="background1"/>
            <w:vAlign w:val="center"/>
            <w:hideMark/>
          </w:tcPr>
          <w:p w14:paraId="7E8310D4" w14:textId="77777777" w:rsidR="009F1C07" w:rsidRPr="000B243F" w:rsidRDefault="009F1C07" w:rsidP="0055267D">
            <w:pPr>
              <w:spacing w:after="0" w:line="240" w:lineRule="auto"/>
              <w:jc w:val="center"/>
              <w:rPr>
                <w:rFonts w:ascii="Calibri" w:eastAsia="Times New Roman" w:hAnsi="Calibri" w:cs="Calibri"/>
                <w:color w:val="2A2A2A"/>
                <w:sz w:val="20"/>
                <w:szCs w:val="20"/>
              </w:rPr>
            </w:pPr>
            <w:proofErr w:type="gramStart"/>
            <w:r w:rsidRPr="113AACAF">
              <w:rPr>
                <w:rFonts w:ascii="Calibri" w:eastAsia="Times New Roman" w:hAnsi="Calibri" w:cs="Calibri"/>
                <w:color w:val="2A2A2A"/>
                <w:sz w:val="20"/>
                <w:szCs w:val="20"/>
              </w:rPr>
              <w:t>goat-anti-</w:t>
            </w:r>
            <w:proofErr w:type="spellStart"/>
            <w:proofErr w:type="gramEnd"/>
            <w:r w:rsidRPr="113AACAF">
              <w:rPr>
                <w:rFonts w:ascii="Calibri" w:eastAsia="Times New Roman" w:hAnsi="Calibri" w:cs="Calibri"/>
                <w:color w:val="2A2A2A"/>
                <w:sz w:val="20"/>
                <w:szCs w:val="20"/>
              </w:rPr>
              <w:t>PlGF</w:t>
            </w:r>
            <w:proofErr w:type="spellEnd"/>
          </w:p>
        </w:tc>
        <w:tc>
          <w:tcPr>
            <w:tcW w:w="1059" w:type="dxa"/>
            <w:shd w:val="clear" w:color="auto" w:fill="auto"/>
            <w:vAlign w:val="center"/>
            <w:hideMark/>
          </w:tcPr>
          <w:p w14:paraId="05298C75"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4</w:t>
            </w:r>
          </w:p>
        </w:tc>
        <w:tc>
          <w:tcPr>
            <w:tcW w:w="1090" w:type="dxa"/>
            <w:shd w:val="clear" w:color="auto" w:fill="auto"/>
            <w:vAlign w:val="center"/>
            <w:hideMark/>
          </w:tcPr>
          <w:p w14:paraId="25FE064C"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00D22666">
              <w:rPr>
                <w:rFonts w:ascii="Calibri" w:eastAsia="Times New Roman" w:hAnsi="Calibri" w:cs="Calibri"/>
                <w:color w:val="2A2A2A"/>
                <w:sz w:val="20"/>
                <w:szCs w:val="20"/>
              </w:rPr>
              <w:t>25</w:t>
            </w:r>
          </w:p>
        </w:tc>
        <w:tc>
          <w:tcPr>
            <w:tcW w:w="1332" w:type="dxa"/>
            <w:shd w:val="clear" w:color="auto" w:fill="auto"/>
            <w:vAlign w:val="center"/>
            <w:hideMark/>
          </w:tcPr>
          <w:p w14:paraId="1D446861"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97" w:type="dxa"/>
            <w:shd w:val="clear" w:color="auto" w:fill="auto"/>
            <w:vAlign w:val="center"/>
            <w:hideMark/>
          </w:tcPr>
          <w:p w14:paraId="646511C0"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120</w:t>
            </w:r>
          </w:p>
        </w:tc>
        <w:tc>
          <w:tcPr>
            <w:tcW w:w="1461" w:type="dxa"/>
            <w:shd w:val="clear" w:color="auto" w:fill="auto"/>
            <w:vAlign w:val="center"/>
            <w:hideMark/>
          </w:tcPr>
          <w:p w14:paraId="1466DBA7" w14:textId="77777777" w:rsidR="009F1C07" w:rsidRPr="000B243F" w:rsidRDefault="009F1C07" w:rsidP="0055267D">
            <w:pPr>
              <w:spacing w:after="0" w:line="240" w:lineRule="auto"/>
              <w:jc w:val="center"/>
              <w:rPr>
                <w:rFonts w:ascii="Calibri" w:eastAsia="Times New Roman" w:hAnsi="Calibri" w:cs="Calibri"/>
                <w:color w:val="2A2A2A"/>
                <w:sz w:val="20"/>
                <w:szCs w:val="20"/>
              </w:rPr>
            </w:pPr>
            <w:r w:rsidRPr="113AACAF">
              <w:rPr>
                <w:rFonts w:ascii="Calibri" w:eastAsia="Times New Roman" w:hAnsi="Calibri" w:cs="Calibri"/>
                <w:color w:val="2A2A2A"/>
                <w:sz w:val="20"/>
                <w:szCs w:val="20"/>
              </w:rPr>
              <w:t>20</w:t>
            </w:r>
          </w:p>
        </w:tc>
      </w:tr>
    </w:tbl>
    <w:p w14:paraId="6C88CE74" w14:textId="77777777" w:rsidR="009F1C07" w:rsidRPr="001B207D" w:rsidRDefault="009F1C07" w:rsidP="009F1C07"/>
    <w:p w14:paraId="57652B4E" w14:textId="77777777" w:rsidR="009F1C07" w:rsidRPr="001815EA" w:rsidRDefault="009F1C07" w:rsidP="009F1C07">
      <w:pPr>
        <w:pStyle w:val="Heading3"/>
        <w:numPr>
          <w:ilvl w:val="0"/>
          <w:numId w:val="2"/>
        </w:numPr>
        <w:spacing w:line="360" w:lineRule="auto"/>
      </w:pPr>
      <w:r>
        <w:lastRenderedPageBreak/>
        <w:t>Analytical Validation of the Assays</w:t>
      </w:r>
    </w:p>
    <w:p w14:paraId="5F3B3037" w14:textId="77777777" w:rsidR="009F1C07" w:rsidRDefault="009F1C07" w:rsidP="009F1C07">
      <w:pPr>
        <w:spacing w:after="0" w:line="360" w:lineRule="auto"/>
        <w:jc w:val="both"/>
        <w:textAlignment w:val="baseline"/>
        <w:rPr>
          <w:rFonts w:ascii="Calibri" w:hAnsi="Calibri" w:cs="Calibri"/>
        </w:rPr>
      </w:pPr>
      <w:r>
        <w:rPr>
          <w:rFonts w:ascii="Calibri" w:eastAsia="Times New Roman" w:hAnsi="Calibri" w:cs="Calibri"/>
        </w:rPr>
        <w:t xml:space="preserve">Precision was established according to CLSI EP05-A3 guidelines. </w:t>
      </w:r>
      <w:r>
        <w:rPr>
          <w:rFonts w:ascii="Calibri" w:hAnsi="Calibri" w:cs="Calibri"/>
        </w:rPr>
        <w:t xml:space="preserve">The average intra-run precision for each assay was less than 10% for all assays. </w:t>
      </w:r>
      <w:r w:rsidRPr="00CF725F">
        <w:rPr>
          <w:rFonts w:ascii="Calibri" w:hAnsi="Calibri" w:cs="Calibri"/>
        </w:rPr>
        <w:t xml:space="preserve">The </w:t>
      </w:r>
      <w:r>
        <w:rPr>
          <w:rFonts w:ascii="Calibri" w:hAnsi="Calibri" w:cs="Calibri"/>
        </w:rPr>
        <w:t xml:space="preserve">inter-run </w:t>
      </w:r>
      <w:r w:rsidRPr="00CF725F">
        <w:rPr>
          <w:rFonts w:ascii="Calibri" w:hAnsi="Calibri" w:cs="Calibri"/>
        </w:rPr>
        <w:t xml:space="preserve">%CV </w:t>
      </w:r>
      <w:r>
        <w:rPr>
          <w:rFonts w:ascii="Calibri" w:hAnsi="Calibri" w:cs="Calibri"/>
        </w:rPr>
        <w:t xml:space="preserve">includes imprecision due to different operators and instruments. </w:t>
      </w:r>
    </w:p>
    <w:p w14:paraId="7BB56008" w14:textId="77777777" w:rsidR="009B1652" w:rsidRDefault="009B1652" w:rsidP="009B1652">
      <w:pPr>
        <w:pStyle w:val="Caption"/>
        <w:keepNext/>
      </w:pPr>
      <w:bookmarkStart w:id="0" w:name="_Ref72135118"/>
    </w:p>
    <w:p w14:paraId="601BFBED" w14:textId="5C5B0673" w:rsidR="009F1C07" w:rsidRPr="008B2B72" w:rsidRDefault="001C315F" w:rsidP="009B1652">
      <w:pPr>
        <w:pStyle w:val="Caption"/>
        <w:keepNext/>
        <w:rPr>
          <w:color w:val="auto"/>
        </w:rPr>
      </w:pPr>
      <w:r w:rsidRPr="008B2B72">
        <w:rPr>
          <w:color w:val="auto"/>
        </w:rPr>
        <w:t>Supplem</w:t>
      </w:r>
      <w:r w:rsidR="00A41704" w:rsidRPr="008B2B72">
        <w:rPr>
          <w:color w:val="auto"/>
        </w:rPr>
        <w:t>entary t</w:t>
      </w:r>
      <w:r w:rsidR="009F1C07" w:rsidRPr="008B2B72">
        <w:rPr>
          <w:color w:val="auto"/>
        </w:rPr>
        <w:t>able 3. Intra- and inter-run precision</w:t>
      </w:r>
    </w:p>
    <w:p w14:paraId="7399B557" w14:textId="78D344FA" w:rsidR="00D50C3D" w:rsidRDefault="00D50C3D" w:rsidP="009F1C07">
      <w:pPr>
        <w:pStyle w:val="Caption"/>
        <w:keepNext/>
        <w:rPr>
          <w:rFonts w:eastAsiaTheme="minorHAnsi"/>
          <w:b w:val="0"/>
          <w:bCs w:val="0"/>
          <w:smallCaps w:val="0"/>
          <w:color w:val="auto"/>
        </w:rPr>
      </w:pPr>
      <w:r>
        <w:fldChar w:fldCharType="begin"/>
      </w:r>
      <w:r>
        <w:instrText xml:space="preserve"> LINK Excel.Sheet.12 "C:\\Users\\christina.settler\\AppData\\Local\\Microsoft\\Windows\\INetCache\\Content.Outlook\\7WHV8GN4\\precision_development paper.xlsx" "precision phase 3!R4C12:R12C15" \a \f 4 \h  \* MERGEFORMAT </w:instrText>
      </w:r>
      <w:r>
        <w:fldChar w:fldCharType="separate"/>
      </w:r>
    </w:p>
    <w:tbl>
      <w:tblPr>
        <w:tblW w:w="8583" w:type="dxa"/>
        <w:tblLook w:val="04A0" w:firstRow="1" w:lastRow="0" w:firstColumn="1" w:lastColumn="0" w:noHBand="0" w:noVBand="1"/>
      </w:tblPr>
      <w:tblGrid>
        <w:gridCol w:w="991"/>
        <w:gridCol w:w="3286"/>
        <w:gridCol w:w="2134"/>
        <w:gridCol w:w="2228"/>
      </w:tblGrid>
      <w:tr w:rsidR="00D50C3D" w:rsidRPr="00D50C3D" w14:paraId="0E99589C" w14:textId="77777777" w:rsidTr="00D50C3D">
        <w:trPr>
          <w:trHeight w:val="312"/>
        </w:trPr>
        <w:tc>
          <w:tcPr>
            <w:tcW w:w="935"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14FC55E" w14:textId="27689E9D" w:rsidR="00D50C3D" w:rsidRPr="00D50C3D" w:rsidRDefault="00D50C3D" w:rsidP="00D50C3D">
            <w:pPr>
              <w:spacing w:after="0" w:line="240" w:lineRule="auto"/>
              <w:jc w:val="center"/>
              <w:rPr>
                <w:rFonts w:ascii="Calibri" w:eastAsia="Times New Roman" w:hAnsi="Calibri" w:cs="Calibri"/>
                <w:b/>
                <w:bCs/>
                <w:color w:val="000000"/>
              </w:rPr>
            </w:pPr>
            <w:r w:rsidRPr="00D50C3D">
              <w:rPr>
                <w:rFonts w:ascii="Calibri" w:eastAsia="Times New Roman" w:hAnsi="Calibri" w:cs="Calibri"/>
                <w:b/>
                <w:bCs/>
                <w:color w:val="000000"/>
              </w:rPr>
              <w:t>Assay</w:t>
            </w:r>
          </w:p>
        </w:tc>
        <w:tc>
          <w:tcPr>
            <w:tcW w:w="3286" w:type="dxa"/>
            <w:tcBorders>
              <w:top w:val="single" w:sz="4" w:space="0" w:color="auto"/>
              <w:left w:val="nil"/>
              <w:bottom w:val="single" w:sz="4" w:space="0" w:color="auto"/>
              <w:right w:val="single" w:sz="4" w:space="0" w:color="auto"/>
            </w:tcBorders>
            <w:shd w:val="clear" w:color="000000" w:fill="BFBFBF"/>
            <w:noWrap/>
            <w:vAlign w:val="center"/>
            <w:hideMark/>
          </w:tcPr>
          <w:p w14:paraId="6C536ACE" w14:textId="77777777" w:rsidR="00D50C3D" w:rsidRPr="00D50C3D" w:rsidRDefault="00D50C3D" w:rsidP="00D50C3D">
            <w:pPr>
              <w:spacing w:after="0" w:line="240" w:lineRule="auto"/>
              <w:jc w:val="center"/>
              <w:rPr>
                <w:rFonts w:ascii="Calibri" w:eastAsia="Times New Roman" w:hAnsi="Calibri" w:cs="Calibri"/>
                <w:b/>
                <w:bCs/>
                <w:color w:val="000000"/>
              </w:rPr>
            </w:pPr>
            <w:r w:rsidRPr="00D50C3D">
              <w:rPr>
                <w:rFonts w:ascii="Calibri" w:eastAsia="Times New Roman" w:hAnsi="Calibri" w:cs="Calibri"/>
                <w:b/>
                <w:bCs/>
                <w:color w:val="000000"/>
              </w:rPr>
              <w:t>Sample Concentration Range (</w:t>
            </w:r>
            <w:proofErr w:type="spellStart"/>
            <w:r w:rsidRPr="00D50C3D">
              <w:rPr>
                <w:rFonts w:ascii="Calibri" w:eastAsia="Times New Roman" w:hAnsi="Calibri" w:cs="Calibri"/>
                <w:b/>
                <w:bCs/>
                <w:color w:val="000000"/>
              </w:rPr>
              <w:t>pg</w:t>
            </w:r>
            <w:proofErr w:type="spellEnd"/>
            <w:r w:rsidRPr="00D50C3D">
              <w:rPr>
                <w:rFonts w:ascii="Calibri" w:eastAsia="Times New Roman" w:hAnsi="Calibri" w:cs="Calibri"/>
                <w:b/>
                <w:bCs/>
                <w:color w:val="000000"/>
              </w:rPr>
              <w:t>/mL)</w:t>
            </w:r>
          </w:p>
        </w:tc>
        <w:tc>
          <w:tcPr>
            <w:tcW w:w="2134" w:type="dxa"/>
            <w:tcBorders>
              <w:top w:val="single" w:sz="4" w:space="0" w:color="auto"/>
              <w:left w:val="nil"/>
              <w:bottom w:val="single" w:sz="4" w:space="0" w:color="auto"/>
              <w:right w:val="single" w:sz="4" w:space="0" w:color="auto"/>
            </w:tcBorders>
            <w:shd w:val="clear" w:color="000000" w:fill="BFBFBF"/>
            <w:noWrap/>
            <w:vAlign w:val="center"/>
            <w:hideMark/>
          </w:tcPr>
          <w:p w14:paraId="573561DD" w14:textId="77777777" w:rsidR="00D50C3D" w:rsidRPr="00D50C3D" w:rsidRDefault="00D50C3D" w:rsidP="00D50C3D">
            <w:pPr>
              <w:spacing w:after="0" w:line="240" w:lineRule="auto"/>
              <w:jc w:val="center"/>
              <w:rPr>
                <w:rFonts w:ascii="Calibri" w:eastAsia="Times New Roman" w:hAnsi="Calibri" w:cs="Calibri"/>
                <w:b/>
                <w:bCs/>
                <w:color w:val="000000"/>
              </w:rPr>
            </w:pPr>
            <w:r w:rsidRPr="00D50C3D">
              <w:rPr>
                <w:rFonts w:ascii="Calibri" w:eastAsia="Times New Roman" w:hAnsi="Calibri" w:cs="Calibri"/>
                <w:b/>
                <w:bCs/>
                <w:color w:val="000000"/>
              </w:rPr>
              <w:t>Average Intra-run %CV</w:t>
            </w:r>
          </w:p>
        </w:tc>
        <w:tc>
          <w:tcPr>
            <w:tcW w:w="2228" w:type="dxa"/>
            <w:tcBorders>
              <w:top w:val="single" w:sz="4" w:space="0" w:color="auto"/>
              <w:left w:val="nil"/>
              <w:bottom w:val="single" w:sz="4" w:space="0" w:color="auto"/>
              <w:right w:val="single" w:sz="4" w:space="0" w:color="auto"/>
            </w:tcBorders>
            <w:shd w:val="clear" w:color="000000" w:fill="BFBFBF"/>
            <w:vAlign w:val="center"/>
            <w:hideMark/>
          </w:tcPr>
          <w:p w14:paraId="35F8386C" w14:textId="77777777" w:rsidR="00D50C3D" w:rsidRPr="00D50C3D" w:rsidRDefault="00D50C3D" w:rsidP="00D50C3D">
            <w:pPr>
              <w:spacing w:after="0" w:line="240" w:lineRule="auto"/>
              <w:jc w:val="center"/>
              <w:rPr>
                <w:rFonts w:ascii="Calibri" w:eastAsia="Times New Roman" w:hAnsi="Calibri" w:cs="Calibri"/>
                <w:b/>
                <w:bCs/>
                <w:color w:val="000000"/>
              </w:rPr>
            </w:pPr>
            <w:r w:rsidRPr="00D50C3D">
              <w:rPr>
                <w:rFonts w:ascii="Calibri" w:eastAsia="Times New Roman" w:hAnsi="Calibri" w:cs="Calibri"/>
                <w:b/>
                <w:bCs/>
                <w:color w:val="000000"/>
              </w:rPr>
              <w:t>Average Inter-run %CV</w:t>
            </w:r>
          </w:p>
        </w:tc>
      </w:tr>
      <w:tr w:rsidR="00D50C3D" w:rsidRPr="00D50C3D" w14:paraId="5D6B3F2A"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2BE91631" w14:textId="77777777" w:rsidR="00D50C3D" w:rsidRPr="00D50C3D" w:rsidRDefault="00D50C3D" w:rsidP="00D50C3D">
            <w:pPr>
              <w:spacing w:after="0" w:line="240" w:lineRule="auto"/>
              <w:jc w:val="center"/>
              <w:rPr>
                <w:rFonts w:ascii="Calibri" w:eastAsia="Times New Roman" w:hAnsi="Calibri" w:cs="Calibri"/>
                <w:color w:val="000000"/>
              </w:rPr>
            </w:pPr>
            <w:proofErr w:type="spellStart"/>
            <w:r w:rsidRPr="00D50C3D">
              <w:rPr>
                <w:rFonts w:ascii="Calibri" w:eastAsia="Times New Roman" w:hAnsi="Calibri" w:cs="Calibri"/>
                <w:color w:val="000000"/>
              </w:rPr>
              <w:t>Decorin</w:t>
            </w:r>
            <w:proofErr w:type="spellEnd"/>
          </w:p>
        </w:tc>
        <w:tc>
          <w:tcPr>
            <w:tcW w:w="3286" w:type="dxa"/>
            <w:tcBorders>
              <w:top w:val="nil"/>
              <w:left w:val="nil"/>
              <w:bottom w:val="single" w:sz="4" w:space="0" w:color="auto"/>
              <w:right w:val="single" w:sz="4" w:space="0" w:color="auto"/>
            </w:tcBorders>
            <w:shd w:val="clear" w:color="auto" w:fill="auto"/>
            <w:noWrap/>
            <w:vAlign w:val="center"/>
            <w:hideMark/>
          </w:tcPr>
          <w:p w14:paraId="28050E26"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3,962 - 5,280</w:t>
            </w:r>
          </w:p>
        </w:tc>
        <w:tc>
          <w:tcPr>
            <w:tcW w:w="2134" w:type="dxa"/>
            <w:tcBorders>
              <w:top w:val="nil"/>
              <w:left w:val="nil"/>
              <w:bottom w:val="single" w:sz="4" w:space="0" w:color="auto"/>
              <w:right w:val="single" w:sz="4" w:space="0" w:color="auto"/>
            </w:tcBorders>
            <w:shd w:val="clear" w:color="auto" w:fill="auto"/>
            <w:noWrap/>
            <w:vAlign w:val="center"/>
            <w:hideMark/>
          </w:tcPr>
          <w:p w14:paraId="64FC920F"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4.4</w:t>
            </w:r>
          </w:p>
        </w:tc>
        <w:tc>
          <w:tcPr>
            <w:tcW w:w="2228" w:type="dxa"/>
            <w:tcBorders>
              <w:top w:val="nil"/>
              <w:left w:val="nil"/>
              <w:bottom w:val="single" w:sz="4" w:space="0" w:color="auto"/>
              <w:right w:val="single" w:sz="4" w:space="0" w:color="auto"/>
            </w:tcBorders>
            <w:shd w:val="clear" w:color="auto" w:fill="auto"/>
            <w:noWrap/>
            <w:vAlign w:val="center"/>
            <w:hideMark/>
          </w:tcPr>
          <w:p w14:paraId="487C2383"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5.3</w:t>
            </w:r>
          </w:p>
        </w:tc>
      </w:tr>
      <w:tr w:rsidR="00D50C3D" w:rsidRPr="00D50C3D" w14:paraId="499544D3"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766321A5"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FGF21</w:t>
            </w:r>
          </w:p>
        </w:tc>
        <w:tc>
          <w:tcPr>
            <w:tcW w:w="3286" w:type="dxa"/>
            <w:tcBorders>
              <w:top w:val="nil"/>
              <w:left w:val="nil"/>
              <w:bottom w:val="single" w:sz="4" w:space="0" w:color="auto"/>
              <w:right w:val="single" w:sz="4" w:space="0" w:color="auto"/>
            </w:tcBorders>
            <w:shd w:val="clear" w:color="auto" w:fill="auto"/>
            <w:noWrap/>
            <w:vAlign w:val="center"/>
            <w:hideMark/>
          </w:tcPr>
          <w:p w14:paraId="540EACA7"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128 - 642</w:t>
            </w:r>
          </w:p>
        </w:tc>
        <w:tc>
          <w:tcPr>
            <w:tcW w:w="2134" w:type="dxa"/>
            <w:tcBorders>
              <w:top w:val="nil"/>
              <w:left w:val="nil"/>
              <w:bottom w:val="single" w:sz="4" w:space="0" w:color="auto"/>
              <w:right w:val="single" w:sz="4" w:space="0" w:color="auto"/>
            </w:tcBorders>
            <w:shd w:val="clear" w:color="auto" w:fill="auto"/>
            <w:noWrap/>
            <w:vAlign w:val="center"/>
            <w:hideMark/>
          </w:tcPr>
          <w:p w14:paraId="52026A4B"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4.8</w:t>
            </w:r>
          </w:p>
        </w:tc>
        <w:tc>
          <w:tcPr>
            <w:tcW w:w="2228" w:type="dxa"/>
            <w:tcBorders>
              <w:top w:val="nil"/>
              <w:left w:val="nil"/>
              <w:bottom w:val="single" w:sz="4" w:space="0" w:color="auto"/>
              <w:right w:val="single" w:sz="4" w:space="0" w:color="auto"/>
            </w:tcBorders>
            <w:shd w:val="clear" w:color="auto" w:fill="auto"/>
            <w:noWrap/>
            <w:vAlign w:val="center"/>
            <w:hideMark/>
          </w:tcPr>
          <w:p w14:paraId="41B4A11A"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8.7</w:t>
            </w:r>
          </w:p>
        </w:tc>
      </w:tr>
      <w:tr w:rsidR="00D50C3D" w:rsidRPr="00D50C3D" w14:paraId="433895F6"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7E7E3F72"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KIM-1</w:t>
            </w:r>
          </w:p>
        </w:tc>
        <w:tc>
          <w:tcPr>
            <w:tcW w:w="3286" w:type="dxa"/>
            <w:tcBorders>
              <w:top w:val="nil"/>
              <w:left w:val="nil"/>
              <w:bottom w:val="single" w:sz="4" w:space="0" w:color="auto"/>
              <w:right w:val="single" w:sz="4" w:space="0" w:color="auto"/>
            </w:tcBorders>
            <w:shd w:val="clear" w:color="auto" w:fill="auto"/>
            <w:noWrap/>
            <w:vAlign w:val="center"/>
            <w:hideMark/>
          </w:tcPr>
          <w:p w14:paraId="4C54EEBA"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56.1 - 514</w:t>
            </w:r>
          </w:p>
        </w:tc>
        <w:tc>
          <w:tcPr>
            <w:tcW w:w="2134" w:type="dxa"/>
            <w:tcBorders>
              <w:top w:val="nil"/>
              <w:left w:val="nil"/>
              <w:bottom w:val="single" w:sz="4" w:space="0" w:color="auto"/>
              <w:right w:val="single" w:sz="4" w:space="0" w:color="auto"/>
            </w:tcBorders>
            <w:shd w:val="clear" w:color="auto" w:fill="auto"/>
            <w:noWrap/>
            <w:vAlign w:val="center"/>
            <w:hideMark/>
          </w:tcPr>
          <w:p w14:paraId="71572837"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3.9</w:t>
            </w:r>
          </w:p>
        </w:tc>
        <w:tc>
          <w:tcPr>
            <w:tcW w:w="2228" w:type="dxa"/>
            <w:tcBorders>
              <w:top w:val="nil"/>
              <w:left w:val="nil"/>
              <w:bottom w:val="single" w:sz="4" w:space="0" w:color="auto"/>
              <w:right w:val="single" w:sz="4" w:space="0" w:color="auto"/>
            </w:tcBorders>
            <w:shd w:val="clear" w:color="auto" w:fill="auto"/>
            <w:noWrap/>
            <w:vAlign w:val="center"/>
            <w:hideMark/>
          </w:tcPr>
          <w:p w14:paraId="37AEAD3C"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4.6</w:t>
            </w:r>
          </w:p>
        </w:tc>
      </w:tr>
      <w:tr w:rsidR="00D50C3D" w:rsidRPr="00D50C3D" w14:paraId="6C6A8F1A"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6CDDDCED"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sFlt-1</w:t>
            </w:r>
          </w:p>
        </w:tc>
        <w:tc>
          <w:tcPr>
            <w:tcW w:w="3286" w:type="dxa"/>
            <w:tcBorders>
              <w:top w:val="nil"/>
              <w:left w:val="nil"/>
              <w:bottom w:val="single" w:sz="4" w:space="0" w:color="auto"/>
              <w:right w:val="single" w:sz="4" w:space="0" w:color="auto"/>
            </w:tcBorders>
            <w:shd w:val="clear" w:color="auto" w:fill="auto"/>
            <w:noWrap/>
            <w:vAlign w:val="center"/>
            <w:hideMark/>
          </w:tcPr>
          <w:p w14:paraId="167152C8"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8,724 - 54,252</w:t>
            </w:r>
          </w:p>
        </w:tc>
        <w:tc>
          <w:tcPr>
            <w:tcW w:w="2134" w:type="dxa"/>
            <w:tcBorders>
              <w:top w:val="nil"/>
              <w:left w:val="nil"/>
              <w:bottom w:val="single" w:sz="4" w:space="0" w:color="auto"/>
              <w:right w:val="single" w:sz="4" w:space="0" w:color="auto"/>
            </w:tcBorders>
            <w:shd w:val="clear" w:color="auto" w:fill="auto"/>
            <w:noWrap/>
            <w:vAlign w:val="center"/>
            <w:hideMark/>
          </w:tcPr>
          <w:p w14:paraId="14817EAD"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4.3</w:t>
            </w:r>
          </w:p>
        </w:tc>
        <w:tc>
          <w:tcPr>
            <w:tcW w:w="2228" w:type="dxa"/>
            <w:tcBorders>
              <w:top w:val="nil"/>
              <w:left w:val="nil"/>
              <w:bottom w:val="single" w:sz="4" w:space="0" w:color="auto"/>
              <w:right w:val="single" w:sz="4" w:space="0" w:color="auto"/>
            </w:tcBorders>
            <w:shd w:val="clear" w:color="auto" w:fill="auto"/>
            <w:noWrap/>
            <w:vAlign w:val="center"/>
            <w:hideMark/>
          </w:tcPr>
          <w:p w14:paraId="46E57948"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4.6</w:t>
            </w:r>
          </w:p>
        </w:tc>
      </w:tr>
      <w:tr w:rsidR="00D50C3D" w:rsidRPr="00D50C3D" w14:paraId="729CBD93"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4F00D161"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CD274</w:t>
            </w:r>
          </w:p>
        </w:tc>
        <w:tc>
          <w:tcPr>
            <w:tcW w:w="3286" w:type="dxa"/>
            <w:tcBorders>
              <w:top w:val="nil"/>
              <w:left w:val="nil"/>
              <w:bottom w:val="single" w:sz="4" w:space="0" w:color="auto"/>
              <w:right w:val="single" w:sz="4" w:space="0" w:color="auto"/>
            </w:tcBorders>
            <w:shd w:val="clear" w:color="auto" w:fill="auto"/>
            <w:noWrap/>
            <w:vAlign w:val="center"/>
            <w:hideMark/>
          </w:tcPr>
          <w:p w14:paraId="6D6D56AB"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296 - 2,248</w:t>
            </w:r>
          </w:p>
        </w:tc>
        <w:tc>
          <w:tcPr>
            <w:tcW w:w="2134" w:type="dxa"/>
            <w:tcBorders>
              <w:top w:val="nil"/>
              <w:left w:val="nil"/>
              <w:bottom w:val="single" w:sz="4" w:space="0" w:color="auto"/>
              <w:right w:val="single" w:sz="4" w:space="0" w:color="auto"/>
            </w:tcBorders>
            <w:shd w:val="clear" w:color="auto" w:fill="auto"/>
            <w:noWrap/>
            <w:vAlign w:val="center"/>
            <w:hideMark/>
          </w:tcPr>
          <w:p w14:paraId="16A2D58F"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3.4</w:t>
            </w:r>
          </w:p>
        </w:tc>
        <w:tc>
          <w:tcPr>
            <w:tcW w:w="2228" w:type="dxa"/>
            <w:tcBorders>
              <w:top w:val="nil"/>
              <w:left w:val="nil"/>
              <w:bottom w:val="single" w:sz="4" w:space="0" w:color="auto"/>
              <w:right w:val="single" w:sz="4" w:space="0" w:color="auto"/>
            </w:tcBorders>
            <w:shd w:val="clear" w:color="auto" w:fill="auto"/>
            <w:noWrap/>
            <w:vAlign w:val="center"/>
            <w:hideMark/>
          </w:tcPr>
          <w:p w14:paraId="7FE7971A"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3.7</w:t>
            </w:r>
          </w:p>
        </w:tc>
      </w:tr>
      <w:tr w:rsidR="00D50C3D" w:rsidRPr="00D50C3D" w14:paraId="2867F6C2"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0221976F"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Endoglin</w:t>
            </w:r>
          </w:p>
        </w:tc>
        <w:tc>
          <w:tcPr>
            <w:tcW w:w="3286" w:type="dxa"/>
            <w:tcBorders>
              <w:top w:val="nil"/>
              <w:left w:val="nil"/>
              <w:bottom w:val="single" w:sz="4" w:space="0" w:color="auto"/>
              <w:right w:val="single" w:sz="4" w:space="0" w:color="auto"/>
            </w:tcBorders>
            <w:shd w:val="clear" w:color="auto" w:fill="auto"/>
            <w:noWrap/>
            <w:vAlign w:val="center"/>
            <w:hideMark/>
          </w:tcPr>
          <w:p w14:paraId="5DBB2782"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3,650 - 35,400</w:t>
            </w:r>
          </w:p>
        </w:tc>
        <w:tc>
          <w:tcPr>
            <w:tcW w:w="2134" w:type="dxa"/>
            <w:tcBorders>
              <w:top w:val="nil"/>
              <w:left w:val="nil"/>
              <w:bottom w:val="single" w:sz="4" w:space="0" w:color="auto"/>
              <w:right w:val="single" w:sz="4" w:space="0" w:color="auto"/>
            </w:tcBorders>
            <w:shd w:val="clear" w:color="auto" w:fill="auto"/>
            <w:noWrap/>
            <w:vAlign w:val="center"/>
            <w:hideMark/>
          </w:tcPr>
          <w:p w14:paraId="6FE78A2E"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5.5</w:t>
            </w:r>
          </w:p>
        </w:tc>
        <w:tc>
          <w:tcPr>
            <w:tcW w:w="2228" w:type="dxa"/>
            <w:tcBorders>
              <w:top w:val="nil"/>
              <w:left w:val="nil"/>
              <w:bottom w:val="single" w:sz="4" w:space="0" w:color="auto"/>
              <w:right w:val="single" w:sz="4" w:space="0" w:color="auto"/>
            </w:tcBorders>
            <w:shd w:val="clear" w:color="auto" w:fill="auto"/>
            <w:noWrap/>
            <w:vAlign w:val="center"/>
            <w:hideMark/>
          </w:tcPr>
          <w:p w14:paraId="20AD0365"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6.3</w:t>
            </w:r>
          </w:p>
        </w:tc>
      </w:tr>
      <w:tr w:rsidR="00D50C3D" w:rsidRPr="00D50C3D" w14:paraId="69198DE9"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37724BBD"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 xml:space="preserve">Free </w:t>
            </w:r>
            <w:proofErr w:type="spellStart"/>
            <w:r w:rsidRPr="00D50C3D">
              <w:rPr>
                <w:rFonts w:ascii="Calibri" w:eastAsia="Times New Roman" w:hAnsi="Calibri" w:cs="Calibri"/>
                <w:color w:val="000000"/>
              </w:rPr>
              <w:t>PlGF</w:t>
            </w:r>
            <w:proofErr w:type="spellEnd"/>
          </w:p>
        </w:tc>
        <w:tc>
          <w:tcPr>
            <w:tcW w:w="3286" w:type="dxa"/>
            <w:tcBorders>
              <w:top w:val="nil"/>
              <w:left w:val="nil"/>
              <w:bottom w:val="single" w:sz="4" w:space="0" w:color="auto"/>
              <w:right w:val="single" w:sz="4" w:space="0" w:color="auto"/>
            </w:tcBorders>
            <w:shd w:val="clear" w:color="auto" w:fill="auto"/>
            <w:noWrap/>
            <w:vAlign w:val="center"/>
            <w:hideMark/>
          </w:tcPr>
          <w:p w14:paraId="36D074A4"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26.0 - 209</w:t>
            </w:r>
          </w:p>
        </w:tc>
        <w:tc>
          <w:tcPr>
            <w:tcW w:w="2134" w:type="dxa"/>
            <w:tcBorders>
              <w:top w:val="nil"/>
              <w:left w:val="nil"/>
              <w:bottom w:val="single" w:sz="4" w:space="0" w:color="auto"/>
              <w:right w:val="single" w:sz="4" w:space="0" w:color="auto"/>
            </w:tcBorders>
            <w:shd w:val="clear" w:color="auto" w:fill="auto"/>
            <w:noWrap/>
            <w:vAlign w:val="center"/>
            <w:hideMark/>
          </w:tcPr>
          <w:p w14:paraId="76178F64"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8.8</w:t>
            </w:r>
          </w:p>
        </w:tc>
        <w:tc>
          <w:tcPr>
            <w:tcW w:w="2228" w:type="dxa"/>
            <w:tcBorders>
              <w:top w:val="nil"/>
              <w:left w:val="nil"/>
              <w:bottom w:val="single" w:sz="4" w:space="0" w:color="auto"/>
              <w:right w:val="single" w:sz="4" w:space="0" w:color="auto"/>
            </w:tcBorders>
            <w:shd w:val="clear" w:color="auto" w:fill="auto"/>
            <w:noWrap/>
            <w:vAlign w:val="center"/>
            <w:hideMark/>
          </w:tcPr>
          <w:p w14:paraId="00E4EB0A"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8.9</w:t>
            </w:r>
          </w:p>
        </w:tc>
      </w:tr>
      <w:tr w:rsidR="00D50C3D" w:rsidRPr="00D50C3D" w14:paraId="7E9A1530" w14:textId="77777777" w:rsidTr="00D50C3D">
        <w:trPr>
          <w:trHeight w:val="312"/>
        </w:trPr>
        <w:tc>
          <w:tcPr>
            <w:tcW w:w="935" w:type="dxa"/>
            <w:tcBorders>
              <w:top w:val="nil"/>
              <w:left w:val="single" w:sz="4" w:space="0" w:color="auto"/>
              <w:bottom w:val="single" w:sz="4" w:space="0" w:color="auto"/>
              <w:right w:val="single" w:sz="4" w:space="0" w:color="auto"/>
            </w:tcBorders>
            <w:shd w:val="clear" w:color="auto" w:fill="auto"/>
            <w:noWrap/>
            <w:vAlign w:val="center"/>
            <w:hideMark/>
          </w:tcPr>
          <w:p w14:paraId="14661517"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 xml:space="preserve">Total </w:t>
            </w:r>
            <w:proofErr w:type="spellStart"/>
            <w:r w:rsidRPr="00D50C3D">
              <w:rPr>
                <w:rFonts w:ascii="Calibri" w:eastAsia="Times New Roman" w:hAnsi="Calibri" w:cs="Calibri"/>
                <w:color w:val="000000"/>
              </w:rPr>
              <w:t>PlGF</w:t>
            </w:r>
            <w:proofErr w:type="spellEnd"/>
          </w:p>
        </w:tc>
        <w:tc>
          <w:tcPr>
            <w:tcW w:w="3286" w:type="dxa"/>
            <w:tcBorders>
              <w:top w:val="nil"/>
              <w:left w:val="nil"/>
              <w:bottom w:val="single" w:sz="4" w:space="0" w:color="auto"/>
              <w:right w:val="single" w:sz="4" w:space="0" w:color="auto"/>
            </w:tcBorders>
            <w:shd w:val="clear" w:color="auto" w:fill="auto"/>
            <w:noWrap/>
            <w:vAlign w:val="center"/>
            <w:hideMark/>
          </w:tcPr>
          <w:p w14:paraId="2B43D272"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81.6 - 536</w:t>
            </w:r>
          </w:p>
        </w:tc>
        <w:tc>
          <w:tcPr>
            <w:tcW w:w="2134" w:type="dxa"/>
            <w:tcBorders>
              <w:top w:val="nil"/>
              <w:left w:val="nil"/>
              <w:bottom w:val="single" w:sz="4" w:space="0" w:color="auto"/>
              <w:right w:val="single" w:sz="4" w:space="0" w:color="auto"/>
            </w:tcBorders>
            <w:shd w:val="clear" w:color="auto" w:fill="auto"/>
            <w:noWrap/>
            <w:vAlign w:val="center"/>
            <w:hideMark/>
          </w:tcPr>
          <w:p w14:paraId="63ED3701"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7.1</w:t>
            </w:r>
          </w:p>
        </w:tc>
        <w:tc>
          <w:tcPr>
            <w:tcW w:w="2228" w:type="dxa"/>
            <w:tcBorders>
              <w:top w:val="nil"/>
              <w:left w:val="nil"/>
              <w:bottom w:val="single" w:sz="4" w:space="0" w:color="auto"/>
              <w:right w:val="single" w:sz="4" w:space="0" w:color="auto"/>
            </w:tcBorders>
            <w:shd w:val="clear" w:color="auto" w:fill="auto"/>
            <w:noWrap/>
            <w:vAlign w:val="center"/>
            <w:hideMark/>
          </w:tcPr>
          <w:p w14:paraId="1E64082B" w14:textId="77777777" w:rsidR="00D50C3D" w:rsidRPr="00D50C3D" w:rsidRDefault="00D50C3D" w:rsidP="00D50C3D">
            <w:pPr>
              <w:spacing w:after="0" w:line="240" w:lineRule="auto"/>
              <w:jc w:val="center"/>
              <w:rPr>
                <w:rFonts w:ascii="Calibri" w:eastAsia="Times New Roman" w:hAnsi="Calibri" w:cs="Calibri"/>
                <w:color w:val="000000"/>
              </w:rPr>
            </w:pPr>
            <w:r w:rsidRPr="00D50C3D">
              <w:rPr>
                <w:rFonts w:ascii="Calibri" w:eastAsia="Times New Roman" w:hAnsi="Calibri" w:cs="Calibri"/>
                <w:color w:val="000000"/>
              </w:rPr>
              <w:t>8.8</w:t>
            </w:r>
          </w:p>
        </w:tc>
      </w:tr>
    </w:tbl>
    <w:p w14:paraId="2AF3CE1F" w14:textId="782BBBC9" w:rsidR="009F1C07" w:rsidRDefault="00D50C3D" w:rsidP="009F1C07">
      <w:pPr>
        <w:pStyle w:val="Caption"/>
        <w:keepNext/>
      </w:pPr>
      <w:r>
        <w:fldChar w:fldCharType="end"/>
      </w:r>
    </w:p>
    <w:p w14:paraId="66375147" w14:textId="5B4D544A" w:rsidR="009F1C07" w:rsidRPr="008B2B72" w:rsidRDefault="00A41704" w:rsidP="009F1C07">
      <w:pPr>
        <w:pStyle w:val="Caption"/>
        <w:keepNext/>
        <w:rPr>
          <w:color w:val="auto"/>
        </w:rPr>
      </w:pPr>
      <w:r w:rsidRPr="008B2B72">
        <w:rPr>
          <w:color w:val="auto"/>
        </w:rPr>
        <w:t>Supplementary t</w:t>
      </w:r>
      <w:r w:rsidR="009F1C07" w:rsidRPr="008B2B72">
        <w:rPr>
          <w:color w:val="auto"/>
        </w:rPr>
        <w:t xml:space="preserve">able </w:t>
      </w:r>
      <w:bookmarkEnd w:id="0"/>
      <w:r w:rsidR="009F1C07" w:rsidRPr="008B2B72">
        <w:rPr>
          <w:color w:val="auto"/>
        </w:rPr>
        <w:t>4. Analytical and Concentration Ranges for each assay for Non-PE subjects</w:t>
      </w:r>
    </w:p>
    <w:tbl>
      <w:tblPr>
        <w:tblW w:w="8671" w:type="dxa"/>
        <w:tblLook w:val="04A0" w:firstRow="1" w:lastRow="0" w:firstColumn="1" w:lastColumn="0" w:noHBand="0" w:noVBand="1"/>
      </w:tblPr>
      <w:tblGrid>
        <w:gridCol w:w="1170"/>
        <w:gridCol w:w="781"/>
        <w:gridCol w:w="930"/>
        <w:gridCol w:w="990"/>
        <w:gridCol w:w="960"/>
        <w:gridCol w:w="960"/>
        <w:gridCol w:w="960"/>
        <w:gridCol w:w="960"/>
        <w:gridCol w:w="960"/>
      </w:tblGrid>
      <w:tr w:rsidR="009F1C07" w:rsidRPr="00EF7088" w14:paraId="24F916ED" w14:textId="77777777" w:rsidTr="0055267D">
        <w:trPr>
          <w:trHeight w:val="315"/>
        </w:trPr>
        <w:tc>
          <w:tcPr>
            <w:tcW w:w="1170" w:type="dxa"/>
            <w:tcBorders>
              <w:top w:val="nil"/>
              <w:left w:val="nil"/>
              <w:bottom w:val="nil"/>
              <w:right w:val="nil"/>
            </w:tcBorders>
            <w:shd w:val="clear" w:color="auto" w:fill="auto"/>
            <w:noWrap/>
            <w:vAlign w:val="bottom"/>
            <w:hideMark/>
          </w:tcPr>
          <w:p w14:paraId="7335FEB6" w14:textId="77777777" w:rsidR="009F1C07" w:rsidRPr="00EF7088" w:rsidRDefault="009F1C07" w:rsidP="0055267D">
            <w:pPr>
              <w:spacing w:after="0" w:line="240" w:lineRule="auto"/>
              <w:rPr>
                <w:rFonts w:ascii="Times New Roman" w:eastAsia="Times New Roman" w:hAnsi="Times New Roman" w:cs="Times New Roman"/>
                <w:sz w:val="24"/>
                <w:szCs w:val="24"/>
              </w:rPr>
            </w:pPr>
          </w:p>
        </w:tc>
        <w:tc>
          <w:tcPr>
            <w:tcW w:w="2701" w:type="dxa"/>
            <w:gridSpan w:val="3"/>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97977DC"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 xml:space="preserve">Analytical Range </w:t>
            </w:r>
            <w:r w:rsidRPr="00EF7088">
              <w:rPr>
                <w:rFonts w:ascii="Calibri" w:eastAsia="Times New Roman" w:hAnsi="Calibri" w:cs="Calibri"/>
                <w:b/>
                <w:bCs/>
                <w:color w:val="333333"/>
              </w:rPr>
              <w:t>(</w:t>
            </w:r>
            <w:proofErr w:type="spellStart"/>
            <w:r w:rsidRPr="00EF7088">
              <w:rPr>
                <w:rFonts w:ascii="Calibri" w:eastAsia="Times New Roman" w:hAnsi="Calibri" w:cs="Calibri"/>
                <w:b/>
                <w:bCs/>
                <w:color w:val="333333"/>
              </w:rPr>
              <w:t>pg</w:t>
            </w:r>
            <w:proofErr w:type="spellEnd"/>
            <w:r w:rsidRPr="00EF7088">
              <w:rPr>
                <w:rFonts w:ascii="Calibri" w:eastAsia="Times New Roman" w:hAnsi="Calibri" w:cs="Calibri"/>
                <w:b/>
                <w:bCs/>
                <w:color w:val="333333"/>
              </w:rPr>
              <w:t>/mL)</w:t>
            </w:r>
          </w:p>
        </w:tc>
        <w:tc>
          <w:tcPr>
            <w:tcW w:w="4800" w:type="dxa"/>
            <w:gridSpan w:val="5"/>
            <w:tcBorders>
              <w:top w:val="single" w:sz="4" w:space="0" w:color="auto"/>
              <w:left w:val="nil"/>
              <w:bottom w:val="single" w:sz="4" w:space="0" w:color="auto"/>
              <w:right w:val="single" w:sz="4" w:space="0" w:color="auto"/>
            </w:tcBorders>
            <w:shd w:val="clear" w:color="000000" w:fill="BFBFBF"/>
            <w:noWrap/>
            <w:vAlign w:val="center"/>
            <w:hideMark/>
          </w:tcPr>
          <w:p w14:paraId="43F83AEB"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themeColor="text1"/>
              </w:rPr>
              <w:t>Sample Concentration Range (</w:t>
            </w:r>
            <w:proofErr w:type="spellStart"/>
            <w:r w:rsidRPr="00EF7088">
              <w:rPr>
                <w:rFonts w:ascii="Calibri" w:eastAsia="Times New Roman" w:hAnsi="Calibri" w:cs="Calibri"/>
                <w:b/>
                <w:bCs/>
                <w:color w:val="000000" w:themeColor="text1"/>
              </w:rPr>
              <w:t>pg</w:t>
            </w:r>
            <w:proofErr w:type="spellEnd"/>
            <w:r w:rsidRPr="00EF7088">
              <w:rPr>
                <w:rFonts w:ascii="Calibri" w:eastAsia="Times New Roman" w:hAnsi="Calibri" w:cs="Calibri"/>
                <w:b/>
                <w:bCs/>
                <w:color w:val="000000" w:themeColor="text1"/>
              </w:rPr>
              <w:t>/</w:t>
            </w:r>
            <w:proofErr w:type="gramStart"/>
            <w:r w:rsidRPr="00EF7088">
              <w:rPr>
                <w:rFonts w:ascii="Calibri" w:eastAsia="Times New Roman" w:hAnsi="Calibri" w:cs="Calibri"/>
                <w:b/>
                <w:bCs/>
                <w:color w:val="000000" w:themeColor="text1"/>
              </w:rPr>
              <w:t>mL)*</w:t>
            </w:r>
            <w:proofErr w:type="gramEnd"/>
          </w:p>
        </w:tc>
      </w:tr>
      <w:tr w:rsidR="009F1C07" w:rsidRPr="00EF7088" w14:paraId="7D61288C" w14:textId="77777777" w:rsidTr="0055267D">
        <w:trPr>
          <w:trHeight w:val="360"/>
        </w:trPr>
        <w:tc>
          <w:tcPr>
            <w:tcW w:w="117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02F13581" w14:textId="77777777" w:rsidR="009F1C07" w:rsidRPr="00EF7088" w:rsidRDefault="009F1C07" w:rsidP="0055267D">
            <w:pPr>
              <w:spacing w:after="0" w:line="240" w:lineRule="auto"/>
              <w:jc w:val="center"/>
              <w:rPr>
                <w:rFonts w:ascii="Calibri" w:eastAsia="Times New Roman" w:hAnsi="Calibri" w:cs="Calibri"/>
                <w:b/>
                <w:bCs/>
                <w:color w:val="333333"/>
              </w:rPr>
            </w:pPr>
            <w:r w:rsidRPr="00EF7088">
              <w:rPr>
                <w:rFonts w:ascii="Calibri" w:eastAsia="Times New Roman" w:hAnsi="Calibri" w:cs="Calibri"/>
                <w:b/>
                <w:bCs/>
                <w:color w:val="333333"/>
              </w:rPr>
              <w:t>Assay</w:t>
            </w:r>
          </w:p>
        </w:tc>
        <w:tc>
          <w:tcPr>
            <w:tcW w:w="781" w:type="dxa"/>
            <w:tcBorders>
              <w:top w:val="nil"/>
              <w:left w:val="nil"/>
              <w:bottom w:val="nil"/>
              <w:right w:val="single" w:sz="4" w:space="0" w:color="auto"/>
            </w:tcBorders>
            <w:shd w:val="clear" w:color="000000" w:fill="BFBFBF"/>
            <w:vAlign w:val="center"/>
            <w:hideMark/>
          </w:tcPr>
          <w:p w14:paraId="7A9E3A33" w14:textId="77777777" w:rsidR="009F1C07" w:rsidRPr="00EF7088" w:rsidRDefault="009F1C07" w:rsidP="0055267D">
            <w:pPr>
              <w:spacing w:after="0" w:line="240" w:lineRule="auto"/>
              <w:jc w:val="center"/>
              <w:rPr>
                <w:rFonts w:ascii="Calibri" w:eastAsia="Times New Roman" w:hAnsi="Calibri" w:cs="Calibri"/>
                <w:b/>
                <w:bCs/>
                <w:color w:val="333333"/>
              </w:rPr>
            </w:pPr>
            <w:r w:rsidRPr="00EF7088">
              <w:rPr>
                <w:rFonts w:ascii="Calibri" w:eastAsia="Times New Roman" w:hAnsi="Calibri" w:cs="Calibri"/>
                <w:b/>
                <w:bCs/>
                <w:color w:val="333333"/>
              </w:rPr>
              <w:t>LOD</w:t>
            </w:r>
          </w:p>
        </w:tc>
        <w:tc>
          <w:tcPr>
            <w:tcW w:w="930" w:type="dxa"/>
            <w:tcBorders>
              <w:top w:val="nil"/>
              <w:left w:val="nil"/>
              <w:bottom w:val="nil"/>
              <w:right w:val="single" w:sz="4" w:space="0" w:color="auto"/>
            </w:tcBorders>
            <w:shd w:val="clear" w:color="000000" w:fill="BFBFBF"/>
            <w:vAlign w:val="center"/>
            <w:hideMark/>
          </w:tcPr>
          <w:p w14:paraId="232BBA68" w14:textId="77777777" w:rsidR="009F1C07" w:rsidRPr="00EF7088" w:rsidRDefault="009F1C07" w:rsidP="0055267D">
            <w:pPr>
              <w:spacing w:after="0" w:line="240" w:lineRule="auto"/>
              <w:jc w:val="center"/>
              <w:rPr>
                <w:rFonts w:ascii="Calibri" w:eastAsia="Times New Roman" w:hAnsi="Calibri" w:cs="Calibri"/>
                <w:b/>
                <w:bCs/>
                <w:color w:val="333333"/>
              </w:rPr>
            </w:pPr>
            <w:r w:rsidRPr="00EF7088">
              <w:rPr>
                <w:rFonts w:ascii="Calibri" w:eastAsia="Times New Roman" w:hAnsi="Calibri" w:cs="Calibri"/>
                <w:b/>
                <w:bCs/>
                <w:color w:val="333333"/>
              </w:rPr>
              <w:t>LLOQ</w:t>
            </w:r>
          </w:p>
        </w:tc>
        <w:tc>
          <w:tcPr>
            <w:tcW w:w="990" w:type="dxa"/>
            <w:tcBorders>
              <w:top w:val="nil"/>
              <w:left w:val="nil"/>
              <w:bottom w:val="nil"/>
              <w:right w:val="single" w:sz="4" w:space="0" w:color="auto"/>
            </w:tcBorders>
            <w:shd w:val="clear" w:color="000000" w:fill="BFBFBF"/>
            <w:vAlign w:val="center"/>
            <w:hideMark/>
          </w:tcPr>
          <w:p w14:paraId="5F9AE658" w14:textId="77777777" w:rsidR="009F1C07" w:rsidRPr="00EF7088" w:rsidRDefault="009F1C07" w:rsidP="0055267D">
            <w:pPr>
              <w:spacing w:after="0" w:line="240" w:lineRule="auto"/>
              <w:jc w:val="center"/>
              <w:rPr>
                <w:rFonts w:ascii="Calibri" w:eastAsia="Times New Roman" w:hAnsi="Calibri" w:cs="Calibri"/>
                <w:b/>
                <w:bCs/>
                <w:color w:val="333333"/>
              </w:rPr>
            </w:pPr>
            <w:r w:rsidRPr="00EF7088">
              <w:rPr>
                <w:rFonts w:ascii="Calibri" w:eastAsia="Times New Roman" w:hAnsi="Calibri" w:cs="Calibri"/>
                <w:b/>
                <w:bCs/>
                <w:color w:val="333333"/>
              </w:rPr>
              <w:t>ULOQ</w:t>
            </w:r>
          </w:p>
        </w:tc>
        <w:tc>
          <w:tcPr>
            <w:tcW w:w="960" w:type="dxa"/>
            <w:tcBorders>
              <w:top w:val="nil"/>
              <w:left w:val="nil"/>
              <w:bottom w:val="single" w:sz="4" w:space="0" w:color="auto"/>
              <w:right w:val="single" w:sz="4" w:space="0" w:color="auto"/>
            </w:tcBorders>
            <w:shd w:val="clear" w:color="000000" w:fill="BFBFBF"/>
            <w:vAlign w:val="center"/>
            <w:hideMark/>
          </w:tcPr>
          <w:p w14:paraId="5483B182"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5</w:t>
            </w:r>
            <w:r w:rsidRPr="00EF7088">
              <w:rPr>
                <w:rFonts w:ascii="Calibri" w:eastAsia="Times New Roman" w:hAnsi="Calibri" w:cs="Calibri"/>
                <w:b/>
                <w:bCs/>
                <w:color w:val="000000"/>
                <w:vertAlign w:val="superscript"/>
              </w:rPr>
              <w:t>th</w:t>
            </w:r>
          </w:p>
        </w:tc>
        <w:tc>
          <w:tcPr>
            <w:tcW w:w="960" w:type="dxa"/>
            <w:tcBorders>
              <w:top w:val="nil"/>
              <w:left w:val="nil"/>
              <w:bottom w:val="single" w:sz="4" w:space="0" w:color="auto"/>
              <w:right w:val="single" w:sz="4" w:space="0" w:color="auto"/>
            </w:tcBorders>
            <w:shd w:val="clear" w:color="000000" w:fill="BFBFBF"/>
            <w:vAlign w:val="center"/>
            <w:hideMark/>
          </w:tcPr>
          <w:p w14:paraId="5B3DA583"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25</w:t>
            </w:r>
            <w:r w:rsidRPr="00EF7088">
              <w:rPr>
                <w:rFonts w:ascii="Calibri" w:eastAsia="Times New Roman" w:hAnsi="Calibri" w:cs="Calibri"/>
                <w:b/>
                <w:bCs/>
                <w:color w:val="000000"/>
                <w:vertAlign w:val="superscript"/>
              </w:rPr>
              <w:t>th</w:t>
            </w:r>
          </w:p>
        </w:tc>
        <w:tc>
          <w:tcPr>
            <w:tcW w:w="960" w:type="dxa"/>
            <w:tcBorders>
              <w:top w:val="nil"/>
              <w:left w:val="nil"/>
              <w:bottom w:val="single" w:sz="4" w:space="0" w:color="auto"/>
              <w:right w:val="single" w:sz="4" w:space="0" w:color="auto"/>
            </w:tcBorders>
            <w:shd w:val="clear" w:color="000000" w:fill="BFBFBF"/>
            <w:vAlign w:val="center"/>
            <w:hideMark/>
          </w:tcPr>
          <w:p w14:paraId="670371E6"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50</w:t>
            </w:r>
            <w:r w:rsidRPr="00EF7088">
              <w:rPr>
                <w:rFonts w:ascii="Calibri" w:eastAsia="Times New Roman" w:hAnsi="Calibri" w:cs="Calibri"/>
                <w:b/>
                <w:bCs/>
                <w:color w:val="000000"/>
                <w:vertAlign w:val="superscript"/>
              </w:rPr>
              <w:t>th</w:t>
            </w:r>
          </w:p>
        </w:tc>
        <w:tc>
          <w:tcPr>
            <w:tcW w:w="960" w:type="dxa"/>
            <w:tcBorders>
              <w:top w:val="nil"/>
              <w:left w:val="nil"/>
              <w:bottom w:val="single" w:sz="4" w:space="0" w:color="auto"/>
              <w:right w:val="single" w:sz="4" w:space="0" w:color="auto"/>
            </w:tcBorders>
            <w:shd w:val="clear" w:color="000000" w:fill="BFBFBF"/>
            <w:vAlign w:val="center"/>
            <w:hideMark/>
          </w:tcPr>
          <w:p w14:paraId="0A356032"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75</w:t>
            </w:r>
            <w:r w:rsidRPr="00EF7088">
              <w:rPr>
                <w:rFonts w:ascii="Calibri" w:eastAsia="Times New Roman" w:hAnsi="Calibri" w:cs="Calibri"/>
                <w:b/>
                <w:bCs/>
                <w:color w:val="000000"/>
                <w:vertAlign w:val="superscript"/>
              </w:rPr>
              <w:t>th</w:t>
            </w:r>
          </w:p>
        </w:tc>
        <w:tc>
          <w:tcPr>
            <w:tcW w:w="960" w:type="dxa"/>
            <w:tcBorders>
              <w:top w:val="nil"/>
              <w:left w:val="nil"/>
              <w:bottom w:val="single" w:sz="4" w:space="0" w:color="auto"/>
              <w:right w:val="single" w:sz="4" w:space="0" w:color="auto"/>
            </w:tcBorders>
            <w:shd w:val="clear" w:color="000000" w:fill="BFBFBF"/>
            <w:vAlign w:val="center"/>
            <w:hideMark/>
          </w:tcPr>
          <w:p w14:paraId="3CB81743" w14:textId="77777777" w:rsidR="009F1C07" w:rsidRPr="00EF7088" w:rsidRDefault="009F1C07" w:rsidP="0055267D">
            <w:pPr>
              <w:spacing w:after="0" w:line="240" w:lineRule="auto"/>
              <w:jc w:val="center"/>
              <w:rPr>
                <w:rFonts w:ascii="Calibri" w:eastAsia="Times New Roman" w:hAnsi="Calibri" w:cs="Calibri"/>
                <w:b/>
                <w:bCs/>
                <w:color w:val="000000"/>
              </w:rPr>
            </w:pPr>
            <w:r w:rsidRPr="00EF7088">
              <w:rPr>
                <w:rFonts w:ascii="Calibri" w:eastAsia="Times New Roman" w:hAnsi="Calibri" w:cs="Calibri"/>
                <w:b/>
                <w:bCs/>
                <w:color w:val="000000"/>
              </w:rPr>
              <w:t>95</w:t>
            </w:r>
            <w:r w:rsidRPr="00EF7088">
              <w:rPr>
                <w:rFonts w:ascii="Calibri" w:eastAsia="Times New Roman" w:hAnsi="Calibri" w:cs="Calibri"/>
                <w:b/>
                <w:bCs/>
                <w:color w:val="000000"/>
                <w:vertAlign w:val="superscript"/>
              </w:rPr>
              <w:t>th</w:t>
            </w:r>
          </w:p>
        </w:tc>
      </w:tr>
      <w:tr w:rsidR="009F1C07" w:rsidRPr="00EF7088" w14:paraId="3F3BDED9"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135D8071"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CD274</w:t>
            </w:r>
          </w:p>
        </w:tc>
        <w:tc>
          <w:tcPr>
            <w:tcW w:w="7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153304"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26.2 </w:t>
            </w:r>
          </w:p>
        </w:tc>
        <w:tc>
          <w:tcPr>
            <w:tcW w:w="930" w:type="dxa"/>
            <w:tcBorders>
              <w:top w:val="single" w:sz="4" w:space="0" w:color="auto"/>
              <w:left w:val="nil"/>
              <w:bottom w:val="single" w:sz="4" w:space="0" w:color="auto"/>
              <w:right w:val="single" w:sz="4" w:space="0" w:color="auto"/>
            </w:tcBorders>
            <w:shd w:val="clear" w:color="auto" w:fill="auto"/>
            <w:vAlign w:val="center"/>
            <w:hideMark/>
          </w:tcPr>
          <w:p w14:paraId="1952CA44"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150 </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182653D2"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4,600 </w:t>
            </w:r>
          </w:p>
        </w:tc>
        <w:tc>
          <w:tcPr>
            <w:tcW w:w="960" w:type="dxa"/>
            <w:tcBorders>
              <w:top w:val="nil"/>
              <w:left w:val="nil"/>
              <w:bottom w:val="single" w:sz="4" w:space="0" w:color="auto"/>
              <w:right w:val="single" w:sz="4" w:space="0" w:color="auto"/>
            </w:tcBorders>
            <w:shd w:val="clear" w:color="000000" w:fill="FFFFFF"/>
            <w:noWrap/>
            <w:vAlign w:val="center"/>
            <w:hideMark/>
          </w:tcPr>
          <w:p w14:paraId="116A4CD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167</w:t>
            </w:r>
          </w:p>
        </w:tc>
        <w:tc>
          <w:tcPr>
            <w:tcW w:w="960" w:type="dxa"/>
            <w:tcBorders>
              <w:top w:val="nil"/>
              <w:left w:val="nil"/>
              <w:bottom w:val="single" w:sz="4" w:space="0" w:color="auto"/>
              <w:right w:val="single" w:sz="4" w:space="0" w:color="auto"/>
            </w:tcBorders>
            <w:shd w:val="clear" w:color="000000" w:fill="FFFFFF"/>
            <w:noWrap/>
            <w:vAlign w:val="center"/>
            <w:hideMark/>
          </w:tcPr>
          <w:p w14:paraId="3612E51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261</w:t>
            </w:r>
          </w:p>
        </w:tc>
        <w:tc>
          <w:tcPr>
            <w:tcW w:w="960" w:type="dxa"/>
            <w:tcBorders>
              <w:top w:val="nil"/>
              <w:left w:val="nil"/>
              <w:bottom w:val="single" w:sz="4" w:space="0" w:color="auto"/>
              <w:right w:val="single" w:sz="4" w:space="0" w:color="auto"/>
            </w:tcBorders>
            <w:shd w:val="clear" w:color="000000" w:fill="FFFFFF"/>
            <w:noWrap/>
            <w:vAlign w:val="center"/>
            <w:hideMark/>
          </w:tcPr>
          <w:p w14:paraId="0DEB8F6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368</w:t>
            </w:r>
          </w:p>
        </w:tc>
        <w:tc>
          <w:tcPr>
            <w:tcW w:w="960" w:type="dxa"/>
            <w:tcBorders>
              <w:top w:val="nil"/>
              <w:left w:val="nil"/>
              <w:bottom w:val="single" w:sz="4" w:space="0" w:color="auto"/>
              <w:right w:val="single" w:sz="4" w:space="0" w:color="auto"/>
            </w:tcBorders>
            <w:shd w:val="clear" w:color="000000" w:fill="FFFFFF"/>
            <w:noWrap/>
            <w:vAlign w:val="center"/>
            <w:hideMark/>
          </w:tcPr>
          <w:p w14:paraId="20E9396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503</w:t>
            </w:r>
          </w:p>
        </w:tc>
        <w:tc>
          <w:tcPr>
            <w:tcW w:w="960" w:type="dxa"/>
            <w:tcBorders>
              <w:top w:val="nil"/>
              <w:left w:val="nil"/>
              <w:bottom w:val="single" w:sz="4" w:space="0" w:color="auto"/>
              <w:right w:val="single" w:sz="4" w:space="0" w:color="auto"/>
            </w:tcBorders>
            <w:shd w:val="clear" w:color="000000" w:fill="FFFFFF"/>
            <w:noWrap/>
            <w:vAlign w:val="center"/>
            <w:hideMark/>
          </w:tcPr>
          <w:p w14:paraId="2E4C4690"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804</w:t>
            </w:r>
          </w:p>
        </w:tc>
      </w:tr>
      <w:tr w:rsidR="009F1C07" w:rsidRPr="00EF7088" w14:paraId="0499CCFB"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76E1112E" w14:textId="77777777" w:rsidR="009F1C07" w:rsidRPr="00EF7088" w:rsidRDefault="009F1C07" w:rsidP="0055267D">
            <w:pPr>
              <w:spacing w:after="0" w:line="240" w:lineRule="auto"/>
              <w:jc w:val="center"/>
              <w:rPr>
                <w:rFonts w:ascii="Calibri" w:eastAsia="Times New Roman" w:hAnsi="Calibri" w:cs="Calibri"/>
                <w:color w:val="333333"/>
              </w:rPr>
            </w:pPr>
            <w:proofErr w:type="spellStart"/>
            <w:r w:rsidRPr="00EF7088">
              <w:rPr>
                <w:rFonts w:ascii="Calibri" w:eastAsia="Times New Roman" w:hAnsi="Calibri" w:cs="Calibri"/>
                <w:color w:val="333333"/>
              </w:rPr>
              <w:t>Decorin</w:t>
            </w:r>
            <w:proofErr w:type="spellEnd"/>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335D168F"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217 </w:t>
            </w:r>
          </w:p>
        </w:tc>
        <w:tc>
          <w:tcPr>
            <w:tcW w:w="930" w:type="dxa"/>
            <w:tcBorders>
              <w:top w:val="nil"/>
              <w:left w:val="nil"/>
              <w:bottom w:val="single" w:sz="4" w:space="0" w:color="auto"/>
              <w:right w:val="single" w:sz="4" w:space="0" w:color="auto"/>
            </w:tcBorders>
            <w:shd w:val="clear" w:color="auto" w:fill="auto"/>
            <w:vAlign w:val="center"/>
            <w:hideMark/>
          </w:tcPr>
          <w:p w14:paraId="153747BD"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650 </w:t>
            </w:r>
          </w:p>
        </w:tc>
        <w:tc>
          <w:tcPr>
            <w:tcW w:w="990" w:type="dxa"/>
            <w:tcBorders>
              <w:top w:val="nil"/>
              <w:left w:val="nil"/>
              <w:bottom w:val="single" w:sz="4" w:space="0" w:color="auto"/>
              <w:right w:val="single" w:sz="4" w:space="0" w:color="auto"/>
            </w:tcBorders>
            <w:shd w:val="clear" w:color="auto" w:fill="auto"/>
            <w:vAlign w:val="center"/>
            <w:hideMark/>
          </w:tcPr>
          <w:p w14:paraId="04C7E4B2"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23,000 </w:t>
            </w:r>
          </w:p>
        </w:tc>
        <w:tc>
          <w:tcPr>
            <w:tcW w:w="960" w:type="dxa"/>
            <w:tcBorders>
              <w:top w:val="nil"/>
              <w:left w:val="nil"/>
              <w:bottom w:val="single" w:sz="4" w:space="0" w:color="auto"/>
              <w:right w:val="single" w:sz="4" w:space="0" w:color="auto"/>
            </w:tcBorders>
            <w:shd w:val="clear" w:color="000000" w:fill="FFFFFF"/>
            <w:noWrap/>
            <w:vAlign w:val="center"/>
            <w:hideMark/>
          </w:tcPr>
          <w:p w14:paraId="039D3BA3"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2,255</w:t>
            </w:r>
          </w:p>
        </w:tc>
        <w:tc>
          <w:tcPr>
            <w:tcW w:w="960" w:type="dxa"/>
            <w:tcBorders>
              <w:top w:val="nil"/>
              <w:left w:val="nil"/>
              <w:bottom w:val="single" w:sz="4" w:space="0" w:color="auto"/>
              <w:right w:val="single" w:sz="4" w:space="0" w:color="auto"/>
            </w:tcBorders>
            <w:shd w:val="clear" w:color="000000" w:fill="FFFFFF"/>
            <w:noWrap/>
            <w:vAlign w:val="center"/>
            <w:hideMark/>
          </w:tcPr>
          <w:p w14:paraId="42058DD1"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2,836</w:t>
            </w:r>
          </w:p>
        </w:tc>
        <w:tc>
          <w:tcPr>
            <w:tcW w:w="960" w:type="dxa"/>
            <w:tcBorders>
              <w:top w:val="nil"/>
              <w:left w:val="nil"/>
              <w:bottom w:val="single" w:sz="4" w:space="0" w:color="auto"/>
              <w:right w:val="single" w:sz="4" w:space="0" w:color="auto"/>
            </w:tcBorders>
            <w:shd w:val="clear" w:color="000000" w:fill="FFFFFF"/>
            <w:noWrap/>
            <w:vAlign w:val="center"/>
            <w:hideMark/>
          </w:tcPr>
          <w:p w14:paraId="6A1E6E34"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3,418</w:t>
            </w:r>
          </w:p>
        </w:tc>
        <w:tc>
          <w:tcPr>
            <w:tcW w:w="960" w:type="dxa"/>
            <w:tcBorders>
              <w:top w:val="nil"/>
              <w:left w:val="nil"/>
              <w:bottom w:val="single" w:sz="4" w:space="0" w:color="auto"/>
              <w:right w:val="single" w:sz="4" w:space="0" w:color="auto"/>
            </w:tcBorders>
            <w:shd w:val="clear" w:color="000000" w:fill="FFFFFF"/>
            <w:noWrap/>
            <w:vAlign w:val="center"/>
            <w:hideMark/>
          </w:tcPr>
          <w:p w14:paraId="2C76B495"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4,403</w:t>
            </w:r>
          </w:p>
        </w:tc>
        <w:tc>
          <w:tcPr>
            <w:tcW w:w="960" w:type="dxa"/>
            <w:tcBorders>
              <w:top w:val="nil"/>
              <w:left w:val="nil"/>
              <w:bottom w:val="single" w:sz="4" w:space="0" w:color="auto"/>
              <w:right w:val="single" w:sz="4" w:space="0" w:color="auto"/>
            </w:tcBorders>
            <w:shd w:val="clear" w:color="000000" w:fill="FFFFFF"/>
            <w:noWrap/>
            <w:vAlign w:val="center"/>
            <w:hideMark/>
          </w:tcPr>
          <w:p w14:paraId="60FA7CFC"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6,798</w:t>
            </w:r>
          </w:p>
        </w:tc>
      </w:tr>
      <w:tr w:rsidR="009F1C07" w:rsidRPr="00EF7088" w14:paraId="2F86A31A"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1B596F36"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Endoglin</w:t>
            </w:r>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510C1CAB"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206 </w:t>
            </w:r>
          </w:p>
        </w:tc>
        <w:tc>
          <w:tcPr>
            <w:tcW w:w="930" w:type="dxa"/>
            <w:tcBorders>
              <w:top w:val="nil"/>
              <w:left w:val="nil"/>
              <w:bottom w:val="single" w:sz="4" w:space="0" w:color="auto"/>
              <w:right w:val="single" w:sz="4" w:space="0" w:color="auto"/>
            </w:tcBorders>
            <w:shd w:val="clear" w:color="auto" w:fill="auto"/>
            <w:vAlign w:val="center"/>
            <w:hideMark/>
          </w:tcPr>
          <w:p w14:paraId="58B4B2D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2,000 </w:t>
            </w:r>
          </w:p>
        </w:tc>
        <w:tc>
          <w:tcPr>
            <w:tcW w:w="990" w:type="dxa"/>
            <w:tcBorders>
              <w:top w:val="nil"/>
              <w:left w:val="nil"/>
              <w:bottom w:val="single" w:sz="4" w:space="0" w:color="auto"/>
              <w:right w:val="single" w:sz="4" w:space="0" w:color="auto"/>
            </w:tcBorders>
            <w:shd w:val="clear" w:color="auto" w:fill="auto"/>
            <w:vAlign w:val="center"/>
            <w:hideMark/>
          </w:tcPr>
          <w:p w14:paraId="273E09CC"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70,000 </w:t>
            </w:r>
          </w:p>
        </w:tc>
        <w:tc>
          <w:tcPr>
            <w:tcW w:w="960" w:type="dxa"/>
            <w:tcBorders>
              <w:top w:val="nil"/>
              <w:left w:val="nil"/>
              <w:bottom w:val="single" w:sz="4" w:space="0" w:color="auto"/>
              <w:right w:val="single" w:sz="4" w:space="0" w:color="auto"/>
            </w:tcBorders>
            <w:shd w:val="clear" w:color="000000" w:fill="FFFFFF"/>
            <w:noWrap/>
            <w:vAlign w:val="center"/>
            <w:hideMark/>
          </w:tcPr>
          <w:p w14:paraId="120A9E3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4,975</w:t>
            </w:r>
          </w:p>
        </w:tc>
        <w:tc>
          <w:tcPr>
            <w:tcW w:w="960" w:type="dxa"/>
            <w:tcBorders>
              <w:top w:val="nil"/>
              <w:left w:val="nil"/>
              <w:bottom w:val="single" w:sz="4" w:space="0" w:color="auto"/>
              <w:right w:val="single" w:sz="4" w:space="0" w:color="auto"/>
            </w:tcBorders>
            <w:shd w:val="clear" w:color="000000" w:fill="FFFFFF"/>
            <w:noWrap/>
            <w:vAlign w:val="center"/>
            <w:hideMark/>
          </w:tcPr>
          <w:p w14:paraId="3C648C4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7,646</w:t>
            </w:r>
          </w:p>
        </w:tc>
        <w:tc>
          <w:tcPr>
            <w:tcW w:w="960" w:type="dxa"/>
            <w:tcBorders>
              <w:top w:val="nil"/>
              <w:left w:val="nil"/>
              <w:bottom w:val="single" w:sz="4" w:space="0" w:color="auto"/>
              <w:right w:val="single" w:sz="4" w:space="0" w:color="auto"/>
            </w:tcBorders>
            <w:shd w:val="clear" w:color="000000" w:fill="FFFFFF"/>
            <w:noWrap/>
            <w:vAlign w:val="center"/>
            <w:hideMark/>
          </w:tcPr>
          <w:p w14:paraId="786679FF"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11,632</w:t>
            </w:r>
          </w:p>
        </w:tc>
        <w:tc>
          <w:tcPr>
            <w:tcW w:w="960" w:type="dxa"/>
            <w:tcBorders>
              <w:top w:val="nil"/>
              <w:left w:val="nil"/>
              <w:bottom w:val="single" w:sz="4" w:space="0" w:color="auto"/>
              <w:right w:val="single" w:sz="4" w:space="0" w:color="auto"/>
            </w:tcBorders>
            <w:shd w:val="clear" w:color="000000" w:fill="FFFFFF"/>
            <w:noWrap/>
            <w:vAlign w:val="center"/>
            <w:hideMark/>
          </w:tcPr>
          <w:p w14:paraId="0E6335A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20,724</w:t>
            </w:r>
          </w:p>
        </w:tc>
        <w:tc>
          <w:tcPr>
            <w:tcW w:w="960" w:type="dxa"/>
            <w:tcBorders>
              <w:top w:val="nil"/>
              <w:left w:val="nil"/>
              <w:bottom w:val="single" w:sz="4" w:space="0" w:color="auto"/>
              <w:right w:val="single" w:sz="4" w:space="0" w:color="auto"/>
            </w:tcBorders>
            <w:shd w:val="clear" w:color="000000" w:fill="FFFFFF"/>
            <w:noWrap/>
            <w:vAlign w:val="center"/>
            <w:hideMark/>
          </w:tcPr>
          <w:p w14:paraId="0F0E37FD"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85,735</w:t>
            </w:r>
          </w:p>
        </w:tc>
      </w:tr>
      <w:tr w:rsidR="009F1C07" w:rsidRPr="00EF7088" w14:paraId="6794035E"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5B2BED24"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FGF21</w:t>
            </w:r>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3F356FF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13.7 </w:t>
            </w:r>
          </w:p>
        </w:tc>
        <w:tc>
          <w:tcPr>
            <w:tcW w:w="930" w:type="dxa"/>
            <w:tcBorders>
              <w:top w:val="nil"/>
              <w:left w:val="nil"/>
              <w:bottom w:val="single" w:sz="4" w:space="0" w:color="auto"/>
              <w:right w:val="single" w:sz="4" w:space="0" w:color="auto"/>
            </w:tcBorders>
            <w:shd w:val="clear" w:color="auto" w:fill="auto"/>
            <w:vAlign w:val="center"/>
            <w:hideMark/>
          </w:tcPr>
          <w:p w14:paraId="00155A8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36 </w:t>
            </w:r>
          </w:p>
        </w:tc>
        <w:tc>
          <w:tcPr>
            <w:tcW w:w="990" w:type="dxa"/>
            <w:tcBorders>
              <w:top w:val="nil"/>
              <w:left w:val="nil"/>
              <w:bottom w:val="single" w:sz="4" w:space="0" w:color="auto"/>
              <w:right w:val="single" w:sz="4" w:space="0" w:color="auto"/>
            </w:tcBorders>
            <w:shd w:val="clear" w:color="auto" w:fill="auto"/>
            <w:vAlign w:val="center"/>
            <w:hideMark/>
          </w:tcPr>
          <w:p w14:paraId="4E3EDA4A"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1,400 </w:t>
            </w:r>
          </w:p>
        </w:tc>
        <w:tc>
          <w:tcPr>
            <w:tcW w:w="960" w:type="dxa"/>
            <w:tcBorders>
              <w:top w:val="nil"/>
              <w:left w:val="nil"/>
              <w:bottom w:val="single" w:sz="4" w:space="0" w:color="auto"/>
              <w:right w:val="single" w:sz="4" w:space="0" w:color="auto"/>
            </w:tcBorders>
            <w:shd w:val="clear" w:color="000000" w:fill="FFFFFF"/>
            <w:noWrap/>
            <w:vAlign w:val="center"/>
            <w:hideMark/>
          </w:tcPr>
          <w:p w14:paraId="5C491C47"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6.5</w:t>
            </w:r>
          </w:p>
        </w:tc>
        <w:tc>
          <w:tcPr>
            <w:tcW w:w="960" w:type="dxa"/>
            <w:tcBorders>
              <w:top w:val="nil"/>
              <w:left w:val="nil"/>
              <w:bottom w:val="single" w:sz="4" w:space="0" w:color="auto"/>
              <w:right w:val="single" w:sz="4" w:space="0" w:color="auto"/>
            </w:tcBorders>
            <w:shd w:val="clear" w:color="000000" w:fill="FFFFFF"/>
            <w:noWrap/>
            <w:vAlign w:val="center"/>
            <w:hideMark/>
          </w:tcPr>
          <w:p w14:paraId="7BCEBDA2"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44.3</w:t>
            </w:r>
          </w:p>
        </w:tc>
        <w:tc>
          <w:tcPr>
            <w:tcW w:w="960" w:type="dxa"/>
            <w:tcBorders>
              <w:top w:val="nil"/>
              <w:left w:val="nil"/>
              <w:bottom w:val="single" w:sz="4" w:space="0" w:color="auto"/>
              <w:right w:val="single" w:sz="4" w:space="0" w:color="auto"/>
            </w:tcBorders>
            <w:shd w:val="clear" w:color="000000" w:fill="FFFFFF"/>
            <w:noWrap/>
            <w:vAlign w:val="center"/>
            <w:hideMark/>
          </w:tcPr>
          <w:p w14:paraId="454DFAFE"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111</w:t>
            </w:r>
          </w:p>
        </w:tc>
        <w:tc>
          <w:tcPr>
            <w:tcW w:w="960" w:type="dxa"/>
            <w:tcBorders>
              <w:top w:val="nil"/>
              <w:left w:val="nil"/>
              <w:bottom w:val="single" w:sz="4" w:space="0" w:color="auto"/>
              <w:right w:val="single" w:sz="4" w:space="0" w:color="auto"/>
            </w:tcBorders>
            <w:shd w:val="clear" w:color="000000" w:fill="FFFFFF"/>
            <w:noWrap/>
            <w:vAlign w:val="center"/>
            <w:hideMark/>
          </w:tcPr>
          <w:p w14:paraId="5BA2C7F3"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275</w:t>
            </w:r>
          </w:p>
        </w:tc>
        <w:tc>
          <w:tcPr>
            <w:tcW w:w="960" w:type="dxa"/>
            <w:tcBorders>
              <w:top w:val="nil"/>
              <w:left w:val="nil"/>
              <w:bottom w:val="single" w:sz="4" w:space="0" w:color="auto"/>
              <w:right w:val="single" w:sz="4" w:space="0" w:color="auto"/>
            </w:tcBorders>
            <w:shd w:val="clear" w:color="000000" w:fill="FFFFFF"/>
            <w:noWrap/>
            <w:vAlign w:val="center"/>
            <w:hideMark/>
          </w:tcPr>
          <w:p w14:paraId="0EDDA1C7"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836</w:t>
            </w:r>
          </w:p>
        </w:tc>
      </w:tr>
      <w:tr w:rsidR="009F1C07" w:rsidRPr="00EF7088" w14:paraId="088C34B1"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34521034"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sFlt-1</w:t>
            </w:r>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4B4479AD"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1307 </w:t>
            </w:r>
          </w:p>
        </w:tc>
        <w:tc>
          <w:tcPr>
            <w:tcW w:w="930" w:type="dxa"/>
            <w:tcBorders>
              <w:top w:val="nil"/>
              <w:left w:val="nil"/>
              <w:bottom w:val="single" w:sz="4" w:space="0" w:color="auto"/>
              <w:right w:val="single" w:sz="4" w:space="0" w:color="auto"/>
            </w:tcBorders>
            <w:shd w:val="clear" w:color="auto" w:fill="auto"/>
            <w:vAlign w:val="center"/>
            <w:hideMark/>
          </w:tcPr>
          <w:p w14:paraId="1CFCB313"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3,750 </w:t>
            </w:r>
          </w:p>
        </w:tc>
        <w:tc>
          <w:tcPr>
            <w:tcW w:w="990" w:type="dxa"/>
            <w:tcBorders>
              <w:top w:val="nil"/>
              <w:left w:val="nil"/>
              <w:bottom w:val="single" w:sz="4" w:space="0" w:color="auto"/>
              <w:right w:val="single" w:sz="4" w:space="0" w:color="auto"/>
            </w:tcBorders>
            <w:shd w:val="clear" w:color="auto" w:fill="auto"/>
            <w:vAlign w:val="center"/>
            <w:hideMark/>
          </w:tcPr>
          <w:p w14:paraId="256E8F7C"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130,000 </w:t>
            </w:r>
          </w:p>
        </w:tc>
        <w:tc>
          <w:tcPr>
            <w:tcW w:w="960" w:type="dxa"/>
            <w:tcBorders>
              <w:top w:val="nil"/>
              <w:left w:val="nil"/>
              <w:bottom w:val="single" w:sz="4" w:space="0" w:color="auto"/>
              <w:right w:val="single" w:sz="4" w:space="0" w:color="auto"/>
            </w:tcBorders>
            <w:shd w:val="clear" w:color="000000" w:fill="FFFFFF"/>
            <w:noWrap/>
            <w:vAlign w:val="center"/>
            <w:hideMark/>
          </w:tcPr>
          <w:p w14:paraId="1D8348A3"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2,128</w:t>
            </w:r>
          </w:p>
        </w:tc>
        <w:tc>
          <w:tcPr>
            <w:tcW w:w="960" w:type="dxa"/>
            <w:tcBorders>
              <w:top w:val="nil"/>
              <w:left w:val="nil"/>
              <w:bottom w:val="single" w:sz="4" w:space="0" w:color="auto"/>
              <w:right w:val="single" w:sz="4" w:space="0" w:color="auto"/>
            </w:tcBorders>
            <w:shd w:val="clear" w:color="000000" w:fill="FFFFFF"/>
            <w:noWrap/>
            <w:vAlign w:val="center"/>
            <w:hideMark/>
          </w:tcPr>
          <w:p w14:paraId="50865EB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4,237</w:t>
            </w:r>
          </w:p>
        </w:tc>
        <w:tc>
          <w:tcPr>
            <w:tcW w:w="960" w:type="dxa"/>
            <w:tcBorders>
              <w:top w:val="nil"/>
              <w:left w:val="nil"/>
              <w:bottom w:val="single" w:sz="4" w:space="0" w:color="auto"/>
              <w:right w:val="single" w:sz="4" w:space="0" w:color="auto"/>
            </w:tcBorders>
            <w:shd w:val="clear" w:color="000000" w:fill="FFFFFF"/>
            <w:noWrap/>
            <w:vAlign w:val="center"/>
            <w:hideMark/>
          </w:tcPr>
          <w:p w14:paraId="4DEC99F3"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7,262</w:t>
            </w:r>
          </w:p>
        </w:tc>
        <w:tc>
          <w:tcPr>
            <w:tcW w:w="960" w:type="dxa"/>
            <w:tcBorders>
              <w:top w:val="nil"/>
              <w:left w:val="nil"/>
              <w:bottom w:val="single" w:sz="4" w:space="0" w:color="auto"/>
              <w:right w:val="single" w:sz="4" w:space="0" w:color="auto"/>
            </w:tcBorders>
            <w:shd w:val="clear" w:color="000000" w:fill="FFFFFF"/>
            <w:noWrap/>
            <w:vAlign w:val="center"/>
            <w:hideMark/>
          </w:tcPr>
          <w:p w14:paraId="08DAE8B5"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13,765</w:t>
            </w:r>
          </w:p>
        </w:tc>
        <w:tc>
          <w:tcPr>
            <w:tcW w:w="960" w:type="dxa"/>
            <w:tcBorders>
              <w:top w:val="nil"/>
              <w:left w:val="nil"/>
              <w:bottom w:val="single" w:sz="4" w:space="0" w:color="auto"/>
              <w:right w:val="single" w:sz="4" w:space="0" w:color="auto"/>
            </w:tcBorders>
            <w:shd w:val="clear" w:color="000000" w:fill="FFFFFF"/>
            <w:noWrap/>
            <w:vAlign w:val="center"/>
            <w:hideMark/>
          </w:tcPr>
          <w:p w14:paraId="511E0AAB"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47,312</w:t>
            </w:r>
          </w:p>
        </w:tc>
      </w:tr>
      <w:tr w:rsidR="009F1C07" w:rsidRPr="00EF7088" w14:paraId="5C3810C8" w14:textId="77777777" w:rsidTr="0055267D">
        <w:trPr>
          <w:trHeight w:val="315"/>
        </w:trPr>
        <w:tc>
          <w:tcPr>
            <w:tcW w:w="1170" w:type="dxa"/>
            <w:tcBorders>
              <w:top w:val="nil"/>
              <w:left w:val="single" w:sz="4" w:space="0" w:color="auto"/>
              <w:bottom w:val="single" w:sz="4" w:space="0" w:color="auto"/>
              <w:right w:val="nil"/>
            </w:tcBorders>
            <w:shd w:val="clear" w:color="auto" w:fill="auto"/>
            <w:vAlign w:val="center"/>
            <w:hideMark/>
          </w:tcPr>
          <w:p w14:paraId="05CE135E"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KIM-1</w:t>
            </w:r>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4DC99EF1"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6.25 </w:t>
            </w:r>
          </w:p>
        </w:tc>
        <w:tc>
          <w:tcPr>
            <w:tcW w:w="930" w:type="dxa"/>
            <w:tcBorders>
              <w:top w:val="nil"/>
              <w:left w:val="nil"/>
              <w:bottom w:val="single" w:sz="4" w:space="0" w:color="auto"/>
              <w:right w:val="single" w:sz="4" w:space="0" w:color="auto"/>
            </w:tcBorders>
            <w:shd w:val="clear" w:color="auto" w:fill="auto"/>
            <w:vAlign w:val="center"/>
            <w:hideMark/>
          </w:tcPr>
          <w:p w14:paraId="4AE35A51"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25 </w:t>
            </w:r>
          </w:p>
        </w:tc>
        <w:tc>
          <w:tcPr>
            <w:tcW w:w="990" w:type="dxa"/>
            <w:tcBorders>
              <w:top w:val="nil"/>
              <w:left w:val="nil"/>
              <w:bottom w:val="single" w:sz="4" w:space="0" w:color="auto"/>
              <w:right w:val="single" w:sz="4" w:space="0" w:color="auto"/>
            </w:tcBorders>
            <w:shd w:val="clear" w:color="auto" w:fill="auto"/>
            <w:vAlign w:val="center"/>
            <w:hideMark/>
          </w:tcPr>
          <w:p w14:paraId="0F0CBC4E"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1,000 </w:t>
            </w:r>
          </w:p>
        </w:tc>
        <w:tc>
          <w:tcPr>
            <w:tcW w:w="960" w:type="dxa"/>
            <w:tcBorders>
              <w:top w:val="nil"/>
              <w:left w:val="nil"/>
              <w:bottom w:val="single" w:sz="4" w:space="0" w:color="auto"/>
              <w:right w:val="single" w:sz="4" w:space="0" w:color="auto"/>
            </w:tcBorders>
            <w:shd w:val="clear" w:color="000000" w:fill="FFFFFF"/>
            <w:noWrap/>
            <w:vAlign w:val="center"/>
            <w:hideMark/>
          </w:tcPr>
          <w:p w14:paraId="76A0BEDF"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17.7</w:t>
            </w:r>
          </w:p>
        </w:tc>
        <w:tc>
          <w:tcPr>
            <w:tcW w:w="960" w:type="dxa"/>
            <w:tcBorders>
              <w:top w:val="nil"/>
              <w:left w:val="nil"/>
              <w:bottom w:val="single" w:sz="4" w:space="0" w:color="auto"/>
              <w:right w:val="single" w:sz="4" w:space="0" w:color="auto"/>
            </w:tcBorders>
            <w:shd w:val="clear" w:color="000000" w:fill="FFFFFF"/>
            <w:noWrap/>
            <w:vAlign w:val="center"/>
            <w:hideMark/>
          </w:tcPr>
          <w:p w14:paraId="0FC7563E"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28.3</w:t>
            </w:r>
          </w:p>
        </w:tc>
        <w:tc>
          <w:tcPr>
            <w:tcW w:w="960" w:type="dxa"/>
            <w:tcBorders>
              <w:top w:val="nil"/>
              <w:left w:val="nil"/>
              <w:bottom w:val="single" w:sz="4" w:space="0" w:color="auto"/>
              <w:right w:val="single" w:sz="4" w:space="0" w:color="auto"/>
            </w:tcBorders>
            <w:shd w:val="clear" w:color="000000" w:fill="FFFFFF"/>
            <w:noWrap/>
            <w:vAlign w:val="center"/>
            <w:hideMark/>
          </w:tcPr>
          <w:p w14:paraId="6D444B4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42.4</w:t>
            </w:r>
          </w:p>
        </w:tc>
        <w:tc>
          <w:tcPr>
            <w:tcW w:w="960" w:type="dxa"/>
            <w:tcBorders>
              <w:top w:val="nil"/>
              <w:left w:val="nil"/>
              <w:bottom w:val="single" w:sz="4" w:space="0" w:color="auto"/>
              <w:right w:val="single" w:sz="4" w:space="0" w:color="auto"/>
            </w:tcBorders>
            <w:shd w:val="clear" w:color="000000" w:fill="FFFFFF"/>
            <w:noWrap/>
            <w:vAlign w:val="center"/>
            <w:hideMark/>
          </w:tcPr>
          <w:p w14:paraId="7009034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63.2</w:t>
            </w:r>
          </w:p>
        </w:tc>
        <w:tc>
          <w:tcPr>
            <w:tcW w:w="960" w:type="dxa"/>
            <w:tcBorders>
              <w:top w:val="nil"/>
              <w:left w:val="nil"/>
              <w:bottom w:val="single" w:sz="4" w:space="0" w:color="auto"/>
              <w:right w:val="single" w:sz="4" w:space="0" w:color="auto"/>
            </w:tcBorders>
            <w:shd w:val="clear" w:color="000000" w:fill="FFFFFF"/>
            <w:noWrap/>
            <w:vAlign w:val="center"/>
            <w:hideMark/>
          </w:tcPr>
          <w:p w14:paraId="24D00AB9"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154.4</w:t>
            </w:r>
          </w:p>
        </w:tc>
      </w:tr>
      <w:tr w:rsidR="009F1C07" w:rsidRPr="00EF7088" w14:paraId="4B26D6C9" w14:textId="77777777" w:rsidTr="0055267D">
        <w:trPr>
          <w:trHeight w:val="305"/>
        </w:trPr>
        <w:tc>
          <w:tcPr>
            <w:tcW w:w="1170" w:type="dxa"/>
            <w:tcBorders>
              <w:top w:val="nil"/>
              <w:left w:val="single" w:sz="4" w:space="0" w:color="auto"/>
              <w:bottom w:val="single" w:sz="4" w:space="0" w:color="auto"/>
              <w:right w:val="nil"/>
            </w:tcBorders>
            <w:shd w:val="clear" w:color="auto" w:fill="auto"/>
            <w:vAlign w:val="center"/>
            <w:hideMark/>
          </w:tcPr>
          <w:p w14:paraId="6DE89D9F"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 xml:space="preserve">Free </w:t>
            </w:r>
            <w:proofErr w:type="spellStart"/>
            <w:r w:rsidRPr="00EF7088">
              <w:rPr>
                <w:rFonts w:ascii="Calibri" w:eastAsia="Times New Roman" w:hAnsi="Calibri" w:cs="Calibri"/>
                <w:color w:val="333333"/>
              </w:rPr>
              <w:t>PlGF</w:t>
            </w:r>
            <w:proofErr w:type="spellEnd"/>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0FF3DC3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5 </w:t>
            </w:r>
          </w:p>
        </w:tc>
        <w:tc>
          <w:tcPr>
            <w:tcW w:w="930" w:type="dxa"/>
            <w:tcBorders>
              <w:top w:val="nil"/>
              <w:left w:val="nil"/>
              <w:bottom w:val="single" w:sz="4" w:space="0" w:color="auto"/>
              <w:right w:val="single" w:sz="4" w:space="0" w:color="auto"/>
            </w:tcBorders>
            <w:shd w:val="clear" w:color="auto" w:fill="auto"/>
            <w:vAlign w:val="center"/>
            <w:hideMark/>
          </w:tcPr>
          <w:p w14:paraId="195402C6"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15 </w:t>
            </w:r>
          </w:p>
        </w:tc>
        <w:tc>
          <w:tcPr>
            <w:tcW w:w="990" w:type="dxa"/>
            <w:tcBorders>
              <w:top w:val="nil"/>
              <w:left w:val="nil"/>
              <w:bottom w:val="single" w:sz="4" w:space="0" w:color="auto"/>
              <w:right w:val="single" w:sz="4" w:space="0" w:color="auto"/>
            </w:tcBorders>
            <w:shd w:val="clear" w:color="auto" w:fill="auto"/>
            <w:vAlign w:val="center"/>
            <w:hideMark/>
          </w:tcPr>
          <w:p w14:paraId="46FB22C5"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400 </w:t>
            </w:r>
          </w:p>
        </w:tc>
        <w:tc>
          <w:tcPr>
            <w:tcW w:w="960" w:type="dxa"/>
            <w:tcBorders>
              <w:top w:val="nil"/>
              <w:left w:val="nil"/>
              <w:bottom w:val="single" w:sz="4" w:space="0" w:color="auto"/>
              <w:right w:val="single" w:sz="4" w:space="0" w:color="auto"/>
            </w:tcBorders>
            <w:shd w:val="clear" w:color="000000" w:fill="FFFFFF"/>
            <w:noWrap/>
            <w:vAlign w:val="center"/>
            <w:hideMark/>
          </w:tcPr>
          <w:p w14:paraId="2B71CC4A"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5.35</w:t>
            </w:r>
          </w:p>
        </w:tc>
        <w:tc>
          <w:tcPr>
            <w:tcW w:w="960" w:type="dxa"/>
            <w:tcBorders>
              <w:top w:val="nil"/>
              <w:left w:val="nil"/>
              <w:bottom w:val="single" w:sz="4" w:space="0" w:color="auto"/>
              <w:right w:val="single" w:sz="4" w:space="0" w:color="auto"/>
            </w:tcBorders>
            <w:shd w:val="clear" w:color="000000" w:fill="FFFFFF"/>
            <w:noWrap/>
            <w:vAlign w:val="center"/>
            <w:hideMark/>
          </w:tcPr>
          <w:p w14:paraId="47B6FBDD"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30.4</w:t>
            </w:r>
          </w:p>
        </w:tc>
        <w:tc>
          <w:tcPr>
            <w:tcW w:w="960" w:type="dxa"/>
            <w:tcBorders>
              <w:top w:val="nil"/>
              <w:left w:val="nil"/>
              <w:bottom w:val="single" w:sz="4" w:space="0" w:color="auto"/>
              <w:right w:val="single" w:sz="4" w:space="0" w:color="auto"/>
            </w:tcBorders>
            <w:shd w:val="clear" w:color="000000" w:fill="FFFFFF"/>
            <w:noWrap/>
            <w:vAlign w:val="center"/>
            <w:hideMark/>
          </w:tcPr>
          <w:p w14:paraId="51E923FA"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84.2</w:t>
            </w:r>
          </w:p>
        </w:tc>
        <w:tc>
          <w:tcPr>
            <w:tcW w:w="960" w:type="dxa"/>
            <w:tcBorders>
              <w:top w:val="nil"/>
              <w:left w:val="nil"/>
              <w:bottom w:val="single" w:sz="4" w:space="0" w:color="auto"/>
              <w:right w:val="single" w:sz="4" w:space="0" w:color="auto"/>
            </w:tcBorders>
            <w:shd w:val="clear" w:color="000000" w:fill="FFFFFF"/>
            <w:noWrap/>
            <w:vAlign w:val="center"/>
            <w:hideMark/>
          </w:tcPr>
          <w:p w14:paraId="78160DBA"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194</w:t>
            </w:r>
          </w:p>
        </w:tc>
        <w:tc>
          <w:tcPr>
            <w:tcW w:w="960" w:type="dxa"/>
            <w:tcBorders>
              <w:top w:val="nil"/>
              <w:left w:val="nil"/>
              <w:bottom w:val="single" w:sz="4" w:space="0" w:color="auto"/>
              <w:right w:val="single" w:sz="4" w:space="0" w:color="auto"/>
            </w:tcBorders>
            <w:shd w:val="clear" w:color="000000" w:fill="FFFFFF"/>
            <w:noWrap/>
            <w:vAlign w:val="center"/>
            <w:hideMark/>
          </w:tcPr>
          <w:p w14:paraId="0119859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476</w:t>
            </w:r>
          </w:p>
        </w:tc>
      </w:tr>
      <w:tr w:rsidR="009F1C07" w:rsidRPr="00EF7088" w14:paraId="6BCBAFD2" w14:textId="77777777" w:rsidTr="0055267D">
        <w:trPr>
          <w:trHeight w:val="350"/>
        </w:trPr>
        <w:tc>
          <w:tcPr>
            <w:tcW w:w="1170" w:type="dxa"/>
            <w:tcBorders>
              <w:top w:val="nil"/>
              <w:left w:val="single" w:sz="4" w:space="0" w:color="auto"/>
              <w:bottom w:val="single" w:sz="4" w:space="0" w:color="auto"/>
              <w:right w:val="nil"/>
            </w:tcBorders>
            <w:shd w:val="clear" w:color="auto" w:fill="auto"/>
            <w:vAlign w:val="center"/>
            <w:hideMark/>
          </w:tcPr>
          <w:p w14:paraId="2C0AAA33" w14:textId="77777777" w:rsidR="009F1C07" w:rsidRPr="00EF7088" w:rsidRDefault="009F1C07" w:rsidP="0055267D">
            <w:pPr>
              <w:spacing w:after="0" w:line="240" w:lineRule="auto"/>
              <w:jc w:val="center"/>
              <w:rPr>
                <w:rFonts w:ascii="Calibri" w:eastAsia="Times New Roman" w:hAnsi="Calibri" w:cs="Calibri"/>
                <w:color w:val="333333"/>
              </w:rPr>
            </w:pPr>
            <w:r w:rsidRPr="00EF7088">
              <w:rPr>
                <w:rFonts w:ascii="Calibri" w:eastAsia="Times New Roman" w:hAnsi="Calibri" w:cs="Calibri"/>
                <w:color w:val="333333"/>
              </w:rPr>
              <w:t xml:space="preserve">Total </w:t>
            </w:r>
            <w:proofErr w:type="spellStart"/>
            <w:r w:rsidRPr="00EF7088">
              <w:rPr>
                <w:rFonts w:ascii="Calibri" w:eastAsia="Times New Roman" w:hAnsi="Calibri" w:cs="Calibri"/>
                <w:color w:val="333333"/>
              </w:rPr>
              <w:t>PlGF</w:t>
            </w:r>
            <w:proofErr w:type="spellEnd"/>
          </w:p>
        </w:tc>
        <w:tc>
          <w:tcPr>
            <w:tcW w:w="781" w:type="dxa"/>
            <w:tcBorders>
              <w:top w:val="nil"/>
              <w:left w:val="single" w:sz="4" w:space="0" w:color="auto"/>
              <w:bottom w:val="single" w:sz="4" w:space="0" w:color="auto"/>
              <w:right w:val="single" w:sz="4" w:space="0" w:color="auto"/>
            </w:tcBorders>
            <w:shd w:val="clear" w:color="auto" w:fill="auto"/>
            <w:vAlign w:val="center"/>
            <w:hideMark/>
          </w:tcPr>
          <w:p w14:paraId="303028EA"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20 </w:t>
            </w:r>
          </w:p>
        </w:tc>
        <w:tc>
          <w:tcPr>
            <w:tcW w:w="930" w:type="dxa"/>
            <w:tcBorders>
              <w:top w:val="nil"/>
              <w:left w:val="nil"/>
              <w:bottom w:val="single" w:sz="4" w:space="0" w:color="auto"/>
              <w:right w:val="single" w:sz="4" w:space="0" w:color="auto"/>
            </w:tcBorders>
            <w:shd w:val="clear" w:color="auto" w:fill="auto"/>
            <w:vAlign w:val="center"/>
            <w:hideMark/>
          </w:tcPr>
          <w:p w14:paraId="429E704D"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60 </w:t>
            </w:r>
          </w:p>
        </w:tc>
        <w:tc>
          <w:tcPr>
            <w:tcW w:w="990" w:type="dxa"/>
            <w:tcBorders>
              <w:top w:val="nil"/>
              <w:left w:val="nil"/>
              <w:bottom w:val="single" w:sz="4" w:space="0" w:color="auto"/>
              <w:right w:val="single" w:sz="4" w:space="0" w:color="auto"/>
            </w:tcBorders>
            <w:shd w:val="clear" w:color="auto" w:fill="auto"/>
            <w:vAlign w:val="center"/>
            <w:hideMark/>
          </w:tcPr>
          <w:p w14:paraId="534704E6"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800 </w:t>
            </w:r>
          </w:p>
        </w:tc>
        <w:tc>
          <w:tcPr>
            <w:tcW w:w="960" w:type="dxa"/>
            <w:tcBorders>
              <w:top w:val="nil"/>
              <w:left w:val="nil"/>
              <w:bottom w:val="single" w:sz="4" w:space="0" w:color="auto"/>
              <w:right w:val="single" w:sz="4" w:space="0" w:color="auto"/>
            </w:tcBorders>
            <w:shd w:val="clear" w:color="000000" w:fill="FFFFFF"/>
            <w:noWrap/>
            <w:vAlign w:val="center"/>
            <w:hideMark/>
          </w:tcPr>
          <w:p w14:paraId="6693DDF8"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54.8</w:t>
            </w:r>
          </w:p>
        </w:tc>
        <w:tc>
          <w:tcPr>
            <w:tcW w:w="960" w:type="dxa"/>
            <w:tcBorders>
              <w:top w:val="nil"/>
              <w:left w:val="nil"/>
              <w:bottom w:val="single" w:sz="4" w:space="0" w:color="auto"/>
              <w:right w:val="single" w:sz="4" w:space="0" w:color="auto"/>
            </w:tcBorders>
            <w:shd w:val="clear" w:color="000000" w:fill="FFFFFF"/>
            <w:noWrap/>
            <w:vAlign w:val="center"/>
            <w:hideMark/>
          </w:tcPr>
          <w:p w14:paraId="51B75AF2"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159</w:t>
            </w:r>
          </w:p>
        </w:tc>
        <w:tc>
          <w:tcPr>
            <w:tcW w:w="960" w:type="dxa"/>
            <w:tcBorders>
              <w:top w:val="nil"/>
              <w:left w:val="nil"/>
              <w:bottom w:val="single" w:sz="4" w:space="0" w:color="auto"/>
              <w:right w:val="single" w:sz="4" w:space="0" w:color="auto"/>
            </w:tcBorders>
            <w:shd w:val="clear" w:color="000000" w:fill="FFFFFF"/>
            <w:noWrap/>
            <w:vAlign w:val="center"/>
            <w:hideMark/>
          </w:tcPr>
          <w:p w14:paraId="0228C651"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277</w:t>
            </w:r>
          </w:p>
        </w:tc>
        <w:tc>
          <w:tcPr>
            <w:tcW w:w="960" w:type="dxa"/>
            <w:tcBorders>
              <w:top w:val="nil"/>
              <w:left w:val="nil"/>
              <w:bottom w:val="single" w:sz="4" w:space="0" w:color="auto"/>
              <w:right w:val="single" w:sz="4" w:space="0" w:color="auto"/>
            </w:tcBorders>
            <w:shd w:val="clear" w:color="000000" w:fill="FFFFFF"/>
            <w:noWrap/>
            <w:vAlign w:val="center"/>
            <w:hideMark/>
          </w:tcPr>
          <w:p w14:paraId="714CC114"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458</w:t>
            </w:r>
          </w:p>
        </w:tc>
        <w:tc>
          <w:tcPr>
            <w:tcW w:w="960" w:type="dxa"/>
            <w:tcBorders>
              <w:top w:val="nil"/>
              <w:left w:val="nil"/>
              <w:bottom w:val="single" w:sz="4" w:space="0" w:color="auto"/>
              <w:right w:val="single" w:sz="4" w:space="0" w:color="auto"/>
            </w:tcBorders>
            <w:shd w:val="clear" w:color="000000" w:fill="FFFFFF"/>
            <w:noWrap/>
            <w:vAlign w:val="center"/>
            <w:hideMark/>
          </w:tcPr>
          <w:p w14:paraId="28980A31" w14:textId="77777777" w:rsidR="009F1C07" w:rsidRPr="00EF7088" w:rsidRDefault="009F1C07" w:rsidP="0055267D">
            <w:pPr>
              <w:spacing w:after="0" w:line="240" w:lineRule="auto"/>
              <w:jc w:val="center"/>
              <w:rPr>
                <w:rFonts w:ascii="Calibri" w:eastAsia="Times New Roman" w:hAnsi="Calibri" w:cs="Calibri"/>
                <w:color w:val="000000"/>
              </w:rPr>
            </w:pPr>
            <w:r w:rsidRPr="00EF7088">
              <w:rPr>
                <w:rFonts w:ascii="Calibri" w:eastAsia="Times New Roman" w:hAnsi="Calibri" w:cs="Calibri"/>
                <w:color w:val="000000"/>
              </w:rPr>
              <w:t>986</w:t>
            </w:r>
          </w:p>
        </w:tc>
      </w:tr>
    </w:tbl>
    <w:p w14:paraId="00250A12" w14:textId="3535B3D3" w:rsidR="009F1C07" w:rsidRDefault="009F1C07" w:rsidP="009F1C07">
      <w:r>
        <w:t>*Based on internal data</w:t>
      </w:r>
    </w:p>
    <w:p w14:paraId="6840712E" w14:textId="51ABCF48" w:rsidR="00C62850" w:rsidRDefault="00C62850" w:rsidP="009F1C07"/>
    <w:p w14:paraId="473BD665" w14:textId="28ECF3CB" w:rsidR="00C62850" w:rsidRDefault="00C62850" w:rsidP="009F1C07"/>
    <w:p w14:paraId="25516D1E" w14:textId="77777777" w:rsidR="00C62850" w:rsidRDefault="00C62850" w:rsidP="009F1C07"/>
    <w:p w14:paraId="280014E7" w14:textId="77777777" w:rsidR="009F1C07" w:rsidRDefault="009F1C07" w:rsidP="009F1C07">
      <w:pPr>
        <w:pStyle w:val="Heading3"/>
        <w:numPr>
          <w:ilvl w:val="0"/>
          <w:numId w:val="2"/>
        </w:numPr>
        <w:spacing w:line="360" w:lineRule="auto"/>
      </w:pPr>
      <w:r>
        <w:lastRenderedPageBreak/>
        <w:t>Test Subjects Stratified by Study Cohort and Group</w:t>
      </w:r>
    </w:p>
    <w:p w14:paraId="262EBCE2" w14:textId="6CB18B93" w:rsidR="009F1C07" w:rsidRPr="008B2B72" w:rsidRDefault="00A41704" w:rsidP="009B1652">
      <w:pPr>
        <w:pStyle w:val="Caption"/>
        <w:keepNext/>
        <w:rPr>
          <w:color w:val="auto"/>
        </w:rPr>
      </w:pPr>
      <w:r w:rsidRPr="008B2B72">
        <w:rPr>
          <w:color w:val="auto"/>
        </w:rPr>
        <w:t>Supplementary t</w:t>
      </w:r>
      <w:r w:rsidR="009F1C07" w:rsidRPr="008B2B72">
        <w:rPr>
          <w:color w:val="auto"/>
        </w:rPr>
        <w:t>able 5. Test subjects stratified by study cohort across two groups.</w:t>
      </w:r>
    </w:p>
    <w:tbl>
      <w:tblPr>
        <w:tblW w:w="5787" w:type="dxa"/>
        <w:jc w:val="center"/>
        <w:tblLook w:val="04A0" w:firstRow="1" w:lastRow="0" w:firstColumn="1" w:lastColumn="0" w:noHBand="0" w:noVBand="1"/>
      </w:tblPr>
      <w:tblGrid>
        <w:gridCol w:w="960"/>
        <w:gridCol w:w="960"/>
        <w:gridCol w:w="1178"/>
        <w:gridCol w:w="675"/>
        <w:gridCol w:w="1054"/>
        <w:gridCol w:w="960"/>
      </w:tblGrid>
      <w:tr w:rsidR="009F1C07" w:rsidRPr="002F16CE" w14:paraId="1EFDB20D" w14:textId="77777777" w:rsidTr="0055267D">
        <w:trPr>
          <w:trHeight w:val="300"/>
          <w:jc w:val="center"/>
        </w:trPr>
        <w:tc>
          <w:tcPr>
            <w:tcW w:w="960" w:type="dxa"/>
            <w:tcBorders>
              <w:top w:val="nil"/>
              <w:left w:val="nil"/>
              <w:bottom w:val="nil"/>
              <w:right w:val="nil"/>
            </w:tcBorders>
            <w:shd w:val="clear" w:color="auto" w:fill="auto"/>
            <w:noWrap/>
            <w:vAlign w:val="bottom"/>
            <w:hideMark/>
          </w:tcPr>
          <w:p w14:paraId="6A10FF98" w14:textId="77777777" w:rsidR="009F1C07" w:rsidRPr="002F16CE" w:rsidRDefault="009F1C07" w:rsidP="0055267D">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92A4DBA" w14:textId="77777777" w:rsidR="009F1C07" w:rsidRPr="002F16CE" w:rsidRDefault="009F1C07" w:rsidP="0055267D">
            <w:pPr>
              <w:spacing w:after="0" w:line="240" w:lineRule="auto"/>
              <w:rPr>
                <w:rFonts w:ascii="Times New Roman" w:eastAsia="Times New Roman" w:hAnsi="Times New Roman" w:cs="Times New Roman"/>
                <w:sz w:val="20"/>
                <w:szCs w:val="20"/>
              </w:rPr>
            </w:pPr>
          </w:p>
        </w:tc>
        <w:tc>
          <w:tcPr>
            <w:tcW w:w="2907" w:type="dxa"/>
            <w:gridSpan w:val="3"/>
            <w:tcBorders>
              <w:top w:val="nil"/>
              <w:left w:val="nil"/>
              <w:bottom w:val="single" w:sz="4" w:space="0" w:color="auto"/>
              <w:right w:val="nil"/>
            </w:tcBorders>
            <w:shd w:val="clear" w:color="auto" w:fill="auto"/>
            <w:noWrap/>
            <w:vAlign w:val="bottom"/>
            <w:hideMark/>
          </w:tcPr>
          <w:p w14:paraId="56F49470" w14:textId="77777777" w:rsidR="009F1C07" w:rsidRPr="002F16CE" w:rsidRDefault="009F1C07" w:rsidP="0055267D">
            <w:pPr>
              <w:spacing w:after="0" w:line="240" w:lineRule="auto"/>
              <w:jc w:val="center"/>
              <w:rPr>
                <w:rFonts w:ascii="Calibri" w:eastAsia="Times New Roman" w:hAnsi="Calibri" w:cs="Calibri"/>
                <w:b/>
                <w:bCs/>
                <w:color w:val="000000"/>
              </w:rPr>
            </w:pPr>
            <w:r w:rsidRPr="002F16CE">
              <w:rPr>
                <w:rFonts w:ascii="Calibri" w:eastAsia="Times New Roman" w:hAnsi="Calibri" w:cs="Calibri"/>
                <w:b/>
                <w:bCs/>
                <w:color w:val="000000"/>
              </w:rPr>
              <w:t>Cohort</w:t>
            </w:r>
          </w:p>
        </w:tc>
        <w:tc>
          <w:tcPr>
            <w:tcW w:w="960" w:type="dxa"/>
            <w:tcBorders>
              <w:top w:val="nil"/>
              <w:left w:val="nil"/>
              <w:bottom w:val="nil"/>
              <w:right w:val="nil"/>
            </w:tcBorders>
            <w:shd w:val="clear" w:color="auto" w:fill="auto"/>
            <w:noWrap/>
            <w:vAlign w:val="bottom"/>
            <w:hideMark/>
          </w:tcPr>
          <w:p w14:paraId="7FEF6B8B" w14:textId="77777777" w:rsidR="009F1C07" w:rsidRPr="002F16CE" w:rsidRDefault="009F1C07" w:rsidP="0055267D">
            <w:pPr>
              <w:spacing w:after="0" w:line="240" w:lineRule="auto"/>
              <w:jc w:val="center"/>
              <w:rPr>
                <w:rFonts w:ascii="Calibri" w:eastAsia="Times New Roman" w:hAnsi="Calibri" w:cs="Calibri"/>
                <w:b/>
                <w:bCs/>
                <w:color w:val="000000"/>
              </w:rPr>
            </w:pPr>
          </w:p>
        </w:tc>
      </w:tr>
      <w:tr w:rsidR="009F1C07" w:rsidRPr="002F16CE" w14:paraId="3B700BF0" w14:textId="77777777" w:rsidTr="0055267D">
        <w:trPr>
          <w:trHeight w:val="300"/>
          <w:jc w:val="center"/>
        </w:trPr>
        <w:tc>
          <w:tcPr>
            <w:tcW w:w="960" w:type="dxa"/>
            <w:tcBorders>
              <w:top w:val="nil"/>
              <w:left w:val="nil"/>
              <w:bottom w:val="nil"/>
              <w:right w:val="nil"/>
            </w:tcBorders>
            <w:shd w:val="clear" w:color="auto" w:fill="auto"/>
            <w:noWrap/>
            <w:vAlign w:val="bottom"/>
            <w:hideMark/>
          </w:tcPr>
          <w:p w14:paraId="05A46EA0" w14:textId="77777777" w:rsidR="009F1C07" w:rsidRPr="002F16CE" w:rsidRDefault="009F1C07" w:rsidP="0055267D">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103491B2" w14:textId="77777777" w:rsidR="009F1C07" w:rsidRPr="002F16CE" w:rsidRDefault="009F1C07" w:rsidP="0055267D">
            <w:pPr>
              <w:spacing w:after="0" w:line="240" w:lineRule="auto"/>
              <w:jc w:val="center"/>
              <w:rPr>
                <w:rFonts w:ascii="Times New Roman" w:eastAsia="Times New Roman" w:hAnsi="Times New Roman" w:cs="Times New Roman"/>
                <w:sz w:val="20"/>
                <w:szCs w:val="20"/>
              </w:rPr>
            </w:pPr>
          </w:p>
        </w:tc>
        <w:tc>
          <w:tcPr>
            <w:tcW w:w="1178" w:type="dxa"/>
            <w:tcBorders>
              <w:top w:val="nil"/>
              <w:left w:val="single" w:sz="4" w:space="0" w:color="auto"/>
              <w:bottom w:val="single" w:sz="4" w:space="0" w:color="auto"/>
              <w:right w:val="single" w:sz="4" w:space="0" w:color="auto"/>
            </w:tcBorders>
            <w:shd w:val="clear" w:color="auto" w:fill="auto"/>
            <w:noWrap/>
            <w:vAlign w:val="bottom"/>
            <w:hideMark/>
          </w:tcPr>
          <w:p w14:paraId="4BC61B87" w14:textId="77777777" w:rsidR="009F1C07" w:rsidRPr="002F16CE" w:rsidRDefault="009F1C07" w:rsidP="0055267D">
            <w:pPr>
              <w:spacing w:after="0" w:line="240" w:lineRule="auto"/>
              <w:jc w:val="center"/>
              <w:rPr>
                <w:rFonts w:ascii="Calibri" w:eastAsia="Times New Roman" w:hAnsi="Calibri" w:cs="Calibri"/>
                <w:b/>
                <w:bCs/>
                <w:i/>
                <w:iCs/>
                <w:color w:val="000000"/>
              </w:rPr>
            </w:pPr>
            <w:r>
              <w:rPr>
                <w:rFonts w:ascii="Calibri" w:eastAsia="Times New Roman" w:hAnsi="Calibri" w:cs="Calibri"/>
                <w:b/>
                <w:bCs/>
                <w:i/>
                <w:iCs/>
                <w:color w:val="000000"/>
              </w:rPr>
              <w:t>SB-1</w:t>
            </w:r>
          </w:p>
        </w:tc>
        <w:tc>
          <w:tcPr>
            <w:tcW w:w="675" w:type="dxa"/>
            <w:tcBorders>
              <w:top w:val="nil"/>
              <w:left w:val="nil"/>
              <w:bottom w:val="single" w:sz="4" w:space="0" w:color="auto"/>
              <w:right w:val="single" w:sz="4" w:space="0" w:color="auto"/>
            </w:tcBorders>
            <w:shd w:val="clear" w:color="auto" w:fill="auto"/>
            <w:noWrap/>
            <w:vAlign w:val="bottom"/>
            <w:hideMark/>
          </w:tcPr>
          <w:p w14:paraId="0A1AD6EC" w14:textId="77777777" w:rsidR="009F1C07" w:rsidRPr="002F16CE" w:rsidRDefault="009F1C07" w:rsidP="0055267D">
            <w:pPr>
              <w:spacing w:after="0" w:line="240" w:lineRule="auto"/>
              <w:jc w:val="center"/>
              <w:rPr>
                <w:rFonts w:ascii="Calibri" w:eastAsia="Times New Roman" w:hAnsi="Calibri" w:cs="Calibri"/>
                <w:b/>
                <w:bCs/>
                <w:i/>
                <w:iCs/>
                <w:color w:val="000000"/>
              </w:rPr>
            </w:pPr>
            <w:r w:rsidRPr="002F16CE">
              <w:rPr>
                <w:rFonts w:ascii="Calibri" w:eastAsia="Times New Roman" w:hAnsi="Calibri" w:cs="Calibri"/>
                <w:b/>
                <w:bCs/>
                <w:i/>
                <w:iCs/>
                <w:color w:val="000000"/>
              </w:rPr>
              <w:t>DLS</w:t>
            </w:r>
          </w:p>
        </w:tc>
        <w:tc>
          <w:tcPr>
            <w:tcW w:w="1054" w:type="dxa"/>
            <w:tcBorders>
              <w:top w:val="nil"/>
              <w:left w:val="nil"/>
              <w:bottom w:val="single" w:sz="4" w:space="0" w:color="auto"/>
              <w:right w:val="single" w:sz="4" w:space="0" w:color="auto"/>
            </w:tcBorders>
            <w:shd w:val="clear" w:color="auto" w:fill="auto"/>
            <w:noWrap/>
            <w:vAlign w:val="bottom"/>
            <w:hideMark/>
          </w:tcPr>
          <w:p w14:paraId="42B3DD26" w14:textId="77777777" w:rsidR="009F1C07" w:rsidRPr="002F16CE" w:rsidRDefault="009F1C07" w:rsidP="0055267D">
            <w:pPr>
              <w:spacing w:after="0" w:line="240" w:lineRule="auto"/>
              <w:jc w:val="center"/>
              <w:rPr>
                <w:rFonts w:ascii="Calibri" w:eastAsia="Times New Roman" w:hAnsi="Calibri" w:cs="Calibri"/>
                <w:b/>
                <w:bCs/>
                <w:i/>
                <w:iCs/>
                <w:color w:val="000000"/>
              </w:rPr>
            </w:pPr>
            <w:r>
              <w:rPr>
                <w:rFonts w:ascii="Calibri" w:eastAsia="Times New Roman" w:hAnsi="Calibri" w:cs="Calibri"/>
                <w:b/>
                <w:bCs/>
                <w:i/>
                <w:iCs/>
                <w:color w:val="000000"/>
              </w:rPr>
              <w:t>SB-2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937C43D" w14:textId="77777777" w:rsidR="009F1C07" w:rsidRPr="009A410A" w:rsidRDefault="009F1C07" w:rsidP="0055267D">
            <w:pPr>
              <w:spacing w:after="0" w:line="240" w:lineRule="auto"/>
              <w:jc w:val="center"/>
              <w:rPr>
                <w:rFonts w:ascii="Calibri" w:eastAsia="Times New Roman" w:hAnsi="Calibri" w:cs="Calibri"/>
                <w:b/>
                <w:bCs/>
                <w:color w:val="000000"/>
              </w:rPr>
            </w:pPr>
            <w:r w:rsidRPr="009A410A">
              <w:rPr>
                <w:rFonts w:ascii="Calibri" w:eastAsia="Times New Roman" w:hAnsi="Calibri" w:cs="Calibri"/>
                <w:b/>
                <w:bCs/>
                <w:color w:val="000000"/>
              </w:rPr>
              <w:t>Total</w:t>
            </w:r>
          </w:p>
        </w:tc>
      </w:tr>
      <w:tr w:rsidR="009F1C07" w:rsidRPr="002F16CE" w14:paraId="66772278" w14:textId="77777777" w:rsidTr="00C62850">
        <w:trPr>
          <w:trHeight w:val="300"/>
          <w:jc w:val="center"/>
        </w:trPr>
        <w:tc>
          <w:tcPr>
            <w:tcW w:w="960" w:type="dxa"/>
            <w:vMerge w:val="restart"/>
            <w:tcBorders>
              <w:top w:val="nil"/>
              <w:left w:val="nil"/>
              <w:bottom w:val="nil"/>
              <w:right w:val="single" w:sz="4" w:space="0" w:color="auto"/>
            </w:tcBorders>
            <w:shd w:val="clear" w:color="auto" w:fill="auto"/>
            <w:noWrap/>
            <w:vAlign w:val="center"/>
            <w:hideMark/>
          </w:tcPr>
          <w:p w14:paraId="5486BD5E" w14:textId="77777777" w:rsidR="009F1C07" w:rsidRPr="002F16CE" w:rsidRDefault="009F1C07" w:rsidP="0055267D">
            <w:pPr>
              <w:spacing w:after="0" w:line="240" w:lineRule="auto"/>
              <w:jc w:val="center"/>
              <w:rPr>
                <w:rFonts w:ascii="Calibri" w:eastAsia="Times New Roman" w:hAnsi="Calibri" w:cs="Calibri"/>
                <w:b/>
                <w:bCs/>
                <w:color w:val="000000"/>
              </w:rPr>
            </w:pPr>
            <w:r w:rsidRPr="002F16CE">
              <w:rPr>
                <w:rFonts w:ascii="Calibri" w:eastAsia="Times New Roman" w:hAnsi="Calibri" w:cs="Calibri"/>
                <w:b/>
                <w:bCs/>
                <w:color w:val="000000"/>
              </w:rPr>
              <w:t>Group</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01BAE6B" w14:textId="77777777" w:rsidR="009F1C07" w:rsidRPr="002F16CE" w:rsidRDefault="009F1C07" w:rsidP="0055267D">
            <w:pPr>
              <w:spacing w:after="0" w:line="240" w:lineRule="auto"/>
              <w:jc w:val="center"/>
              <w:rPr>
                <w:rFonts w:ascii="Calibri" w:eastAsia="Times New Roman" w:hAnsi="Calibri" w:cs="Calibri"/>
                <w:b/>
                <w:bCs/>
                <w:i/>
                <w:iCs/>
                <w:color w:val="000000"/>
              </w:rPr>
            </w:pPr>
            <w:r w:rsidRPr="002F16CE">
              <w:rPr>
                <w:rFonts w:ascii="Calibri" w:eastAsia="Times New Roman" w:hAnsi="Calibri" w:cs="Calibri"/>
                <w:b/>
                <w:bCs/>
                <w:i/>
                <w:iCs/>
                <w:color w:val="000000"/>
              </w:rPr>
              <w:t>NON-PE</w:t>
            </w:r>
          </w:p>
        </w:tc>
        <w:tc>
          <w:tcPr>
            <w:tcW w:w="1178" w:type="dxa"/>
            <w:tcBorders>
              <w:top w:val="nil"/>
              <w:left w:val="nil"/>
              <w:bottom w:val="single" w:sz="4" w:space="0" w:color="auto"/>
              <w:right w:val="single" w:sz="4" w:space="0" w:color="auto"/>
            </w:tcBorders>
            <w:shd w:val="clear" w:color="auto" w:fill="auto"/>
            <w:noWrap/>
            <w:vAlign w:val="bottom"/>
            <w:hideMark/>
          </w:tcPr>
          <w:p w14:paraId="50FF0E98"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163</w:t>
            </w:r>
          </w:p>
        </w:tc>
        <w:tc>
          <w:tcPr>
            <w:tcW w:w="675" w:type="dxa"/>
            <w:tcBorders>
              <w:top w:val="nil"/>
              <w:left w:val="nil"/>
              <w:bottom w:val="single" w:sz="4" w:space="0" w:color="auto"/>
              <w:right w:val="single" w:sz="4" w:space="0" w:color="auto"/>
            </w:tcBorders>
            <w:shd w:val="clear" w:color="auto" w:fill="auto"/>
            <w:noWrap/>
            <w:vAlign w:val="bottom"/>
            <w:hideMark/>
          </w:tcPr>
          <w:p w14:paraId="63DFC13F"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199</w:t>
            </w:r>
          </w:p>
        </w:tc>
        <w:tc>
          <w:tcPr>
            <w:tcW w:w="1054" w:type="dxa"/>
            <w:tcBorders>
              <w:top w:val="nil"/>
              <w:left w:val="nil"/>
              <w:bottom w:val="single" w:sz="4" w:space="0" w:color="auto"/>
              <w:right w:val="single" w:sz="4" w:space="0" w:color="auto"/>
            </w:tcBorders>
            <w:shd w:val="clear" w:color="auto" w:fill="auto"/>
            <w:noWrap/>
            <w:vAlign w:val="bottom"/>
            <w:hideMark/>
          </w:tcPr>
          <w:p w14:paraId="1A057A89"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14:paraId="5F3A9BC8"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362</w:t>
            </w:r>
          </w:p>
        </w:tc>
      </w:tr>
      <w:tr w:rsidR="009F1C07" w:rsidRPr="002F16CE" w14:paraId="6B57E5D2" w14:textId="77777777" w:rsidTr="00C62850">
        <w:trPr>
          <w:trHeight w:val="300"/>
          <w:jc w:val="center"/>
        </w:trPr>
        <w:tc>
          <w:tcPr>
            <w:tcW w:w="960" w:type="dxa"/>
            <w:vMerge/>
            <w:tcBorders>
              <w:right w:val="single" w:sz="4" w:space="0" w:color="auto"/>
            </w:tcBorders>
            <w:vAlign w:val="center"/>
            <w:hideMark/>
          </w:tcPr>
          <w:p w14:paraId="03723522" w14:textId="77777777" w:rsidR="009F1C07" w:rsidRPr="002F16CE" w:rsidRDefault="009F1C07" w:rsidP="0055267D">
            <w:pPr>
              <w:spacing w:after="0" w:line="240" w:lineRule="auto"/>
              <w:rPr>
                <w:rFonts w:ascii="Calibri" w:eastAsia="Times New Roman" w:hAnsi="Calibri" w:cs="Calibri"/>
                <w:b/>
                <w:bCs/>
                <w:color w:val="000000"/>
              </w:rPr>
            </w:pP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6CFD2B" w14:textId="77777777" w:rsidR="009F1C07" w:rsidRPr="002F16CE" w:rsidRDefault="009F1C07" w:rsidP="0055267D">
            <w:pPr>
              <w:spacing w:after="0" w:line="240" w:lineRule="auto"/>
              <w:jc w:val="center"/>
              <w:rPr>
                <w:rFonts w:ascii="Calibri" w:eastAsia="Times New Roman" w:hAnsi="Calibri" w:cs="Calibri"/>
                <w:b/>
                <w:bCs/>
                <w:i/>
                <w:iCs/>
                <w:color w:val="000000"/>
              </w:rPr>
            </w:pPr>
            <w:r w:rsidRPr="002F16CE">
              <w:rPr>
                <w:rFonts w:ascii="Calibri" w:eastAsia="Times New Roman" w:hAnsi="Calibri" w:cs="Calibri"/>
                <w:b/>
                <w:bCs/>
                <w:i/>
                <w:iCs/>
                <w:color w:val="000000"/>
              </w:rPr>
              <w:t>PE</w:t>
            </w:r>
          </w:p>
        </w:tc>
        <w:tc>
          <w:tcPr>
            <w:tcW w:w="1178" w:type="dxa"/>
            <w:tcBorders>
              <w:top w:val="nil"/>
              <w:left w:val="nil"/>
              <w:bottom w:val="single" w:sz="4" w:space="0" w:color="auto"/>
              <w:right w:val="single" w:sz="4" w:space="0" w:color="auto"/>
            </w:tcBorders>
            <w:shd w:val="clear" w:color="auto" w:fill="auto"/>
            <w:noWrap/>
            <w:vAlign w:val="bottom"/>
            <w:hideMark/>
          </w:tcPr>
          <w:p w14:paraId="23392DB8"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28</w:t>
            </w:r>
          </w:p>
        </w:tc>
        <w:tc>
          <w:tcPr>
            <w:tcW w:w="675" w:type="dxa"/>
            <w:tcBorders>
              <w:top w:val="nil"/>
              <w:left w:val="nil"/>
              <w:bottom w:val="single" w:sz="4" w:space="0" w:color="auto"/>
              <w:right w:val="single" w:sz="4" w:space="0" w:color="auto"/>
            </w:tcBorders>
            <w:shd w:val="clear" w:color="auto" w:fill="auto"/>
            <w:noWrap/>
            <w:vAlign w:val="bottom"/>
            <w:hideMark/>
          </w:tcPr>
          <w:p w14:paraId="639BB02D"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16</w:t>
            </w:r>
          </w:p>
        </w:tc>
        <w:tc>
          <w:tcPr>
            <w:tcW w:w="1054" w:type="dxa"/>
            <w:tcBorders>
              <w:top w:val="nil"/>
              <w:left w:val="nil"/>
              <w:bottom w:val="single" w:sz="4" w:space="0" w:color="auto"/>
              <w:right w:val="single" w:sz="4" w:space="0" w:color="auto"/>
            </w:tcBorders>
            <w:shd w:val="clear" w:color="auto" w:fill="auto"/>
            <w:noWrap/>
            <w:vAlign w:val="bottom"/>
            <w:hideMark/>
          </w:tcPr>
          <w:p w14:paraId="66C2A15C"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52</w:t>
            </w:r>
          </w:p>
        </w:tc>
        <w:tc>
          <w:tcPr>
            <w:tcW w:w="960" w:type="dxa"/>
            <w:tcBorders>
              <w:top w:val="nil"/>
              <w:left w:val="nil"/>
              <w:bottom w:val="single" w:sz="4" w:space="0" w:color="auto"/>
              <w:right w:val="single" w:sz="4" w:space="0" w:color="auto"/>
            </w:tcBorders>
            <w:shd w:val="clear" w:color="auto" w:fill="auto"/>
            <w:noWrap/>
            <w:vAlign w:val="bottom"/>
            <w:hideMark/>
          </w:tcPr>
          <w:p w14:paraId="53B53FA8"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96</w:t>
            </w:r>
          </w:p>
        </w:tc>
      </w:tr>
      <w:tr w:rsidR="009F1C07" w:rsidRPr="002F16CE" w14:paraId="1A83B3DB" w14:textId="77777777" w:rsidTr="0055267D">
        <w:trPr>
          <w:trHeight w:val="300"/>
          <w:jc w:val="center"/>
        </w:trPr>
        <w:tc>
          <w:tcPr>
            <w:tcW w:w="960" w:type="dxa"/>
            <w:tcBorders>
              <w:top w:val="nil"/>
              <w:left w:val="nil"/>
              <w:bottom w:val="nil"/>
              <w:right w:val="nil"/>
            </w:tcBorders>
            <w:shd w:val="clear" w:color="auto" w:fill="auto"/>
            <w:noWrap/>
            <w:vAlign w:val="center"/>
            <w:hideMark/>
          </w:tcPr>
          <w:p w14:paraId="2618A8AB" w14:textId="77777777" w:rsidR="009F1C07" w:rsidRPr="002F16CE" w:rsidRDefault="009F1C07" w:rsidP="0055267D">
            <w:pPr>
              <w:spacing w:after="0" w:line="240" w:lineRule="auto"/>
              <w:jc w:val="right"/>
              <w:rPr>
                <w:rFonts w:ascii="Calibri" w:eastAsia="Times New Roman" w:hAnsi="Calibri" w:cs="Calibri"/>
                <w:color w:val="000000"/>
              </w:rPr>
            </w:pP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B0B79DF" w14:textId="77777777" w:rsidR="009F1C07" w:rsidRPr="009A410A" w:rsidRDefault="009F1C07" w:rsidP="0055267D">
            <w:pPr>
              <w:spacing w:after="0" w:line="240" w:lineRule="auto"/>
              <w:jc w:val="center"/>
              <w:rPr>
                <w:rFonts w:ascii="Calibri" w:eastAsia="Times New Roman" w:hAnsi="Calibri" w:cs="Calibri"/>
                <w:b/>
                <w:bCs/>
                <w:color w:val="000000"/>
              </w:rPr>
            </w:pPr>
            <w:r w:rsidRPr="009A410A">
              <w:rPr>
                <w:rFonts w:ascii="Calibri" w:eastAsia="Times New Roman" w:hAnsi="Calibri" w:cs="Calibri"/>
                <w:b/>
                <w:bCs/>
                <w:color w:val="000000"/>
              </w:rPr>
              <w:t>Total</w:t>
            </w:r>
          </w:p>
        </w:tc>
        <w:tc>
          <w:tcPr>
            <w:tcW w:w="1178" w:type="dxa"/>
            <w:tcBorders>
              <w:top w:val="nil"/>
              <w:left w:val="nil"/>
              <w:bottom w:val="single" w:sz="4" w:space="0" w:color="auto"/>
              <w:right w:val="single" w:sz="4" w:space="0" w:color="auto"/>
            </w:tcBorders>
            <w:shd w:val="clear" w:color="auto" w:fill="auto"/>
            <w:noWrap/>
            <w:vAlign w:val="bottom"/>
            <w:hideMark/>
          </w:tcPr>
          <w:p w14:paraId="224F1A02"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191</w:t>
            </w:r>
          </w:p>
        </w:tc>
        <w:tc>
          <w:tcPr>
            <w:tcW w:w="675" w:type="dxa"/>
            <w:tcBorders>
              <w:top w:val="nil"/>
              <w:left w:val="nil"/>
              <w:bottom w:val="single" w:sz="4" w:space="0" w:color="auto"/>
              <w:right w:val="single" w:sz="4" w:space="0" w:color="auto"/>
            </w:tcBorders>
            <w:shd w:val="clear" w:color="auto" w:fill="auto"/>
            <w:noWrap/>
            <w:vAlign w:val="bottom"/>
            <w:hideMark/>
          </w:tcPr>
          <w:p w14:paraId="4FA588D4"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215</w:t>
            </w:r>
          </w:p>
        </w:tc>
        <w:tc>
          <w:tcPr>
            <w:tcW w:w="1054" w:type="dxa"/>
            <w:tcBorders>
              <w:top w:val="nil"/>
              <w:left w:val="nil"/>
              <w:bottom w:val="single" w:sz="4" w:space="0" w:color="auto"/>
              <w:right w:val="single" w:sz="4" w:space="0" w:color="auto"/>
            </w:tcBorders>
            <w:shd w:val="clear" w:color="auto" w:fill="auto"/>
            <w:noWrap/>
            <w:vAlign w:val="bottom"/>
            <w:hideMark/>
          </w:tcPr>
          <w:p w14:paraId="1C7F1F82" w14:textId="77777777" w:rsidR="009F1C07" w:rsidRPr="002F16CE" w:rsidRDefault="009F1C07" w:rsidP="0055267D">
            <w:pPr>
              <w:spacing w:after="0" w:line="240" w:lineRule="auto"/>
              <w:jc w:val="center"/>
              <w:rPr>
                <w:rFonts w:ascii="Calibri" w:eastAsia="Times New Roman" w:hAnsi="Calibri" w:cs="Calibri"/>
                <w:color w:val="000000"/>
              </w:rPr>
            </w:pPr>
            <w:r w:rsidRPr="002F16CE">
              <w:rPr>
                <w:rFonts w:ascii="Calibri" w:eastAsia="Times New Roman" w:hAnsi="Calibri" w:cs="Calibri"/>
                <w:color w:val="000000"/>
              </w:rPr>
              <w:t>52</w:t>
            </w:r>
          </w:p>
        </w:tc>
        <w:tc>
          <w:tcPr>
            <w:tcW w:w="960" w:type="dxa"/>
            <w:tcBorders>
              <w:top w:val="nil"/>
              <w:left w:val="nil"/>
              <w:bottom w:val="single" w:sz="4" w:space="0" w:color="auto"/>
              <w:right w:val="single" w:sz="4" w:space="0" w:color="auto"/>
            </w:tcBorders>
            <w:shd w:val="clear" w:color="auto" w:fill="auto"/>
            <w:noWrap/>
            <w:vAlign w:val="bottom"/>
            <w:hideMark/>
          </w:tcPr>
          <w:p w14:paraId="53E886AE" w14:textId="77777777" w:rsidR="009F1C07" w:rsidRPr="009A410A" w:rsidRDefault="009F1C07" w:rsidP="0055267D">
            <w:pPr>
              <w:spacing w:after="0" w:line="240" w:lineRule="auto"/>
              <w:jc w:val="center"/>
              <w:rPr>
                <w:rFonts w:ascii="Calibri" w:eastAsia="Times New Roman" w:hAnsi="Calibri" w:cs="Calibri"/>
                <w:b/>
                <w:bCs/>
                <w:color w:val="000000"/>
              </w:rPr>
            </w:pPr>
            <w:r w:rsidRPr="009A410A">
              <w:rPr>
                <w:rFonts w:ascii="Calibri" w:eastAsia="Times New Roman" w:hAnsi="Calibri" w:cs="Calibri"/>
                <w:b/>
                <w:bCs/>
                <w:color w:val="000000"/>
              </w:rPr>
              <w:t>458</w:t>
            </w:r>
          </w:p>
        </w:tc>
      </w:tr>
    </w:tbl>
    <w:p w14:paraId="49978896" w14:textId="77777777" w:rsidR="009F1C07" w:rsidRPr="005718AF" w:rsidRDefault="009F1C07" w:rsidP="009F1C07"/>
    <w:p w14:paraId="555FCCE4" w14:textId="77777777" w:rsidR="009F1C07" w:rsidRDefault="009F1C07" w:rsidP="009F1C07">
      <w:pPr>
        <w:pStyle w:val="Heading3"/>
        <w:numPr>
          <w:ilvl w:val="0"/>
          <w:numId w:val="2"/>
        </w:numPr>
        <w:spacing w:line="360" w:lineRule="auto"/>
      </w:pPr>
      <w:r>
        <w:t>Association of Gestational Age and Biomarkers</w:t>
      </w:r>
    </w:p>
    <w:p w14:paraId="57441DF8" w14:textId="77777777" w:rsidR="009F1C07" w:rsidRDefault="009F1C07" w:rsidP="009F1C07">
      <w:pPr>
        <w:pStyle w:val="Caption"/>
      </w:pPr>
      <w:r>
        <w:rPr>
          <w:noProof/>
        </w:rPr>
        <w:drawing>
          <wp:inline distT="0" distB="0" distL="0" distR="0" wp14:anchorId="51478A24" wp14:editId="408B6197">
            <wp:extent cx="5934075" cy="59340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5934075"/>
                    </a:xfrm>
                    <a:prstGeom prst="rect">
                      <a:avLst/>
                    </a:prstGeom>
                    <a:noFill/>
                    <a:ln>
                      <a:noFill/>
                    </a:ln>
                  </pic:spPr>
                </pic:pic>
              </a:graphicData>
            </a:graphic>
          </wp:inline>
        </w:drawing>
      </w:r>
    </w:p>
    <w:p w14:paraId="6B3E9672" w14:textId="464E0692" w:rsidR="009F1C07" w:rsidRPr="008B2B72" w:rsidRDefault="00A41704" w:rsidP="009F1C07">
      <w:pPr>
        <w:pStyle w:val="Caption"/>
        <w:ind w:left="360"/>
        <w:rPr>
          <w:color w:val="auto"/>
        </w:rPr>
      </w:pPr>
      <w:r w:rsidRPr="008B2B72">
        <w:rPr>
          <w:color w:val="auto"/>
        </w:rPr>
        <w:lastRenderedPageBreak/>
        <w:t>Supplementary f</w:t>
      </w:r>
      <w:r w:rsidR="009F1C07" w:rsidRPr="008B2B72">
        <w:rPr>
          <w:color w:val="auto"/>
        </w:rPr>
        <w:t>igure 2. Scatterplot of serum protein biomarker concentration (</w:t>
      </w:r>
      <w:proofErr w:type="spellStart"/>
      <w:r w:rsidR="009F1C07" w:rsidRPr="008B2B72">
        <w:rPr>
          <w:color w:val="auto"/>
        </w:rPr>
        <w:t>pg</w:t>
      </w:r>
      <w:proofErr w:type="spellEnd"/>
      <w:r w:rsidR="009F1C07" w:rsidRPr="008B2B72">
        <w:rPr>
          <w:color w:val="auto"/>
        </w:rPr>
        <w:t xml:space="preserve">/mL) compared to GA at blood draw for eight markers and % Free </w:t>
      </w:r>
      <w:proofErr w:type="spellStart"/>
      <w:r w:rsidR="009F1C07" w:rsidRPr="008B2B72">
        <w:rPr>
          <w:color w:val="auto"/>
        </w:rPr>
        <w:t>PlGF</w:t>
      </w:r>
      <w:proofErr w:type="spellEnd"/>
      <w:r w:rsidR="009F1C07" w:rsidRPr="008B2B72">
        <w:rPr>
          <w:color w:val="auto"/>
        </w:rPr>
        <w:t xml:space="preserve">. Loess curves show how concentration differs by GA for PE- and non-PE-diagnosed subjects. In the panel, % Free </w:t>
      </w:r>
      <w:proofErr w:type="spellStart"/>
      <w:r w:rsidR="009F1C07" w:rsidRPr="008B2B72">
        <w:rPr>
          <w:color w:val="auto"/>
        </w:rPr>
        <w:t>PlGF</w:t>
      </w:r>
      <w:proofErr w:type="spellEnd"/>
      <w:r w:rsidR="009F1C07" w:rsidRPr="008B2B72">
        <w:rPr>
          <w:color w:val="auto"/>
        </w:rPr>
        <w:t xml:space="preserve"> is unitless as it is determined from the ratio of Free </w:t>
      </w:r>
      <w:proofErr w:type="spellStart"/>
      <w:r w:rsidR="009F1C07" w:rsidRPr="008B2B72">
        <w:rPr>
          <w:color w:val="auto"/>
        </w:rPr>
        <w:t>PlGF</w:t>
      </w:r>
      <w:proofErr w:type="spellEnd"/>
      <w:r w:rsidR="009F1C07" w:rsidRPr="008B2B72">
        <w:rPr>
          <w:color w:val="auto"/>
        </w:rPr>
        <w:t xml:space="preserve"> to Total </w:t>
      </w:r>
      <w:proofErr w:type="spellStart"/>
      <w:r w:rsidR="009F1C07" w:rsidRPr="008B2B72">
        <w:rPr>
          <w:color w:val="auto"/>
        </w:rPr>
        <w:t>PlGF</w:t>
      </w:r>
      <w:proofErr w:type="spellEnd"/>
      <w:r w:rsidR="009F1C07" w:rsidRPr="008B2B72">
        <w:rPr>
          <w:color w:val="auto"/>
        </w:rPr>
        <w:t xml:space="preserve"> </w:t>
      </w:r>
    </w:p>
    <w:p w14:paraId="5B1E8E12" w14:textId="77777777" w:rsidR="009F1C07" w:rsidRPr="00807DCD" w:rsidRDefault="009F1C07" w:rsidP="009F1C07">
      <w:pPr>
        <w:pStyle w:val="Caption"/>
        <w:ind w:left="360"/>
      </w:pPr>
    </w:p>
    <w:p w14:paraId="3E3D2FB7" w14:textId="77777777" w:rsidR="009F1C07" w:rsidRDefault="009F1C07" w:rsidP="009F1C07">
      <w:pPr>
        <w:keepNext/>
        <w:spacing w:before="120" w:line="360" w:lineRule="auto"/>
        <w:jc w:val="center"/>
      </w:pPr>
      <w:r>
        <w:rPr>
          <w:noProof/>
        </w:rPr>
        <w:drawing>
          <wp:inline distT="0" distB="0" distL="0" distR="0" wp14:anchorId="3E2BC7E1" wp14:editId="309FDD67">
            <wp:extent cx="3352800" cy="3352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3352800" cy="3352800"/>
                    </a:xfrm>
                    <a:prstGeom prst="rect">
                      <a:avLst/>
                    </a:prstGeom>
                  </pic:spPr>
                </pic:pic>
              </a:graphicData>
            </a:graphic>
          </wp:inline>
        </w:drawing>
      </w:r>
    </w:p>
    <w:p w14:paraId="4C5C5DE4" w14:textId="627D3561" w:rsidR="009F1C07" w:rsidRPr="008B2B72" w:rsidRDefault="00E030C9" w:rsidP="009F1C07">
      <w:pPr>
        <w:pStyle w:val="Caption"/>
        <w:rPr>
          <w:color w:val="auto"/>
        </w:rPr>
      </w:pPr>
      <w:r w:rsidRPr="008B2B72">
        <w:rPr>
          <w:color w:val="auto"/>
        </w:rPr>
        <w:t>Supplementary f</w:t>
      </w:r>
      <w:r w:rsidR="009F1C07" w:rsidRPr="008B2B72">
        <w:rPr>
          <w:color w:val="auto"/>
        </w:rPr>
        <w:t>igure 3. Comparison of gestational ages by preeclampsia classification result</w:t>
      </w:r>
    </w:p>
    <w:p w14:paraId="0E8AC893" w14:textId="5D269180" w:rsidR="009F1C07" w:rsidRPr="008B2B72" w:rsidRDefault="00E030C9" w:rsidP="0017765E">
      <w:pPr>
        <w:pStyle w:val="Caption"/>
        <w:keepNext/>
        <w:numPr>
          <w:ilvl w:val="0"/>
          <w:numId w:val="2"/>
        </w:numPr>
        <w:rPr>
          <w:color w:val="auto"/>
        </w:rPr>
      </w:pPr>
      <w:r w:rsidRPr="008B2B72">
        <w:rPr>
          <w:color w:val="auto"/>
        </w:rPr>
        <w:t>Supplementary t</w:t>
      </w:r>
      <w:r w:rsidR="009F1C07" w:rsidRPr="008B2B72">
        <w:rPr>
          <w:color w:val="auto"/>
        </w:rPr>
        <w:t>able 6. CROSS-VALIDATED PERFORMANCE OF TEST DATA FOR THE PREECLAMPSIA CLASSIFICATION ALGORITHM, BROKEN DOWN BY EARLY (GA &lt; 35 WEEKS) AND LATE (GA ≥ 35 WEEKS) PREGNANCIES. STATISTICS ARE SHOWN AS PERCENT WITH 95% CONFIDENCE INTERVALS.</w:t>
      </w:r>
    </w:p>
    <w:tbl>
      <w:tblPr>
        <w:tblW w:w="7645" w:type="dxa"/>
        <w:tblInd w:w="1300" w:type="dxa"/>
        <w:tblLook w:val="04A0" w:firstRow="1" w:lastRow="0" w:firstColumn="1" w:lastColumn="0" w:noHBand="0" w:noVBand="1"/>
      </w:tblPr>
      <w:tblGrid>
        <w:gridCol w:w="852"/>
        <w:gridCol w:w="551"/>
        <w:gridCol w:w="1202"/>
        <w:gridCol w:w="1260"/>
        <w:gridCol w:w="1260"/>
        <w:gridCol w:w="1260"/>
        <w:gridCol w:w="1260"/>
      </w:tblGrid>
      <w:tr w:rsidR="009F1C07" w:rsidRPr="00E95213" w14:paraId="360A9D9F" w14:textId="77777777" w:rsidTr="0055267D">
        <w:trPr>
          <w:trHeight w:val="300"/>
        </w:trPr>
        <w:tc>
          <w:tcPr>
            <w:tcW w:w="85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D3D7395"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GA</w:t>
            </w:r>
          </w:p>
        </w:tc>
        <w:tc>
          <w:tcPr>
            <w:tcW w:w="551" w:type="dxa"/>
            <w:tcBorders>
              <w:top w:val="single" w:sz="4" w:space="0" w:color="auto"/>
              <w:left w:val="nil"/>
              <w:bottom w:val="single" w:sz="4" w:space="0" w:color="auto"/>
              <w:right w:val="single" w:sz="4" w:space="0" w:color="auto"/>
            </w:tcBorders>
            <w:shd w:val="clear" w:color="000000" w:fill="D9D9D9"/>
            <w:noWrap/>
            <w:vAlign w:val="center"/>
            <w:hideMark/>
          </w:tcPr>
          <w:p w14:paraId="39882692"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N</w:t>
            </w:r>
          </w:p>
        </w:tc>
        <w:tc>
          <w:tcPr>
            <w:tcW w:w="1202" w:type="dxa"/>
            <w:tcBorders>
              <w:top w:val="single" w:sz="4" w:space="0" w:color="auto"/>
              <w:left w:val="nil"/>
              <w:bottom w:val="single" w:sz="4" w:space="0" w:color="auto"/>
              <w:right w:val="single" w:sz="4" w:space="0" w:color="auto"/>
            </w:tcBorders>
            <w:shd w:val="clear" w:color="000000" w:fill="D9D9D9"/>
            <w:noWrap/>
            <w:vAlign w:val="center"/>
            <w:hideMark/>
          </w:tcPr>
          <w:p w14:paraId="373C8A3A" w14:textId="77777777" w:rsidR="009F1C07" w:rsidRPr="0024374A" w:rsidRDefault="009F1C07" w:rsidP="0055267D">
            <w:pPr>
              <w:spacing w:after="0" w:line="240" w:lineRule="auto"/>
              <w:jc w:val="center"/>
              <w:rPr>
                <w:rFonts w:eastAsia="Times New Roman" w:cstheme="minorHAnsi"/>
                <w:b/>
                <w:bCs/>
                <w:color w:val="000000"/>
              </w:rPr>
            </w:pPr>
            <w:r>
              <w:rPr>
                <w:rFonts w:eastAsia="Times New Roman" w:cstheme="minorHAnsi"/>
                <w:b/>
                <w:bCs/>
                <w:color w:val="000000"/>
              </w:rPr>
              <w:t>AU</w:t>
            </w:r>
            <w:r w:rsidRPr="0024374A">
              <w:rPr>
                <w:rFonts w:eastAsia="Times New Roman" w:cstheme="minorHAnsi"/>
                <w:b/>
                <w:bCs/>
                <w:color w:val="000000"/>
              </w:rPr>
              <w:t>ROC (%)</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14:paraId="288FAF16"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Sensitivity (%)</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14:paraId="2B3C9491"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Specificity (%)</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14:paraId="4E1C53A5"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NPV</w:t>
            </w:r>
            <w:r>
              <w:rPr>
                <w:rFonts w:eastAsia="Times New Roman" w:cstheme="minorHAnsi"/>
                <w:b/>
                <w:bCs/>
                <w:color w:val="000000"/>
              </w:rPr>
              <w:br/>
            </w:r>
            <w:r w:rsidRPr="0024374A">
              <w:rPr>
                <w:rFonts w:eastAsia="Times New Roman" w:cstheme="minorHAnsi"/>
                <w:b/>
                <w:bCs/>
                <w:color w:val="000000"/>
              </w:rPr>
              <w:t>(%)</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14:paraId="2FC1BA08" w14:textId="77777777" w:rsidR="009F1C07" w:rsidRPr="0024374A" w:rsidRDefault="009F1C07" w:rsidP="0055267D">
            <w:pPr>
              <w:spacing w:after="0" w:line="240" w:lineRule="auto"/>
              <w:jc w:val="center"/>
              <w:rPr>
                <w:rFonts w:eastAsia="Times New Roman" w:cstheme="minorHAnsi"/>
                <w:b/>
                <w:bCs/>
                <w:color w:val="000000"/>
              </w:rPr>
            </w:pPr>
            <w:r w:rsidRPr="0024374A">
              <w:rPr>
                <w:rFonts w:eastAsia="Times New Roman" w:cstheme="minorHAnsi"/>
                <w:b/>
                <w:bCs/>
                <w:color w:val="000000"/>
              </w:rPr>
              <w:t>PPV</w:t>
            </w:r>
            <w:r>
              <w:rPr>
                <w:rFonts w:eastAsia="Times New Roman" w:cstheme="minorHAnsi"/>
                <w:b/>
                <w:bCs/>
                <w:color w:val="000000"/>
              </w:rPr>
              <w:br/>
            </w:r>
            <w:r w:rsidRPr="0024374A">
              <w:rPr>
                <w:rFonts w:eastAsia="Times New Roman" w:cstheme="minorHAnsi"/>
                <w:b/>
                <w:bCs/>
                <w:color w:val="000000"/>
              </w:rPr>
              <w:t>(%)</w:t>
            </w:r>
          </w:p>
        </w:tc>
      </w:tr>
      <w:tr w:rsidR="009F1C07" w:rsidRPr="00E95213" w14:paraId="449F4B94" w14:textId="77777777" w:rsidTr="0055267D">
        <w:trPr>
          <w:trHeight w:val="660"/>
        </w:trPr>
        <w:tc>
          <w:tcPr>
            <w:tcW w:w="852" w:type="dxa"/>
            <w:tcBorders>
              <w:top w:val="nil"/>
              <w:left w:val="single" w:sz="4" w:space="0" w:color="auto"/>
              <w:bottom w:val="single" w:sz="4" w:space="0" w:color="auto"/>
              <w:right w:val="single" w:sz="4" w:space="0" w:color="auto"/>
            </w:tcBorders>
            <w:shd w:val="clear" w:color="000000" w:fill="FFFFFF"/>
            <w:vAlign w:val="center"/>
            <w:hideMark/>
          </w:tcPr>
          <w:p w14:paraId="504DB8FF" w14:textId="77777777" w:rsidR="009F1C07" w:rsidRPr="0024374A" w:rsidRDefault="009F1C07" w:rsidP="0055267D">
            <w:pPr>
              <w:spacing w:after="0" w:line="240" w:lineRule="auto"/>
              <w:jc w:val="center"/>
              <w:rPr>
                <w:rFonts w:ascii="Calibri" w:eastAsia="Times New Roman" w:hAnsi="Calibri" w:cs="Calibri"/>
                <w:color w:val="000000"/>
              </w:rPr>
            </w:pPr>
            <w:r w:rsidRPr="00893E47">
              <w:rPr>
                <w:rFonts w:ascii="Calibri" w:eastAsia="Times New Roman" w:hAnsi="Calibri" w:cs="Calibri"/>
                <w:color w:val="000000"/>
              </w:rPr>
              <w:t xml:space="preserve">&lt; 35 </w:t>
            </w:r>
            <w:r>
              <w:rPr>
                <w:rFonts w:ascii="Calibri" w:eastAsia="Times New Roman" w:hAnsi="Calibri" w:cs="Calibri"/>
                <w:color w:val="000000"/>
              </w:rPr>
              <w:t>weeks</w:t>
            </w:r>
          </w:p>
        </w:tc>
        <w:tc>
          <w:tcPr>
            <w:tcW w:w="551" w:type="dxa"/>
            <w:tcBorders>
              <w:top w:val="nil"/>
              <w:left w:val="nil"/>
              <w:bottom w:val="single" w:sz="4" w:space="0" w:color="auto"/>
              <w:right w:val="single" w:sz="4" w:space="0" w:color="auto"/>
            </w:tcBorders>
            <w:shd w:val="clear" w:color="000000" w:fill="FFFFFF"/>
            <w:vAlign w:val="center"/>
            <w:hideMark/>
          </w:tcPr>
          <w:p w14:paraId="50BEFF7A"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327</w:t>
            </w:r>
          </w:p>
        </w:tc>
        <w:tc>
          <w:tcPr>
            <w:tcW w:w="1202" w:type="dxa"/>
            <w:tcBorders>
              <w:top w:val="nil"/>
              <w:left w:val="nil"/>
              <w:bottom w:val="single" w:sz="4" w:space="0" w:color="auto"/>
              <w:right w:val="single" w:sz="4" w:space="0" w:color="auto"/>
            </w:tcBorders>
            <w:shd w:val="clear" w:color="000000" w:fill="FFFFFF"/>
            <w:vAlign w:val="center"/>
            <w:hideMark/>
          </w:tcPr>
          <w:p w14:paraId="4A5BDA4A"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94.6</w:t>
            </w:r>
            <w:r>
              <w:rPr>
                <w:rFonts w:ascii="Calibri" w:eastAsia="Times New Roman" w:hAnsi="Calibri" w:cs="Calibri"/>
                <w:color w:val="000000"/>
              </w:rPr>
              <w:br/>
              <w:t>[91.7-97.6]</w:t>
            </w:r>
          </w:p>
        </w:tc>
        <w:tc>
          <w:tcPr>
            <w:tcW w:w="1260" w:type="dxa"/>
            <w:tcBorders>
              <w:top w:val="nil"/>
              <w:left w:val="nil"/>
              <w:bottom w:val="single" w:sz="4" w:space="0" w:color="auto"/>
              <w:right w:val="single" w:sz="4" w:space="0" w:color="auto"/>
            </w:tcBorders>
            <w:shd w:val="clear" w:color="000000" w:fill="FFFFFF"/>
            <w:vAlign w:val="center"/>
            <w:hideMark/>
          </w:tcPr>
          <w:p w14:paraId="40D22319"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90.0</w:t>
            </w:r>
            <w:r>
              <w:rPr>
                <w:rFonts w:ascii="Calibri" w:eastAsia="Times New Roman" w:hAnsi="Calibri" w:cs="Calibri"/>
                <w:color w:val="000000"/>
              </w:rPr>
              <w:br/>
            </w:r>
            <w:r w:rsidRPr="0024374A">
              <w:rPr>
                <w:rFonts w:ascii="Calibri" w:eastAsia="Times New Roman" w:hAnsi="Calibri" w:cs="Calibri"/>
                <w:color w:val="000000"/>
              </w:rPr>
              <w:t>[80.8-95.1]</w:t>
            </w:r>
          </w:p>
        </w:tc>
        <w:tc>
          <w:tcPr>
            <w:tcW w:w="1260" w:type="dxa"/>
            <w:tcBorders>
              <w:top w:val="nil"/>
              <w:left w:val="nil"/>
              <w:bottom w:val="single" w:sz="4" w:space="0" w:color="auto"/>
              <w:right w:val="single" w:sz="4" w:space="0" w:color="auto"/>
            </w:tcBorders>
            <w:shd w:val="clear" w:color="000000" w:fill="FFFFFF"/>
            <w:vAlign w:val="center"/>
            <w:hideMark/>
          </w:tcPr>
          <w:p w14:paraId="5899443B"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80.5</w:t>
            </w:r>
            <w:r>
              <w:rPr>
                <w:rFonts w:ascii="Calibri" w:eastAsia="Times New Roman" w:hAnsi="Calibri" w:cs="Calibri"/>
                <w:color w:val="000000"/>
              </w:rPr>
              <w:br/>
            </w:r>
            <w:r w:rsidRPr="0024374A">
              <w:rPr>
                <w:rFonts w:ascii="Calibri" w:eastAsia="Times New Roman" w:hAnsi="Calibri" w:cs="Calibri"/>
                <w:color w:val="000000"/>
              </w:rPr>
              <w:t>[75.3-84.9]</w:t>
            </w:r>
          </w:p>
        </w:tc>
        <w:tc>
          <w:tcPr>
            <w:tcW w:w="1260" w:type="dxa"/>
            <w:tcBorders>
              <w:top w:val="nil"/>
              <w:left w:val="nil"/>
              <w:bottom w:val="single" w:sz="4" w:space="0" w:color="auto"/>
              <w:right w:val="single" w:sz="4" w:space="0" w:color="auto"/>
            </w:tcBorders>
            <w:shd w:val="clear" w:color="000000" w:fill="FFFFFF"/>
            <w:vAlign w:val="center"/>
            <w:hideMark/>
          </w:tcPr>
          <w:p w14:paraId="0ADB7696"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96.7</w:t>
            </w:r>
            <w:r>
              <w:rPr>
                <w:rFonts w:ascii="Calibri" w:eastAsia="Times New Roman" w:hAnsi="Calibri" w:cs="Calibri"/>
                <w:color w:val="000000"/>
              </w:rPr>
              <w:br/>
            </w:r>
            <w:r w:rsidRPr="0024374A">
              <w:rPr>
                <w:rFonts w:ascii="Calibri" w:eastAsia="Times New Roman" w:hAnsi="Calibri" w:cs="Calibri"/>
                <w:color w:val="000000"/>
              </w:rPr>
              <w:t>[93.4-98.4]</w:t>
            </w:r>
          </w:p>
        </w:tc>
        <w:tc>
          <w:tcPr>
            <w:tcW w:w="1260" w:type="dxa"/>
            <w:tcBorders>
              <w:top w:val="nil"/>
              <w:left w:val="nil"/>
              <w:bottom w:val="single" w:sz="4" w:space="0" w:color="auto"/>
              <w:right w:val="single" w:sz="4" w:space="0" w:color="auto"/>
            </w:tcBorders>
            <w:shd w:val="clear" w:color="000000" w:fill="FFFFFF"/>
            <w:vAlign w:val="center"/>
            <w:hideMark/>
          </w:tcPr>
          <w:p w14:paraId="2061023B"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55.8</w:t>
            </w:r>
            <w:r>
              <w:rPr>
                <w:rFonts w:ascii="Calibri" w:eastAsia="Times New Roman" w:hAnsi="Calibri" w:cs="Calibri"/>
                <w:color w:val="000000"/>
              </w:rPr>
              <w:br/>
            </w:r>
            <w:r w:rsidRPr="0024374A">
              <w:rPr>
                <w:rFonts w:ascii="Calibri" w:eastAsia="Times New Roman" w:hAnsi="Calibri" w:cs="Calibri"/>
                <w:color w:val="000000"/>
              </w:rPr>
              <w:t>[46.6-64.6]</w:t>
            </w:r>
          </w:p>
        </w:tc>
      </w:tr>
      <w:tr w:rsidR="009F1C07" w:rsidRPr="00E95213" w14:paraId="0AED00DC" w14:textId="77777777" w:rsidTr="0055267D">
        <w:trPr>
          <w:trHeight w:val="660"/>
        </w:trPr>
        <w:tc>
          <w:tcPr>
            <w:tcW w:w="852" w:type="dxa"/>
            <w:tcBorders>
              <w:top w:val="nil"/>
              <w:left w:val="single" w:sz="4" w:space="0" w:color="auto"/>
              <w:bottom w:val="single" w:sz="4" w:space="0" w:color="auto"/>
              <w:right w:val="single" w:sz="4" w:space="0" w:color="auto"/>
            </w:tcBorders>
            <w:shd w:val="clear" w:color="000000" w:fill="FFFFFF"/>
            <w:vAlign w:val="center"/>
            <w:hideMark/>
          </w:tcPr>
          <w:p w14:paraId="2E2344CF" w14:textId="77777777" w:rsidR="009F1C07" w:rsidRPr="0024374A" w:rsidRDefault="009F1C07" w:rsidP="0055267D">
            <w:pPr>
              <w:spacing w:after="0" w:line="240" w:lineRule="auto"/>
              <w:jc w:val="center"/>
              <w:rPr>
                <w:rFonts w:ascii="Calibri" w:eastAsia="Times New Roman" w:hAnsi="Calibri" w:cs="Calibri"/>
                <w:color w:val="000000"/>
              </w:rPr>
            </w:pPr>
            <w:r w:rsidRPr="00893E47">
              <w:rPr>
                <w:rFonts w:ascii="Calibri" w:eastAsia="Times New Roman" w:hAnsi="Calibri" w:cs="Calibri"/>
                <w:color w:val="000000"/>
              </w:rPr>
              <w:t xml:space="preserve">≥ 35 </w:t>
            </w:r>
            <w:r>
              <w:rPr>
                <w:rFonts w:ascii="Calibri" w:eastAsia="Times New Roman" w:hAnsi="Calibri" w:cs="Calibri"/>
                <w:color w:val="000000"/>
              </w:rPr>
              <w:t>weeks</w:t>
            </w:r>
          </w:p>
        </w:tc>
        <w:tc>
          <w:tcPr>
            <w:tcW w:w="551" w:type="dxa"/>
            <w:tcBorders>
              <w:top w:val="nil"/>
              <w:left w:val="nil"/>
              <w:bottom w:val="single" w:sz="4" w:space="0" w:color="auto"/>
              <w:right w:val="single" w:sz="4" w:space="0" w:color="auto"/>
            </w:tcBorders>
            <w:shd w:val="clear" w:color="000000" w:fill="FFFFFF"/>
            <w:vAlign w:val="center"/>
            <w:hideMark/>
          </w:tcPr>
          <w:p w14:paraId="1A137D16"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131</w:t>
            </w:r>
          </w:p>
        </w:tc>
        <w:tc>
          <w:tcPr>
            <w:tcW w:w="1202" w:type="dxa"/>
            <w:tcBorders>
              <w:top w:val="nil"/>
              <w:left w:val="nil"/>
              <w:bottom w:val="single" w:sz="4" w:space="0" w:color="auto"/>
              <w:right w:val="single" w:sz="4" w:space="0" w:color="auto"/>
            </w:tcBorders>
            <w:shd w:val="clear" w:color="000000" w:fill="FFFFFF"/>
            <w:vAlign w:val="center"/>
            <w:hideMark/>
          </w:tcPr>
          <w:p w14:paraId="78B27E32"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88.9</w:t>
            </w:r>
            <w:r>
              <w:rPr>
                <w:rFonts w:ascii="Calibri" w:eastAsia="Times New Roman" w:hAnsi="Calibri" w:cs="Calibri"/>
                <w:color w:val="000000"/>
              </w:rPr>
              <w:br/>
              <w:t>[80.5-97.3]</w:t>
            </w:r>
          </w:p>
        </w:tc>
        <w:tc>
          <w:tcPr>
            <w:tcW w:w="1260" w:type="dxa"/>
            <w:tcBorders>
              <w:top w:val="nil"/>
              <w:left w:val="nil"/>
              <w:bottom w:val="single" w:sz="4" w:space="0" w:color="auto"/>
              <w:right w:val="single" w:sz="4" w:space="0" w:color="auto"/>
            </w:tcBorders>
            <w:shd w:val="clear" w:color="000000" w:fill="FFFFFF"/>
            <w:vAlign w:val="center"/>
            <w:hideMark/>
          </w:tcPr>
          <w:p w14:paraId="72A02FC2"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92.3</w:t>
            </w:r>
            <w:r>
              <w:rPr>
                <w:rFonts w:ascii="Calibri" w:eastAsia="Times New Roman" w:hAnsi="Calibri" w:cs="Calibri"/>
                <w:color w:val="000000"/>
              </w:rPr>
              <w:br/>
            </w:r>
            <w:r w:rsidRPr="0024374A">
              <w:rPr>
                <w:rFonts w:ascii="Calibri" w:eastAsia="Times New Roman" w:hAnsi="Calibri" w:cs="Calibri"/>
                <w:color w:val="000000"/>
              </w:rPr>
              <w:t>[75.9-97.9]</w:t>
            </w:r>
          </w:p>
        </w:tc>
        <w:tc>
          <w:tcPr>
            <w:tcW w:w="1260" w:type="dxa"/>
            <w:tcBorders>
              <w:top w:val="nil"/>
              <w:left w:val="nil"/>
              <w:bottom w:val="single" w:sz="4" w:space="0" w:color="auto"/>
              <w:right w:val="single" w:sz="4" w:space="0" w:color="auto"/>
            </w:tcBorders>
            <w:shd w:val="clear" w:color="000000" w:fill="FFFFFF"/>
            <w:vAlign w:val="center"/>
            <w:hideMark/>
          </w:tcPr>
          <w:p w14:paraId="06551F64"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73.3</w:t>
            </w:r>
            <w:r>
              <w:rPr>
                <w:rFonts w:ascii="Calibri" w:eastAsia="Times New Roman" w:hAnsi="Calibri" w:cs="Calibri"/>
                <w:color w:val="000000"/>
              </w:rPr>
              <w:br/>
            </w:r>
            <w:r w:rsidRPr="0024374A">
              <w:rPr>
                <w:rFonts w:ascii="Calibri" w:eastAsia="Times New Roman" w:hAnsi="Calibri" w:cs="Calibri"/>
                <w:color w:val="000000"/>
              </w:rPr>
              <w:t>[64.2-80.9]</w:t>
            </w:r>
          </w:p>
        </w:tc>
        <w:tc>
          <w:tcPr>
            <w:tcW w:w="1260" w:type="dxa"/>
            <w:tcBorders>
              <w:top w:val="nil"/>
              <w:left w:val="nil"/>
              <w:bottom w:val="single" w:sz="4" w:space="0" w:color="auto"/>
              <w:right w:val="single" w:sz="4" w:space="0" w:color="auto"/>
            </w:tcBorders>
            <w:shd w:val="clear" w:color="000000" w:fill="FFFFFF"/>
            <w:vAlign w:val="center"/>
            <w:hideMark/>
          </w:tcPr>
          <w:p w14:paraId="0AA1E0D3"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97.5</w:t>
            </w:r>
            <w:r>
              <w:rPr>
                <w:rFonts w:ascii="Calibri" w:eastAsia="Times New Roman" w:hAnsi="Calibri" w:cs="Calibri"/>
                <w:color w:val="000000"/>
              </w:rPr>
              <w:br/>
            </w:r>
            <w:r w:rsidRPr="0024374A">
              <w:rPr>
                <w:rFonts w:ascii="Calibri" w:eastAsia="Times New Roman" w:hAnsi="Calibri" w:cs="Calibri"/>
                <w:color w:val="000000"/>
              </w:rPr>
              <w:t>[91.2-99.3]</w:t>
            </w:r>
          </w:p>
        </w:tc>
        <w:tc>
          <w:tcPr>
            <w:tcW w:w="1260" w:type="dxa"/>
            <w:tcBorders>
              <w:top w:val="nil"/>
              <w:left w:val="nil"/>
              <w:bottom w:val="single" w:sz="4" w:space="0" w:color="auto"/>
              <w:right w:val="single" w:sz="4" w:space="0" w:color="auto"/>
            </w:tcBorders>
            <w:shd w:val="clear" w:color="000000" w:fill="FFFFFF"/>
            <w:vAlign w:val="center"/>
            <w:hideMark/>
          </w:tcPr>
          <w:p w14:paraId="7F3AB98B" w14:textId="77777777" w:rsidR="009F1C07" w:rsidRPr="0024374A" w:rsidRDefault="009F1C07" w:rsidP="0055267D">
            <w:pPr>
              <w:spacing w:after="0" w:line="240" w:lineRule="auto"/>
              <w:jc w:val="center"/>
              <w:rPr>
                <w:rFonts w:ascii="Calibri" w:eastAsia="Times New Roman" w:hAnsi="Calibri" w:cs="Calibri"/>
                <w:color w:val="000000"/>
              </w:rPr>
            </w:pPr>
            <w:r w:rsidRPr="0024374A">
              <w:rPr>
                <w:rFonts w:ascii="Calibri" w:eastAsia="Times New Roman" w:hAnsi="Calibri" w:cs="Calibri"/>
                <w:color w:val="000000"/>
              </w:rPr>
              <w:t>46.2</w:t>
            </w:r>
            <w:r>
              <w:rPr>
                <w:rFonts w:ascii="Calibri" w:eastAsia="Times New Roman" w:hAnsi="Calibri" w:cs="Calibri"/>
                <w:color w:val="000000"/>
              </w:rPr>
              <w:br/>
            </w:r>
            <w:r w:rsidRPr="0024374A">
              <w:rPr>
                <w:rFonts w:ascii="Calibri" w:eastAsia="Times New Roman" w:hAnsi="Calibri" w:cs="Calibri"/>
                <w:color w:val="000000"/>
              </w:rPr>
              <w:t>[33.3-59.5]</w:t>
            </w:r>
          </w:p>
        </w:tc>
      </w:tr>
    </w:tbl>
    <w:p w14:paraId="4146B909" w14:textId="77777777" w:rsidR="009F1C07" w:rsidRDefault="009F1C07" w:rsidP="009F1C07">
      <w:pPr>
        <w:pStyle w:val="Caption"/>
        <w:ind w:left="360"/>
        <w:rPr>
          <w:rFonts w:asciiTheme="majorHAnsi" w:eastAsiaTheme="majorEastAsia" w:hAnsiTheme="majorHAnsi" w:cstheme="majorBidi"/>
          <w:b w:val="0"/>
          <w:smallCaps w:val="0"/>
          <w:color w:val="auto"/>
          <w:sz w:val="28"/>
          <w:szCs w:val="28"/>
        </w:rPr>
      </w:pPr>
    </w:p>
    <w:p w14:paraId="51356230" w14:textId="77777777" w:rsidR="009F1C07" w:rsidRPr="00C70F0D" w:rsidRDefault="009F1C07" w:rsidP="009F1C07"/>
    <w:p w14:paraId="0804B610" w14:textId="77777777" w:rsidR="009F1C07" w:rsidRDefault="009F1C07" w:rsidP="009F1C07"/>
    <w:p w14:paraId="37C9497F" w14:textId="77777777" w:rsidR="009F1C07" w:rsidRPr="00C70F0D" w:rsidRDefault="009F1C07" w:rsidP="009F1C07"/>
    <w:p w14:paraId="40156421" w14:textId="73644C60" w:rsidR="009F1C07" w:rsidRPr="008B2B72" w:rsidRDefault="00E030C9" w:rsidP="009F1C07">
      <w:pPr>
        <w:pStyle w:val="Caption"/>
        <w:numPr>
          <w:ilvl w:val="0"/>
          <w:numId w:val="2"/>
        </w:numPr>
        <w:rPr>
          <w:rFonts w:asciiTheme="majorHAnsi" w:eastAsiaTheme="majorEastAsia" w:hAnsiTheme="majorHAnsi" w:cstheme="majorBidi"/>
          <w:b w:val="0"/>
          <w:smallCaps w:val="0"/>
          <w:color w:val="auto"/>
          <w:sz w:val="28"/>
          <w:szCs w:val="28"/>
        </w:rPr>
      </w:pPr>
      <w:r w:rsidRPr="008B2B72">
        <w:rPr>
          <w:color w:val="auto"/>
        </w:rPr>
        <w:lastRenderedPageBreak/>
        <w:t>Supplementary t</w:t>
      </w:r>
      <w:r w:rsidR="009F1C07" w:rsidRPr="008B2B72">
        <w:rPr>
          <w:color w:val="auto"/>
        </w:rPr>
        <w:t>able 7. Confusion matrix of preeclampsia classification algorithm vs. clinical diagnosis gold-standard</w:t>
      </w:r>
    </w:p>
    <w:tbl>
      <w:tblPr>
        <w:tblStyle w:val="TableGrid"/>
        <w:tblW w:w="5338" w:type="dxa"/>
        <w:jc w:val="center"/>
        <w:tblLook w:val="04A0" w:firstRow="1" w:lastRow="0" w:firstColumn="1" w:lastColumn="0" w:noHBand="0" w:noVBand="1"/>
      </w:tblPr>
      <w:tblGrid>
        <w:gridCol w:w="1215"/>
        <w:gridCol w:w="1104"/>
        <w:gridCol w:w="1546"/>
        <w:gridCol w:w="1546"/>
      </w:tblGrid>
      <w:tr w:rsidR="009F1C07" w:rsidRPr="00CB78FF" w14:paraId="69C5A6C7" w14:textId="77777777" w:rsidTr="0055267D">
        <w:trPr>
          <w:trHeight w:val="335"/>
          <w:jc w:val="center"/>
        </w:trPr>
        <w:tc>
          <w:tcPr>
            <w:tcW w:w="2355" w:type="dxa"/>
            <w:gridSpan w:val="2"/>
            <w:vMerge w:val="restart"/>
            <w:tcBorders>
              <w:top w:val="nil"/>
              <w:left w:val="nil"/>
            </w:tcBorders>
            <w:vAlign w:val="center"/>
          </w:tcPr>
          <w:p w14:paraId="0FAF1B69" w14:textId="77777777" w:rsidR="009F1C07" w:rsidRPr="00905B84" w:rsidRDefault="009F1C07" w:rsidP="0055267D">
            <w:pPr>
              <w:jc w:val="center"/>
              <w:rPr>
                <w:rFonts w:asciiTheme="minorHAnsi" w:hAnsiTheme="minorHAnsi" w:cstheme="minorHAnsi"/>
                <w:sz w:val="22"/>
                <w:szCs w:val="14"/>
              </w:rPr>
            </w:pPr>
          </w:p>
        </w:tc>
        <w:tc>
          <w:tcPr>
            <w:tcW w:w="2983" w:type="dxa"/>
            <w:gridSpan w:val="2"/>
            <w:shd w:val="clear" w:color="auto" w:fill="D9D9D9" w:themeFill="background1" w:themeFillShade="D9"/>
            <w:vAlign w:val="center"/>
          </w:tcPr>
          <w:p w14:paraId="4BBB4151" w14:textId="77777777" w:rsidR="009F1C07" w:rsidRPr="00E7279F" w:rsidRDefault="009F1C07" w:rsidP="0055267D">
            <w:pPr>
              <w:jc w:val="center"/>
              <w:rPr>
                <w:rFonts w:ascii="Calibri" w:hAnsi="Calibri" w:cs="Calibri"/>
                <w:b/>
                <w:color w:val="000000"/>
                <w:sz w:val="22"/>
                <w:szCs w:val="14"/>
              </w:rPr>
            </w:pPr>
            <w:r w:rsidRPr="00E7279F">
              <w:rPr>
                <w:rFonts w:ascii="Calibri" w:hAnsi="Calibri" w:cs="Calibri"/>
                <w:b/>
                <w:color w:val="000000"/>
                <w:szCs w:val="14"/>
              </w:rPr>
              <w:t>Clinical Diagnosis</w:t>
            </w:r>
          </w:p>
        </w:tc>
      </w:tr>
      <w:tr w:rsidR="009F1C07" w:rsidRPr="00CB78FF" w14:paraId="19251AD7" w14:textId="77777777" w:rsidTr="0055267D">
        <w:trPr>
          <w:trHeight w:val="335"/>
          <w:jc w:val="center"/>
        </w:trPr>
        <w:tc>
          <w:tcPr>
            <w:tcW w:w="2355" w:type="dxa"/>
            <w:gridSpan w:val="2"/>
            <w:vMerge/>
            <w:tcBorders>
              <w:top w:val="nil"/>
              <w:left w:val="nil"/>
            </w:tcBorders>
            <w:vAlign w:val="center"/>
          </w:tcPr>
          <w:p w14:paraId="5E9BFEC7" w14:textId="77777777" w:rsidR="009F1C07" w:rsidRPr="006F48BA" w:rsidRDefault="009F1C07" w:rsidP="0055267D">
            <w:pPr>
              <w:jc w:val="center"/>
              <w:rPr>
                <w:rFonts w:asciiTheme="minorHAnsi" w:hAnsiTheme="minorHAnsi" w:cstheme="minorHAnsi"/>
                <w:sz w:val="22"/>
                <w:szCs w:val="14"/>
              </w:rPr>
            </w:pPr>
          </w:p>
        </w:tc>
        <w:tc>
          <w:tcPr>
            <w:tcW w:w="1491" w:type="dxa"/>
            <w:shd w:val="clear" w:color="auto" w:fill="D9D9D9" w:themeFill="background1" w:themeFillShade="D9"/>
            <w:vAlign w:val="center"/>
          </w:tcPr>
          <w:p w14:paraId="2189F402" w14:textId="77777777" w:rsidR="009F1C07" w:rsidRPr="006F48BA" w:rsidRDefault="009F1C07" w:rsidP="0055267D">
            <w:pPr>
              <w:jc w:val="center"/>
              <w:rPr>
                <w:rFonts w:ascii="Calibri" w:hAnsi="Calibri" w:cs="Calibri"/>
                <w:b/>
                <w:color w:val="000000"/>
                <w:sz w:val="22"/>
                <w:szCs w:val="14"/>
              </w:rPr>
            </w:pPr>
            <w:r w:rsidRPr="006F48BA">
              <w:rPr>
                <w:rFonts w:ascii="Calibri" w:hAnsi="Calibri" w:cs="Calibri"/>
                <w:b/>
                <w:color w:val="000000"/>
                <w:szCs w:val="14"/>
              </w:rPr>
              <w:t>Preeclampsia</w:t>
            </w:r>
          </w:p>
        </w:tc>
        <w:tc>
          <w:tcPr>
            <w:tcW w:w="1491" w:type="dxa"/>
            <w:shd w:val="clear" w:color="auto" w:fill="D9D9D9" w:themeFill="background1" w:themeFillShade="D9"/>
            <w:vAlign w:val="center"/>
          </w:tcPr>
          <w:p w14:paraId="4462B0CA" w14:textId="77777777" w:rsidR="009F1C07" w:rsidRPr="006F48BA" w:rsidRDefault="009F1C07" w:rsidP="0055267D">
            <w:pPr>
              <w:jc w:val="center"/>
              <w:rPr>
                <w:rFonts w:ascii="Calibri" w:hAnsi="Calibri" w:cs="Calibri"/>
                <w:b/>
                <w:color w:val="000000"/>
                <w:sz w:val="22"/>
                <w:szCs w:val="14"/>
              </w:rPr>
            </w:pPr>
            <w:r w:rsidRPr="006F48BA">
              <w:rPr>
                <w:rFonts w:ascii="Calibri" w:hAnsi="Calibri" w:cs="Calibri"/>
                <w:b/>
                <w:color w:val="000000"/>
                <w:szCs w:val="14"/>
              </w:rPr>
              <w:t>Non-Preeclampsia</w:t>
            </w:r>
          </w:p>
        </w:tc>
      </w:tr>
      <w:tr w:rsidR="009F1C07" w:rsidRPr="00CB78FF" w14:paraId="03816B6D" w14:textId="77777777" w:rsidTr="0055267D">
        <w:trPr>
          <w:trHeight w:val="335"/>
          <w:jc w:val="center"/>
        </w:trPr>
        <w:tc>
          <w:tcPr>
            <w:tcW w:w="1130" w:type="dxa"/>
            <w:vMerge w:val="restart"/>
            <w:shd w:val="clear" w:color="auto" w:fill="D9D9D9" w:themeFill="background1" w:themeFillShade="D9"/>
            <w:vAlign w:val="center"/>
          </w:tcPr>
          <w:p w14:paraId="3F835B55" w14:textId="77777777" w:rsidR="009F1C07" w:rsidRPr="00A5041A" w:rsidRDefault="009F1C07" w:rsidP="0055267D">
            <w:pPr>
              <w:jc w:val="center"/>
              <w:rPr>
                <w:rFonts w:ascii="Calibri" w:hAnsi="Calibri" w:cs="Calibri"/>
                <w:b/>
                <w:color w:val="000000"/>
                <w:sz w:val="22"/>
                <w:szCs w:val="14"/>
              </w:rPr>
            </w:pPr>
            <w:r w:rsidRPr="00905B84">
              <w:rPr>
                <w:rFonts w:ascii="Calibri" w:hAnsi="Calibri" w:cs="Calibri"/>
                <w:b/>
                <w:color w:val="000000"/>
                <w:szCs w:val="14"/>
              </w:rPr>
              <w:t>Algorithm</w:t>
            </w:r>
            <w:r w:rsidRPr="00E7279F">
              <w:rPr>
                <w:rFonts w:ascii="Calibri" w:hAnsi="Calibri" w:cs="Calibri"/>
                <w:b/>
                <w:color w:val="000000"/>
                <w:szCs w:val="14"/>
              </w:rPr>
              <w:t xml:space="preserve"> call</w:t>
            </w:r>
          </w:p>
        </w:tc>
        <w:tc>
          <w:tcPr>
            <w:tcW w:w="1225" w:type="dxa"/>
            <w:shd w:val="clear" w:color="auto" w:fill="D9D9D9" w:themeFill="background1" w:themeFillShade="D9"/>
            <w:vAlign w:val="center"/>
          </w:tcPr>
          <w:p w14:paraId="2D53B2AF" w14:textId="77777777" w:rsidR="009F1C07" w:rsidRPr="0008193C" w:rsidRDefault="009F1C07" w:rsidP="0055267D">
            <w:pPr>
              <w:jc w:val="center"/>
              <w:rPr>
                <w:rFonts w:ascii="Calibri" w:hAnsi="Calibri" w:cs="Calibri"/>
                <w:b/>
                <w:color w:val="000000"/>
                <w:sz w:val="22"/>
                <w:szCs w:val="14"/>
              </w:rPr>
            </w:pPr>
            <w:r>
              <w:rPr>
                <w:rFonts w:ascii="Calibri" w:hAnsi="Calibri" w:cs="Calibri"/>
                <w:b/>
                <w:color w:val="000000"/>
                <w:szCs w:val="14"/>
              </w:rPr>
              <w:t>Positive</w:t>
            </w:r>
          </w:p>
        </w:tc>
        <w:tc>
          <w:tcPr>
            <w:tcW w:w="1491" w:type="dxa"/>
            <w:vAlign w:val="center"/>
          </w:tcPr>
          <w:p w14:paraId="7EFA9F24" w14:textId="77777777" w:rsidR="009F1C07" w:rsidRPr="00EC7A4B" w:rsidRDefault="009F1C07" w:rsidP="0055267D">
            <w:pPr>
              <w:jc w:val="center"/>
              <w:rPr>
                <w:rFonts w:ascii="Calibri" w:hAnsi="Calibri" w:cs="Calibri"/>
                <w:color w:val="000000"/>
                <w:sz w:val="22"/>
                <w:szCs w:val="14"/>
              </w:rPr>
            </w:pPr>
            <w:r w:rsidRPr="00EA357B">
              <w:rPr>
                <w:rFonts w:ascii="Calibri" w:hAnsi="Calibri" w:cs="Calibri"/>
                <w:color w:val="000000"/>
                <w:szCs w:val="14"/>
              </w:rPr>
              <w:t>87</w:t>
            </w:r>
          </w:p>
        </w:tc>
        <w:tc>
          <w:tcPr>
            <w:tcW w:w="1491" w:type="dxa"/>
            <w:vAlign w:val="center"/>
          </w:tcPr>
          <w:p w14:paraId="6FB8116D" w14:textId="77777777" w:rsidR="009F1C07" w:rsidRPr="001C4EB6" w:rsidRDefault="009F1C07" w:rsidP="0055267D">
            <w:pPr>
              <w:jc w:val="center"/>
              <w:rPr>
                <w:rFonts w:ascii="Calibri" w:hAnsi="Calibri" w:cs="Calibri"/>
                <w:color w:val="000000"/>
                <w:sz w:val="22"/>
                <w:szCs w:val="14"/>
              </w:rPr>
            </w:pPr>
            <w:r w:rsidRPr="001C4EB6">
              <w:rPr>
                <w:rFonts w:ascii="Calibri" w:hAnsi="Calibri" w:cs="Calibri"/>
                <w:color w:val="000000"/>
                <w:szCs w:val="14"/>
              </w:rPr>
              <w:t>78</w:t>
            </w:r>
          </w:p>
        </w:tc>
      </w:tr>
      <w:tr w:rsidR="009F1C07" w:rsidRPr="00CB78FF" w14:paraId="76A5E559" w14:textId="77777777" w:rsidTr="0055267D">
        <w:trPr>
          <w:trHeight w:val="335"/>
          <w:jc w:val="center"/>
        </w:trPr>
        <w:tc>
          <w:tcPr>
            <w:tcW w:w="1130" w:type="dxa"/>
            <w:vMerge/>
            <w:vAlign w:val="center"/>
          </w:tcPr>
          <w:p w14:paraId="1702EC92" w14:textId="77777777" w:rsidR="009F1C07" w:rsidRPr="006F48BA" w:rsidRDefault="009F1C07" w:rsidP="0055267D">
            <w:pPr>
              <w:jc w:val="center"/>
              <w:rPr>
                <w:rFonts w:ascii="Calibri" w:hAnsi="Calibri" w:cs="Calibri"/>
                <w:b/>
                <w:color w:val="000000"/>
                <w:sz w:val="22"/>
                <w:szCs w:val="14"/>
              </w:rPr>
            </w:pPr>
          </w:p>
        </w:tc>
        <w:tc>
          <w:tcPr>
            <w:tcW w:w="1225" w:type="dxa"/>
            <w:shd w:val="clear" w:color="auto" w:fill="D9D9D9" w:themeFill="background1" w:themeFillShade="D9"/>
            <w:vAlign w:val="center"/>
          </w:tcPr>
          <w:p w14:paraId="663A6AD0" w14:textId="77777777" w:rsidR="009F1C07" w:rsidRPr="006F48BA" w:rsidRDefault="009F1C07" w:rsidP="0055267D">
            <w:pPr>
              <w:jc w:val="center"/>
              <w:rPr>
                <w:rFonts w:ascii="Calibri" w:hAnsi="Calibri" w:cs="Calibri"/>
                <w:b/>
                <w:color w:val="000000"/>
                <w:sz w:val="22"/>
                <w:szCs w:val="14"/>
              </w:rPr>
            </w:pPr>
            <w:r w:rsidRPr="006F48BA">
              <w:rPr>
                <w:rFonts w:ascii="Calibri" w:hAnsi="Calibri" w:cs="Calibri"/>
                <w:b/>
                <w:color w:val="000000"/>
                <w:szCs w:val="14"/>
              </w:rPr>
              <w:t>Negative</w:t>
            </w:r>
          </w:p>
        </w:tc>
        <w:tc>
          <w:tcPr>
            <w:tcW w:w="1491" w:type="dxa"/>
            <w:vAlign w:val="center"/>
          </w:tcPr>
          <w:p w14:paraId="6A209C3B" w14:textId="77777777" w:rsidR="009F1C07" w:rsidRPr="006F48BA" w:rsidRDefault="009F1C07" w:rsidP="0055267D">
            <w:pPr>
              <w:jc w:val="center"/>
              <w:rPr>
                <w:rFonts w:ascii="Calibri" w:hAnsi="Calibri" w:cs="Calibri"/>
                <w:color w:val="000000"/>
                <w:sz w:val="22"/>
                <w:szCs w:val="22"/>
              </w:rPr>
            </w:pPr>
            <w:r w:rsidRPr="2F205D4F">
              <w:rPr>
                <w:rFonts w:ascii="Calibri" w:hAnsi="Calibri" w:cs="Calibri"/>
                <w:color w:val="000000" w:themeColor="text1"/>
              </w:rPr>
              <w:t>9</w:t>
            </w:r>
          </w:p>
        </w:tc>
        <w:tc>
          <w:tcPr>
            <w:tcW w:w="1491" w:type="dxa"/>
            <w:vAlign w:val="center"/>
          </w:tcPr>
          <w:p w14:paraId="00166824" w14:textId="77777777" w:rsidR="009F1C07" w:rsidRPr="006F48BA" w:rsidRDefault="009F1C07" w:rsidP="0055267D">
            <w:pPr>
              <w:jc w:val="center"/>
              <w:rPr>
                <w:rFonts w:ascii="Calibri" w:hAnsi="Calibri" w:cs="Calibri"/>
                <w:color w:val="000000"/>
                <w:sz w:val="22"/>
                <w:szCs w:val="14"/>
              </w:rPr>
            </w:pPr>
            <w:r w:rsidRPr="006F48BA">
              <w:rPr>
                <w:rFonts w:ascii="Calibri" w:hAnsi="Calibri" w:cs="Calibri"/>
                <w:color w:val="000000"/>
                <w:szCs w:val="14"/>
              </w:rPr>
              <w:t>284</w:t>
            </w:r>
          </w:p>
        </w:tc>
      </w:tr>
    </w:tbl>
    <w:p w14:paraId="555C70FB" w14:textId="77777777" w:rsidR="009F1C07" w:rsidRDefault="009F1C07" w:rsidP="009F1C07">
      <w:pPr>
        <w:pStyle w:val="Heading3"/>
        <w:numPr>
          <w:ilvl w:val="0"/>
          <w:numId w:val="2"/>
        </w:numPr>
        <w:spacing w:line="360" w:lineRule="auto"/>
      </w:pPr>
      <w:r>
        <w:t>Additional Statistical analysis</w:t>
      </w:r>
    </w:p>
    <w:p w14:paraId="56673927" w14:textId="77777777" w:rsidR="009F1C07" w:rsidRDefault="009F1C07" w:rsidP="009F1C07">
      <w:pPr>
        <w:pStyle w:val="Heading3"/>
        <w:numPr>
          <w:ilvl w:val="1"/>
          <w:numId w:val="2"/>
        </w:numPr>
        <w:spacing w:line="480" w:lineRule="auto"/>
      </w:pPr>
      <w:r>
        <w:t>Systolic blood pressure</w:t>
      </w:r>
    </w:p>
    <w:p w14:paraId="5108838E" w14:textId="603041AA" w:rsidR="009F1C07" w:rsidRDefault="009F1C07" w:rsidP="009F1C07">
      <w:pPr>
        <w:spacing w:line="480" w:lineRule="auto"/>
        <w:jc w:val="both"/>
      </w:pPr>
      <w:r>
        <w:t>Systolic blood pressures were compared between FP and TN calls within non-PE-diagnosed subjects, and between FN and TP calls within PE-diagnosed subjects (</w:t>
      </w:r>
      <w:r w:rsidR="002961B5">
        <w:t xml:space="preserve">Supplementary </w:t>
      </w:r>
      <w:r w:rsidR="00C26C3A">
        <w:t xml:space="preserve">Figure 4) </w:t>
      </w:r>
      <w:r>
        <w:t xml:space="preserve">PE-diagnosed subjects had higher blood pressure than non-PE diagnosed subjects overall </w:t>
      </w:r>
      <w:r w:rsidR="00C26C3A">
        <w:t>(</w:t>
      </w:r>
      <w:r w:rsidR="002961B5">
        <w:t xml:space="preserve">Supplementary </w:t>
      </w:r>
      <w:r w:rsidR="00C26C3A">
        <w:t>Figure 4)</w:t>
      </w:r>
      <w:r>
        <w:t xml:space="preserve"> but FP subjects within non-PE-diagnosed subjects had significantly higher blood pressure than TN (</w:t>
      </w:r>
      <w:r w:rsidR="002961B5">
        <w:t xml:space="preserve">Supplementary </w:t>
      </w:r>
      <w:r w:rsidR="00104004">
        <w:t xml:space="preserve">Figure 4; </w:t>
      </w:r>
      <w:r>
        <w:t>p &lt; 0.0001, t-test). Conversely, FN were not significantly different than TP in PE-diagnosed subjects (</w:t>
      </w:r>
      <w:r w:rsidR="002961B5">
        <w:t xml:space="preserve">Supplementary </w:t>
      </w:r>
      <w:r w:rsidR="00104004">
        <w:t xml:space="preserve">Figure 4; </w:t>
      </w:r>
      <w:r>
        <w:t>p = 0.318, t-test).</w:t>
      </w:r>
    </w:p>
    <w:p w14:paraId="4EABB820" w14:textId="77777777" w:rsidR="009F1C07" w:rsidRDefault="009F1C07" w:rsidP="009F1C07">
      <w:pPr>
        <w:keepNext/>
        <w:jc w:val="center"/>
      </w:pPr>
      <w:r>
        <w:rPr>
          <w:noProof/>
        </w:rPr>
        <w:drawing>
          <wp:inline distT="0" distB="0" distL="0" distR="0" wp14:anchorId="7FFD8A03" wp14:editId="3CA48DE0">
            <wp:extent cx="3040083" cy="3040083"/>
            <wp:effectExtent l="0" t="0" r="8255" b="825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7965" cy="3047965"/>
                    </a:xfrm>
                    <a:prstGeom prst="rect">
                      <a:avLst/>
                    </a:prstGeom>
                    <a:noFill/>
                    <a:ln>
                      <a:noFill/>
                    </a:ln>
                  </pic:spPr>
                </pic:pic>
              </a:graphicData>
            </a:graphic>
          </wp:inline>
        </w:drawing>
      </w:r>
    </w:p>
    <w:p w14:paraId="2CC37FCA" w14:textId="5ECA9BFA" w:rsidR="009F1C07" w:rsidRPr="008B2B72" w:rsidRDefault="00E030C9" w:rsidP="009F1C07">
      <w:pPr>
        <w:pStyle w:val="Caption"/>
        <w:rPr>
          <w:color w:val="auto"/>
        </w:rPr>
      </w:pPr>
      <w:r w:rsidRPr="008B2B72">
        <w:rPr>
          <w:color w:val="auto"/>
        </w:rPr>
        <w:t>Supplementary f</w:t>
      </w:r>
      <w:r w:rsidR="009F1C07" w:rsidRPr="008B2B72">
        <w:rPr>
          <w:color w:val="auto"/>
        </w:rPr>
        <w:t>igure 4. Comparison of systolic blood pressure by preeclampsia Classification result</w:t>
      </w:r>
    </w:p>
    <w:p w14:paraId="630A2BE4" w14:textId="77777777" w:rsidR="009F1C07" w:rsidRDefault="009F1C07" w:rsidP="009F1C07">
      <w:pPr>
        <w:pStyle w:val="Heading3"/>
        <w:numPr>
          <w:ilvl w:val="1"/>
          <w:numId w:val="2"/>
        </w:numPr>
        <w:spacing w:line="480" w:lineRule="auto"/>
      </w:pPr>
      <w:r>
        <w:lastRenderedPageBreak/>
        <w:t>Diastolic blood pressure</w:t>
      </w:r>
    </w:p>
    <w:p w14:paraId="1842BCEC" w14:textId="0907B409" w:rsidR="009F1C07" w:rsidRDefault="009F1C07" w:rsidP="009F1C07">
      <w:pPr>
        <w:spacing w:line="480" w:lineRule="auto"/>
        <w:jc w:val="both"/>
      </w:pPr>
      <w:r>
        <w:t>Diastolic blood pressures were compared between FP and TN calls within non-PE-diagnosed subjects, and between FN and TP calls within PE-diagnosed subjects (</w:t>
      </w:r>
      <w:r w:rsidR="0088037A">
        <w:t xml:space="preserve">Supplementary </w:t>
      </w:r>
      <w:r w:rsidR="003B1FDA">
        <w:t xml:space="preserve">Figure 5). </w:t>
      </w:r>
      <w:r>
        <w:t>PE-diagnosed subjects had higher blood pressure than non-PE diagnosed subjects overall</w:t>
      </w:r>
      <w:r w:rsidR="003B1FDA">
        <w:t xml:space="preserve"> (</w:t>
      </w:r>
      <w:r w:rsidR="0088037A">
        <w:t xml:space="preserve">Supplementary </w:t>
      </w:r>
      <w:r w:rsidR="003B1FDA">
        <w:t xml:space="preserve">Figure 5) </w:t>
      </w:r>
      <w:r>
        <w:t>but FP subjects within non-PE-diagnosed subjects had significantly higher blood pressure than TN (</w:t>
      </w:r>
      <w:r w:rsidR="0088037A">
        <w:t xml:space="preserve">Supplementary </w:t>
      </w:r>
      <w:r w:rsidR="003B1FDA">
        <w:t>Figure 5</w:t>
      </w:r>
      <w:r>
        <w:t>; p &lt; 0.0001, t-test). Conversely, FN were not significantly different than TP in PE-diagnosed subjects (</w:t>
      </w:r>
      <w:r w:rsidR="0088037A">
        <w:t xml:space="preserve">Supplementary </w:t>
      </w:r>
      <w:r w:rsidR="473F0197">
        <w:t xml:space="preserve">Figure 5; </w:t>
      </w:r>
      <w:r>
        <w:t>p = 0.346, t-test).</w:t>
      </w:r>
    </w:p>
    <w:p w14:paraId="53565D36" w14:textId="77777777" w:rsidR="009F1C07" w:rsidRDefault="009F1C07" w:rsidP="009F1C07">
      <w:pPr>
        <w:pStyle w:val="Heading3"/>
        <w:spacing w:line="360" w:lineRule="auto"/>
        <w:ind w:left="792"/>
        <w:jc w:val="center"/>
      </w:pPr>
      <w:r>
        <w:rPr>
          <w:noProof/>
        </w:rPr>
        <w:drawing>
          <wp:inline distT="0" distB="0" distL="0" distR="0" wp14:anchorId="0FE39CB9" wp14:editId="2A003096">
            <wp:extent cx="2695575" cy="269557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05570" cy="2705570"/>
                    </a:xfrm>
                    <a:prstGeom prst="rect">
                      <a:avLst/>
                    </a:prstGeom>
                    <a:noFill/>
                    <a:ln>
                      <a:noFill/>
                    </a:ln>
                  </pic:spPr>
                </pic:pic>
              </a:graphicData>
            </a:graphic>
          </wp:inline>
        </w:drawing>
      </w:r>
    </w:p>
    <w:p w14:paraId="3342B24A" w14:textId="360269E7" w:rsidR="009F1C07" w:rsidRPr="008B2B72" w:rsidRDefault="00E030C9" w:rsidP="009F1C07">
      <w:pPr>
        <w:pStyle w:val="Caption"/>
        <w:rPr>
          <w:color w:val="auto"/>
        </w:rPr>
      </w:pPr>
      <w:r w:rsidRPr="008B2B72">
        <w:rPr>
          <w:color w:val="auto"/>
        </w:rPr>
        <w:t>Supplementary f</w:t>
      </w:r>
      <w:r w:rsidR="009F1C07" w:rsidRPr="008B2B72">
        <w:rPr>
          <w:color w:val="auto"/>
        </w:rPr>
        <w:t>igure 5. Comparison of diastolic blood pressure by preeclampsia Classification result</w:t>
      </w:r>
    </w:p>
    <w:p w14:paraId="20BE9A46" w14:textId="77777777" w:rsidR="009F1C07" w:rsidRPr="00FE4506" w:rsidRDefault="009F1C07" w:rsidP="009F1C07">
      <w:pPr>
        <w:pStyle w:val="Heading3"/>
        <w:numPr>
          <w:ilvl w:val="1"/>
          <w:numId w:val="2"/>
        </w:numPr>
        <w:spacing w:before="0" w:line="480" w:lineRule="auto"/>
      </w:pPr>
      <w:r>
        <w:t>BMI</w:t>
      </w:r>
    </w:p>
    <w:p w14:paraId="4B313DA8" w14:textId="2563311A" w:rsidR="009F1C07" w:rsidRDefault="009F1C07" w:rsidP="009F1C07">
      <w:pPr>
        <w:spacing w:line="480" w:lineRule="auto"/>
        <w:jc w:val="both"/>
      </w:pPr>
      <w:r>
        <w:t>Across the three studies, 454 out of 458 subjects had height and weight data recorded. A comparison of Body Mass Index (BMI) by preeclampsia caller algorithm result showed that BMI was not significantly different among FP, TN, FN, or TP results (</w:t>
      </w:r>
      <w:r w:rsidR="008D562B">
        <w:t xml:space="preserve">Supplementary </w:t>
      </w:r>
      <w:r>
        <w:t>Figure 6; p = 0.796, ANOVA).</w:t>
      </w:r>
    </w:p>
    <w:p w14:paraId="3B1721C9" w14:textId="77777777" w:rsidR="009F1C07" w:rsidRDefault="009F1C07" w:rsidP="009F1C07">
      <w:pPr>
        <w:keepNext/>
        <w:jc w:val="center"/>
      </w:pPr>
      <w:r>
        <w:rPr>
          <w:noProof/>
        </w:rPr>
        <w:lastRenderedPageBreak/>
        <w:drawing>
          <wp:inline distT="0" distB="0" distL="0" distR="0" wp14:anchorId="6454B9FD" wp14:editId="21701466">
            <wp:extent cx="3029447" cy="2524539"/>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5">
                      <a:extLst>
                        <a:ext uri="{28A0092B-C50C-407E-A947-70E740481C1C}">
                          <a14:useLocalDpi xmlns:a14="http://schemas.microsoft.com/office/drawing/2010/main" val="0"/>
                        </a:ext>
                      </a:extLst>
                    </a:blip>
                    <a:stretch>
                      <a:fillRect/>
                    </a:stretch>
                  </pic:blipFill>
                  <pic:spPr>
                    <a:xfrm>
                      <a:off x="0" y="0"/>
                      <a:ext cx="3029447" cy="2524539"/>
                    </a:xfrm>
                    <a:prstGeom prst="rect">
                      <a:avLst/>
                    </a:prstGeom>
                  </pic:spPr>
                </pic:pic>
              </a:graphicData>
            </a:graphic>
          </wp:inline>
        </w:drawing>
      </w:r>
    </w:p>
    <w:p w14:paraId="0177E800" w14:textId="7DF15E7C" w:rsidR="009F1C07" w:rsidRPr="008B2B72" w:rsidRDefault="00E030C9" w:rsidP="0037725E">
      <w:pPr>
        <w:pStyle w:val="Caption"/>
        <w:rPr>
          <w:color w:val="auto"/>
        </w:rPr>
      </w:pPr>
      <w:r w:rsidRPr="008B2B72">
        <w:rPr>
          <w:color w:val="auto"/>
        </w:rPr>
        <w:t>Supplementary f</w:t>
      </w:r>
      <w:r w:rsidR="009F1C07" w:rsidRPr="008B2B72">
        <w:rPr>
          <w:color w:val="auto"/>
        </w:rPr>
        <w:t>igure 6. Comparison of BMI by preeclampsia caller result</w:t>
      </w:r>
    </w:p>
    <w:p w14:paraId="700C0284" w14:textId="77777777" w:rsidR="009F1C07" w:rsidRDefault="009F1C07" w:rsidP="009F1C07">
      <w:pPr>
        <w:pStyle w:val="Heading2"/>
        <w:numPr>
          <w:ilvl w:val="0"/>
          <w:numId w:val="2"/>
        </w:numPr>
        <w:spacing w:line="360" w:lineRule="auto"/>
      </w:pPr>
      <w:r>
        <w:t>Locking the Algorithm</w:t>
      </w:r>
    </w:p>
    <w:p w14:paraId="17C97CD7" w14:textId="77777777" w:rsidR="009F1C07" w:rsidRPr="003C56FC" w:rsidRDefault="009F1C07" w:rsidP="009F1C07"/>
    <w:p w14:paraId="27C6FEED" w14:textId="5460A571" w:rsidR="009F1C07" w:rsidRDefault="009F1C07" w:rsidP="009F1C07">
      <w:pPr>
        <w:keepNext/>
        <w:spacing w:line="480" w:lineRule="auto"/>
        <w:jc w:val="both"/>
      </w:pPr>
      <w:r>
        <w:t>To lock the design of the algorithm for future verification using an independent cohort, all training sets (eight biomarkers and GA; n = 892; Supplement</w:t>
      </w:r>
      <w:r w:rsidR="00F64E34">
        <w:t>ary</w:t>
      </w:r>
      <w:r>
        <w:t xml:space="preserve"> Table 1) were combined, transformed, </w:t>
      </w:r>
      <w:proofErr w:type="gramStart"/>
      <w:r>
        <w:t>standardized</w:t>
      </w:r>
      <w:proofErr w:type="gramEnd"/>
      <w:r>
        <w:t xml:space="preserve"> and fit to a single logistic regression model with a single classification threshold that was derived during the cross-validation. The naïve performance of the algorithm is shown in the </w:t>
      </w:r>
      <w:r w:rsidR="00F64E34">
        <w:t>S</w:t>
      </w:r>
      <w:r>
        <w:t xml:space="preserve">upplementary Table 8. The flowchart of the locked preeclampsia classification algorithm is shown in </w:t>
      </w:r>
      <w:r w:rsidR="008D562B">
        <w:t xml:space="preserve">Supplementary </w:t>
      </w:r>
      <w:r>
        <w:t xml:space="preserve">Figure 7. </w:t>
      </w:r>
    </w:p>
    <w:p w14:paraId="182E9421" w14:textId="77777777" w:rsidR="009F1C07" w:rsidRDefault="009F1C07" w:rsidP="009F1C07">
      <w:pPr>
        <w:keepNext/>
        <w:spacing w:line="360" w:lineRule="auto"/>
        <w:jc w:val="both"/>
      </w:pPr>
      <w:r>
        <w:rPr>
          <w:noProof/>
        </w:rPr>
        <w:drawing>
          <wp:inline distT="0" distB="0" distL="0" distR="0" wp14:anchorId="63CB5FB3" wp14:editId="0C233D48">
            <wp:extent cx="5943600" cy="105854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6">
                      <a:extLst>
                        <a:ext uri="{28A0092B-C50C-407E-A947-70E740481C1C}">
                          <a14:useLocalDpi xmlns:a14="http://schemas.microsoft.com/office/drawing/2010/main" val="0"/>
                        </a:ext>
                      </a:extLst>
                    </a:blip>
                    <a:stretch>
                      <a:fillRect/>
                    </a:stretch>
                  </pic:blipFill>
                  <pic:spPr>
                    <a:xfrm>
                      <a:off x="0" y="0"/>
                      <a:ext cx="5943600" cy="1058545"/>
                    </a:xfrm>
                    <a:prstGeom prst="rect">
                      <a:avLst/>
                    </a:prstGeom>
                  </pic:spPr>
                </pic:pic>
              </a:graphicData>
            </a:graphic>
          </wp:inline>
        </w:drawing>
      </w:r>
    </w:p>
    <w:p w14:paraId="4DF57B26" w14:textId="47FBE08E" w:rsidR="009F1C07" w:rsidRPr="008B2B72" w:rsidRDefault="00FD13EF" w:rsidP="0037725E">
      <w:pPr>
        <w:pStyle w:val="Caption"/>
        <w:rPr>
          <w:color w:val="auto"/>
        </w:rPr>
      </w:pPr>
      <w:bookmarkStart w:id="1" w:name="_Ref81218865"/>
      <w:r w:rsidRPr="008B2B72">
        <w:rPr>
          <w:color w:val="auto"/>
        </w:rPr>
        <w:t>Supplementary f</w:t>
      </w:r>
      <w:r w:rsidR="009F1C07" w:rsidRPr="008B2B72">
        <w:rPr>
          <w:color w:val="auto"/>
        </w:rPr>
        <w:t xml:space="preserve">igure </w:t>
      </w:r>
      <w:bookmarkEnd w:id="1"/>
      <w:r w:rsidR="009F1C07" w:rsidRPr="008B2B72">
        <w:rPr>
          <w:color w:val="auto"/>
        </w:rPr>
        <w:t>7. FLOW CHART OF THE ALGORITHM FOR PREECLAMPSIA BINARY CLASSIFICATION</w:t>
      </w:r>
    </w:p>
    <w:p w14:paraId="5D822D61" w14:textId="77777777" w:rsidR="009F1C07" w:rsidRPr="00E56B27" w:rsidDel="00FD2DDC" w:rsidRDefault="009F1C07" w:rsidP="009F1C07"/>
    <w:p w14:paraId="7CD3EC87" w14:textId="77777777" w:rsidR="008B2B72" w:rsidRDefault="008B2B72" w:rsidP="009F1C07">
      <w:pPr>
        <w:pStyle w:val="Caption"/>
      </w:pPr>
      <w:bookmarkStart w:id="2" w:name="_Ref87438447"/>
    </w:p>
    <w:p w14:paraId="26BC49C8" w14:textId="77777777" w:rsidR="008B2B72" w:rsidRDefault="008B2B72" w:rsidP="009F1C07">
      <w:pPr>
        <w:pStyle w:val="Caption"/>
      </w:pPr>
    </w:p>
    <w:p w14:paraId="293F4268" w14:textId="77777777" w:rsidR="008B2B72" w:rsidRDefault="008B2B72" w:rsidP="009F1C07">
      <w:pPr>
        <w:pStyle w:val="Caption"/>
      </w:pPr>
    </w:p>
    <w:p w14:paraId="6613D480" w14:textId="52A18CD3" w:rsidR="009F1C07" w:rsidRPr="008B2B72" w:rsidRDefault="00611F85" w:rsidP="009F1C07">
      <w:pPr>
        <w:pStyle w:val="Caption"/>
        <w:rPr>
          <w:color w:val="auto"/>
        </w:rPr>
      </w:pPr>
      <w:r>
        <w:rPr>
          <w:color w:val="auto"/>
        </w:rPr>
        <w:lastRenderedPageBreak/>
        <w:t>Su</w:t>
      </w:r>
      <w:r w:rsidR="0072347B">
        <w:rPr>
          <w:color w:val="auto"/>
        </w:rPr>
        <w:t xml:space="preserve">pplementary </w:t>
      </w:r>
      <w:r w:rsidR="009F1C07" w:rsidRPr="008B2B72">
        <w:rPr>
          <w:color w:val="auto"/>
        </w:rPr>
        <w:t>Table 8</w:t>
      </w:r>
      <w:bookmarkEnd w:id="2"/>
      <w:r w:rsidR="009F1C07" w:rsidRPr="008B2B72">
        <w:rPr>
          <w:color w:val="auto"/>
        </w:rPr>
        <w:t xml:space="preserve">. Naïve Performance of Model E on the test data </w:t>
      </w:r>
    </w:p>
    <w:tbl>
      <w:tblPr>
        <w:tblW w:w="8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1285"/>
        <w:gridCol w:w="1285"/>
        <w:gridCol w:w="1270"/>
        <w:gridCol w:w="1255"/>
        <w:gridCol w:w="1255"/>
        <w:gridCol w:w="1260"/>
      </w:tblGrid>
      <w:tr w:rsidR="009F1C07" w:rsidRPr="00E56B27" w14:paraId="1C686EF8" w14:textId="77777777" w:rsidTr="0055267D">
        <w:trPr>
          <w:trHeight w:val="300"/>
          <w:jc w:val="center"/>
        </w:trPr>
        <w:tc>
          <w:tcPr>
            <w:tcW w:w="600" w:type="dxa"/>
            <w:shd w:val="clear" w:color="auto" w:fill="D9D9D9" w:themeFill="background1" w:themeFillShade="D9"/>
            <w:noWrap/>
            <w:vAlign w:val="center"/>
            <w:hideMark/>
          </w:tcPr>
          <w:p w14:paraId="21CC32C8"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N</w:t>
            </w:r>
          </w:p>
        </w:tc>
        <w:tc>
          <w:tcPr>
            <w:tcW w:w="1285" w:type="dxa"/>
            <w:shd w:val="clear" w:color="auto" w:fill="D9D9D9" w:themeFill="background1" w:themeFillShade="D9"/>
            <w:vAlign w:val="center"/>
          </w:tcPr>
          <w:p w14:paraId="31C4D4EF" w14:textId="77777777" w:rsidR="009F1C07" w:rsidRPr="00E56B27" w:rsidRDefault="009F1C07" w:rsidP="0055267D">
            <w:pPr>
              <w:spacing w:after="0" w:line="240" w:lineRule="auto"/>
              <w:jc w:val="center"/>
              <w:rPr>
                <w:rFonts w:ascii="Calibri" w:eastAsia="Times New Roman" w:hAnsi="Calibri" w:cs="Calibri"/>
                <w:b/>
                <w:bCs/>
                <w:color w:val="000000"/>
              </w:rPr>
            </w:pPr>
            <w:r w:rsidRPr="113AACAF">
              <w:rPr>
                <w:rFonts w:ascii="Calibri" w:eastAsia="Times New Roman" w:hAnsi="Calibri" w:cs="Calibri"/>
                <w:b/>
                <w:bCs/>
                <w:color w:val="000000" w:themeColor="text1"/>
              </w:rPr>
              <w:t>Prevalence</w:t>
            </w:r>
          </w:p>
        </w:tc>
        <w:tc>
          <w:tcPr>
            <w:tcW w:w="1285" w:type="dxa"/>
            <w:shd w:val="clear" w:color="auto" w:fill="D9D9D9" w:themeFill="background1" w:themeFillShade="D9"/>
            <w:noWrap/>
            <w:vAlign w:val="center"/>
            <w:hideMark/>
          </w:tcPr>
          <w:p w14:paraId="6729AA17"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AU</w:t>
            </w:r>
            <w:r>
              <w:rPr>
                <w:rFonts w:ascii="Calibri" w:eastAsia="Times New Roman" w:hAnsi="Calibri" w:cs="Calibri"/>
                <w:b/>
                <w:bCs/>
                <w:color w:val="000000"/>
              </w:rPr>
              <w:t>RO</w:t>
            </w:r>
            <w:r w:rsidRPr="00E56B27">
              <w:rPr>
                <w:rFonts w:ascii="Calibri" w:eastAsia="Times New Roman" w:hAnsi="Calibri" w:cs="Calibri"/>
                <w:b/>
                <w:bCs/>
                <w:color w:val="000000"/>
              </w:rPr>
              <w:t>C (%)</w:t>
            </w:r>
          </w:p>
        </w:tc>
        <w:tc>
          <w:tcPr>
            <w:tcW w:w="1270" w:type="dxa"/>
            <w:shd w:val="clear" w:color="auto" w:fill="D9D9D9" w:themeFill="background1" w:themeFillShade="D9"/>
            <w:noWrap/>
            <w:vAlign w:val="center"/>
            <w:hideMark/>
          </w:tcPr>
          <w:p w14:paraId="446F2952"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Sensitivity (%)</w:t>
            </w:r>
          </w:p>
        </w:tc>
        <w:tc>
          <w:tcPr>
            <w:tcW w:w="1255" w:type="dxa"/>
            <w:shd w:val="clear" w:color="auto" w:fill="D9D9D9" w:themeFill="background1" w:themeFillShade="D9"/>
            <w:noWrap/>
            <w:vAlign w:val="center"/>
            <w:hideMark/>
          </w:tcPr>
          <w:p w14:paraId="7790F704"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Specificity (%)</w:t>
            </w:r>
          </w:p>
        </w:tc>
        <w:tc>
          <w:tcPr>
            <w:tcW w:w="1255" w:type="dxa"/>
            <w:shd w:val="clear" w:color="auto" w:fill="D9D9D9" w:themeFill="background1" w:themeFillShade="D9"/>
            <w:noWrap/>
            <w:vAlign w:val="center"/>
            <w:hideMark/>
          </w:tcPr>
          <w:p w14:paraId="0F61588E"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NPV</w:t>
            </w:r>
            <w:r>
              <w:rPr>
                <w:rFonts w:ascii="Calibri" w:eastAsia="Times New Roman" w:hAnsi="Calibri" w:cs="Calibri"/>
                <w:b/>
                <w:bCs/>
                <w:color w:val="000000"/>
              </w:rPr>
              <w:br/>
            </w:r>
            <w:r w:rsidRPr="00E56B27">
              <w:rPr>
                <w:rFonts w:ascii="Calibri" w:eastAsia="Times New Roman" w:hAnsi="Calibri" w:cs="Calibri"/>
                <w:b/>
                <w:bCs/>
                <w:color w:val="000000"/>
              </w:rPr>
              <w:t>(%)</w:t>
            </w:r>
          </w:p>
        </w:tc>
        <w:tc>
          <w:tcPr>
            <w:tcW w:w="1260" w:type="dxa"/>
            <w:shd w:val="clear" w:color="auto" w:fill="D9D9D9" w:themeFill="background1" w:themeFillShade="D9"/>
            <w:noWrap/>
            <w:vAlign w:val="center"/>
            <w:hideMark/>
          </w:tcPr>
          <w:p w14:paraId="248EFC0E" w14:textId="77777777" w:rsidR="009F1C07" w:rsidRPr="00E56B27" w:rsidRDefault="009F1C07" w:rsidP="0055267D">
            <w:pPr>
              <w:spacing w:after="0" w:line="240" w:lineRule="auto"/>
              <w:jc w:val="center"/>
              <w:rPr>
                <w:rFonts w:ascii="Calibri" w:eastAsia="Times New Roman" w:hAnsi="Calibri" w:cs="Calibri"/>
                <w:b/>
                <w:bCs/>
                <w:color w:val="000000"/>
              </w:rPr>
            </w:pPr>
            <w:r w:rsidRPr="00E56B27">
              <w:rPr>
                <w:rFonts w:ascii="Calibri" w:eastAsia="Times New Roman" w:hAnsi="Calibri" w:cs="Calibri"/>
                <w:b/>
                <w:bCs/>
                <w:color w:val="000000"/>
              </w:rPr>
              <w:t>PPV</w:t>
            </w:r>
            <w:r>
              <w:rPr>
                <w:rFonts w:ascii="Calibri" w:eastAsia="Times New Roman" w:hAnsi="Calibri" w:cs="Calibri"/>
                <w:b/>
                <w:bCs/>
                <w:color w:val="000000"/>
              </w:rPr>
              <w:br/>
            </w:r>
            <w:r w:rsidRPr="00E56B27">
              <w:rPr>
                <w:rFonts w:ascii="Calibri" w:eastAsia="Times New Roman" w:hAnsi="Calibri" w:cs="Calibri"/>
                <w:b/>
                <w:bCs/>
                <w:color w:val="000000"/>
              </w:rPr>
              <w:t>(%)</w:t>
            </w:r>
          </w:p>
        </w:tc>
      </w:tr>
      <w:tr w:rsidR="009F1C07" w:rsidRPr="00E56B27" w14:paraId="436558F9" w14:textId="77777777" w:rsidTr="0055267D">
        <w:trPr>
          <w:trHeight w:val="300"/>
          <w:jc w:val="center"/>
        </w:trPr>
        <w:tc>
          <w:tcPr>
            <w:tcW w:w="600" w:type="dxa"/>
            <w:shd w:val="clear" w:color="auto" w:fill="auto"/>
            <w:noWrap/>
            <w:vAlign w:val="center"/>
            <w:hideMark/>
          </w:tcPr>
          <w:p w14:paraId="6D75D750"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458</w:t>
            </w:r>
          </w:p>
        </w:tc>
        <w:tc>
          <w:tcPr>
            <w:tcW w:w="1285" w:type="dxa"/>
            <w:vAlign w:val="center"/>
          </w:tcPr>
          <w:p w14:paraId="5CD2133E" w14:textId="77777777" w:rsidR="009F1C07" w:rsidRPr="00E56B27" w:rsidRDefault="009F1C07" w:rsidP="0055267D">
            <w:pPr>
              <w:spacing w:after="0" w:line="240" w:lineRule="auto"/>
              <w:jc w:val="center"/>
              <w:rPr>
                <w:rFonts w:ascii="Calibri" w:eastAsia="Times New Roman" w:hAnsi="Calibri" w:cs="Calibri"/>
                <w:color w:val="000000"/>
              </w:rPr>
            </w:pPr>
            <w:r w:rsidRPr="113AACAF">
              <w:rPr>
                <w:rFonts w:ascii="Calibri" w:eastAsia="Times New Roman" w:hAnsi="Calibri" w:cs="Calibri"/>
                <w:color w:val="000000" w:themeColor="text1"/>
              </w:rPr>
              <w:t>21%</w:t>
            </w:r>
          </w:p>
        </w:tc>
        <w:tc>
          <w:tcPr>
            <w:tcW w:w="1285" w:type="dxa"/>
            <w:shd w:val="clear" w:color="auto" w:fill="auto"/>
            <w:noWrap/>
            <w:vAlign w:val="center"/>
            <w:hideMark/>
          </w:tcPr>
          <w:p w14:paraId="0239230B"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93.</w:t>
            </w:r>
            <w:r>
              <w:rPr>
                <w:rFonts w:ascii="Calibri" w:eastAsia="Times New Roman" w:hAnsi="Calibri" w:cs="Calibri"/>
                <w:color w:val="000000"/>
              </w:rPr>
              <w:t>6</w:t>
            </w:r>
            <w:r w:rsidRPr="00E56B27">
              <w:rPr>
                <w:rFonts w:ascii="Calibri" w:eastAsia="Times New Roman" w:hAnsi="Calibri" w:cs="Calibri"/>
                <w:color w:val="000000"/>
              </w:rPr>
              <w:t xml:space="preserve"> </w:t>
            </w:r>
            <w:r w:rsidRPr="00E56B27">
              <w:rPr>
                <w:rFonts w:ascii="Calibri" w:eastAsia="Times New Roman" w:hAnsi="Calibri" w:cs="Calibri"/>
                <w:color w:val="000000"/>
              </w:rPr>
              <w:br/>
            </w:r>
          </w:p>
        </w:tc>
        <w:tc>
          <w:tcPr>
            <w:tcW w:w="1270" w:type="dxa"/>
            <w:shd w:val="clear" w:color="auto" w:fill="auto"/>
            <w:noWrap/>
            <w:vAlign w:val="center"/>
            <w:hideMark/>
          </w:tcPr>
          <w:p w14:paraId="65021797"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 xml:space="preserve">90.6 </w:t>
            </w:r>
            <w:r w:rsidRPr="00E56B27">
              <w:rPr>
                <w:rFonts w:ascii="Calibri" w:eastAsia="Times New Roman" w:hAnsi="Calibri" w:cs="Calibri"/>
                <w:color w:val="000000"/>
              </w:rPr>
              <w:br/>
              <w:t>[83.1-95.0]</w:t>
            </w:r>
          </w:p>
        </w:tc>
        <w:tc>
          <w:tcPr>
            <w:tcW w:w="1255" w:type="dxa"/>
            <w:shd w:val="clear" w:color="auto" w:fill="auto"/>
            <w:noWrap/>
            <w:vAlign w:val="center"/>
            <w:hideMark/>
          </w:tcPr>
          <w:p w14:paraId="1C4FD759"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78.</w:t>
            </w:r>
            <w:r>
              <w:rPr>
                <w:rFonts w:ascii="Calibri" w:eastAsia="Times New Roman" w:hAnsi="Calibri" w:cs="Calibri"/>
                <w:color w:val="000000"/>
              </w:rPr>
              <w:t>5</w:t>
            </w:r>
            <w:r w:rsidRPr="00E56B27">
              <w:rPr>
                <w:rFonts w:ascii="Calibri" w:eastAsia="Times New Roman" w:hAnsi="Calibri" w:cs="Calibri"/>
                <w:color w:val="000000"/>
              </w:rPr>
              <w:t xml:space="preserve"> </w:t>
            </w:r>
            <w:r w:rsidRPr="00E56B27">
              <w:rPr>
                <w:rFonts w:ascii="Calibri" w:eastAsia="Times New Roman" w:hAnsi="Calibri" w:cs="Calibri"/>
                <w:color w:val="000000"/>
              </w:rPr>
              <w:br/>
              <w:t>[73.9-82.4]</w:t>
            </w:r>
          </w:p>
        </w:tc>
        <w:tc>
          <w:tcPr>
            <w:tcW w:w="1255" w:type="dxa"/>
            <w:shd w:val="clear" w:color="auto" w:fill="auto"/>
            <w:noWrap/>
            <w:vAlign w:val="center"/>
            <w:hideMark/>
          </w:tcPr>
          <w:p w14:paraId="3E05337F"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 xml:space="preserve">96.9 </w:t>
            </w:r>
            <w:r w:rsidRPr="00E56B27">
              <w:rPr>
                <w:rFonts w:ascii="Calibri" w:eastAsia="Times New Roman" w:hAnsi="Calibri" w:cs="Calibri"/>
                <w:color w:val="000000"/>
              </w:rPr>
              <w:br/>
              <w:t>[94.3-98.4]</w:t>
            </w:r>
          </w:p>
        </w:tc>
        <w:tc>
          <w:tcPr>
            <w:tcW w:w="1260" w:type="dxa"/>
            <w:shd w:val="clear" w:color="auto" w:fill="auto"/>
            <w:noWrap/>
            <w:vAlign w:val="center"/>
            <w:hideMark/>
          </w:tcPr>
          <w:p w14:paraId="68955185" w14:textId="77777777" w:rsidR="009F1C07" w:rsidRPr="00E56B27" w:rsidRDefault="009F1C07" w:rsidP="0055267D">
            <w:pPr>
              <w:spacing w:after="0" w:line="240" w:lineRule="auto"/>
              <w:jc w:val="center"/>
              <w:rPr>
                <w:rFonts w:ascii="Calibri" w:eastAsia="Times New Roman" w:hAnsi="Calibri" w:cs="Calibri"/>
                <w:color w:val="000000"/>
              </w:rPr>
            </w:pPr>
            <w:r w:rsidRPr="00E56B27">
              <w:rPr>
                <w:rFonts w:ascii="Calibri" w:eastAsia="Times New Roman" w:hAnsi="Calibri" w:cs="Calibri"/>
                <w:color w:val="000000"/>
              </w:rPr>
              <w:t xml:space="preserve">52.7 </w:t>
            </w:r>
            <w:r w:rsidRPr="00E56B27">
              <w:rPr>
                <w:rFonts w:ascii="Calibri" w:eastAsia="Times New Roman" w:hAnsi="Calibri" w:cs="Calibri"/>
                <w:color w:val="000000"/>
              </w:rPr>
              <w:br/>
              <w:t>[45.1-60.2]</w:t>
            </w:r>
          </w:p>
        </w:tc>
      </w:tr>
    </w:tbl>
    <w:p w14:paraId="2B56DA0E" w14:textId="77777777" w:rsidR="00F15056" w:rsidRDefault="00F15056" w:rsidP="06EFE3F8">
      <w:pPr>
        <w:rPr>
          <w:rFonts w:ascii="Calibri" w:hAnsi="Calibri"/>
        </w:rPr>
        <w:sectPr w:rsidR="00F15056" w:rsidSect="007448D2">
          <w:footerReference w:type="default" r:id="rId17"/>
          <w:pgSz w:w="12240" w:h="15840"/>
          <w:pgMar w:top="1440" w:right="1440" w:bottom="1440" w:left="1440" w:header="720" w:footer="720" w:gutter="0"/>
          <w:lnNumType w:countBy="1" w:restart="continuous"/>
          <w:cols w:space="720"/>
          <w:docGrid w:linePitch="360"/>
        </w:sectPr>
      </w:pPr>
    </w:p>
    <w:p w14:paraId="37A9EEBC" w14:textId="33ADBDCB" w:rsidR="009F1C07" w:rsidRDefault="0037725E" w:rsidP="009F1C07">
      <w:pPr>
        <w:pStyle w:val="ListParagraph"/>
        <w:numPr>
          <w:ilvl w:val="0"/>
          <w:numId w:val="2"/>
        </w:numPr>
      </w:pPr>
      <w:r>
        <w:lastRenderedPageBreak/>
        <w:t xml:space="preserve"> </w:t>
      </w:r>
      <w:r w:rsidR="009F1C07">
        <w:t xml:space="preserve">Clinical Review of False Negatives </w:t>
      </w:r>
    </w:p>
    <w:p w14:paraId="0D387851" w14:textId="1ED0DC6D" w:rsidR="009F1C07" w:rsidRPr="008B2B72" w:rsidRDefault="00FD13EF" w:rsidP="009F1C07">
      <w:pPr>
        <w:pStyle w:val="Caption"/>
        <w:rPr>
          <w:color w:val="auto"/>
        </w:rPr>
      </w:pPr>
      <w:r w:rsidRPr="008B2B72">
        <w:rPr>
          <w:color w:val="auto"/>
        </w:rPr>
        <w:t>Supplementary t</w:t>
      </w:r>
      <w:r w:rsidR="009F1C07" w:rsidRPr="008B2B72">
        <w:rPr>
          <w:color w:val="auto"/>
        </w:rPr>
        <w:t>able 9. Clinical Data for False Negative Samples</w:t>
      </w:r>
    </w:p>
    <w:tbl>
      <w:tblPr>
        <w:tblStyle w:val="TableGrid"/>
        <w:tblW w:w="0" w:type="auto"/>
        <w:tblInd w:w="-1265" w:type="dxa"/>
        <w:tblLook w:val="04A0" w:firstRow="1" w:lastRow="0" w:firstColumn="1" w:lastColumn="0" w:noHBand="0" w:noVBand="1"/>
      </w:tblPr>
      <w:tblGrid>
        <w:gridCol w:w="635"/>
        <w:gridCol w:w="654"/>
        <w:gridCol w:w="804"/>
        <w:gridCol w:w="1037"/>
        <w:gridCol w:w="1542"/>
        <w:gridCol w:w="935"/>
        <w:gridCol w:w="710"/>
        <w:gridCol w:w="806"/>
        <w:gridCol w:w="677"/>
        <w:gridCol w:w="1035"/>
        <w:gridCol w:w="3032"/>
        <w:gridCol w:w="2353"/>
      </w:tblGrid>
      <w:tr w:rsidR="00051723" w:rsidRPr="00B261E2" w14:paraId="2E8F930F" w14:textId="77777777" w:rsidTr="00051723">
        <w:tc>
          <w:tcPr>
            <w:tcW w:w="635" w:type="dxa"/>
            <w:tcBorders>
              <w:top w:val="nil"/>
              <w:left w:val="nil"/>
              <w:bottom w:val="single" w:sz="4" w:space="0" w:color="auto"/>
            </w:tcBorders>
          </w:tcPr>
          <w:p w14:paraId="4A6C82FB" w14:textId="77777777" w:rsidR="009F1C07" w:rsidRPr="00B261E2" w:rsidRDefault="009F1C07" w:rsidP="0055267D">
            <w:pPr>
              <w:rPr>
                <w:rFonts w:asciiTheme="majorHAnsi" w:hAnsiTheme="majorHAnsi" w:cstheme="majorHAnsi"/>
                <w:sz w:val="16"/>
                <w:szCs w:val="16"/>
              </w:rPr>
            </w:pPr>
          </w:p>
        </w:tc>
        <w:tc>
          <w:tcPr>
            <w:tcW w:w="572" w:type="dxa"/>
          </w:tcPr>
          <w:p w14:paraId="3FE9C2EE"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Age (years)</w:t>
            </w:r>
          </w:p>
        </w:tc>
        <w:tc>
          <w:tcPr>
            <w:tcW w:w="0" w:type="auto"/>
          </w:tcPr>
          <w:p w14:paraId="05E805F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Gravida</w:t>
            </w:r>
          </w:p>
        </w:tc>
        <w:tc>
          <w:tcPr>
            <w:tcW w:w="0" w:type="auto"/>
          </w:tcPr>
          <w:p w14:paraId="3138D474"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Gestational Age at times of sample</w:t>
            </w:r>
          </w:p>
        </w:tc>
        <w:tc>
          <w:tcPr>
            <w:tcW w:w="0" w:type="auto"/>
          </w:tcPr>
          <w:p w14:paraId="6C3B412D"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Qualifying Condition per Intake</w:t>
            </w:r>
          </w:p>
        </w:tc>
        <w:tc>
          <w:tcPr>
            <w:tcW w:w="0" w:type="auto"/>
          </w:tcPr>
          <w:p w14:paraId="38404FC9"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Proteinuria</w:t>
            </w:r>
          </w:p>
        </w:tc>
        <w:tc>
          <w:tcPr>
            <w:tcW w:w="0" w:type="auto"/>
          </w:tcPr>
          <w:p w14:paraId="1641B65A"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P/C Ratio</w:t>
            </w:r>
          </w:p>
        </w:tc>
        <w:tc>
          <w:tcPr>
            <w:tcW w:w="0" w:type="auto"/>
          </w:tcPr>
          <w:p w14:paraId="71FD567C"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BP at time of sample</w:t>
            </w:r>
          </w:p>
        </w:tc>
        <w:tc>
          <w:tcPr>
            <w:tcW w:w="0" w:type="auto"/>
          </w:tcPr>
          <w:p w14:paraId="1EEBD14E"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BMI</w:t>
            </w:r>
          </w:p>
          <w:p w14:paraId="57C9535C"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 xml:space="preserve"> (kg/m</w:t>
            </w:r>
            <w:r w:rsidRPr="43678A6D">
              <w:rPr>
                <w:rFonts w:asciiTheme="majorHAnsi" w:hAnsiTheme="majorHAnsi" w:cstheme="majorBidi"/>
                <w:sz w:val="16"/>
                <w:szCs w:val="16"/>
                <w:vertAlign w:val="superscript"/>
              </w:rPr>
              <w:t>2)</w:t>
            </w:r>
          </w:p>
        </w:tc>
        <w:tc>
          <w:tcPr>
            <w:tcW w:w="0" w:type="auto"/>
          </w:tcPr>
          <w:p w14:paraId="618FC8D6"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Severe Symptoms</w:t>
            </w:r>
          </w:p>
        </w:tc>
        <w:tc>
          <w:tcPr>
            <w:tcW w:w="0" w:type="auto"/>
          </w:tcPr>
          <w:p w14:paraId="6418A07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Clinical Review</w:t>
            </w:r>
          </w:p>
        </w:tc>
        <w:tc>
          <w:tcPr>
            <w:tcW w:w="0" w:type="auto"/>
          </w:tcPr>
          <w:p w14:paraId="1FD0F68F"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Interpretation</w:t>
            </w:r>
          </w:p>
        </w:tc>
      </w:tr>
      <w:tr w:rsidR="00051723" w:rsidRPr="00B261E2" w14:paraId="5574AE43" w14:textId="77777777" w:rsidTr="00051723">
        <w:tc>
          <w:tcPr>
            <w:tcW w:w="635" w:type="dxa"/>
            <w:tcBorders>
              <w:top w:val="single" w:sz="4" w:space="0" w:color="auto"/>
            </w:tcBorders>
          </w:tcPr>
          <w:p w14:paraId="5509686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DLS1</w:t>
            </w:r>
          </w:p>
        </w:tc>
        <w:tc>
          <w:tcPr>
            <w:tcW w:w="572" w:type="dxa"/>
          </w:tcPr>
          <w:p w14:paraId="64F671CF"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35</w:t>
            </w:r>
          </w:p>
        </w:tc>
        <w:tc>
          <w:tcPr>
            <w:tcW w:w="0" w:type="auto"/>
          </w:tcPr>
          <w:p w14:paraId="5D78F5DA"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G6P3</w:t>
            </w:r>
          </w:p>
        </w:tc>
        <w:tc>
          <w:tcPr>
            <w:tcW w:w="0" w:type="auto"/>
          </w:tcPr>
          <w:p w14:paraId="047C9C5E"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34 2/7 </w:t>
            </w:r>
          </w:p>
        </w:tc>
        <w:tc>
          <w:tcPr>
            <w:tcW w:w="0" w:type="auto"/>
          </w:tcPr>
          <w:p w14:paraId="3B87726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“preeclampsia” with proteinuria</w:t>
            </w:r>
          </w:p>
        </w:tc>
        <w:tc>
          <w:tcPr>
            <w:tcW w:w="0" w:type="auto"/>
          </w:tcPr>
          <w:p w14:paraId="563CB25B"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1995 g</w:t>
            </w:r>
          </w:p>
        </w:tc>
        <w:tc>
          <w:tcPr>
            <w:tcW w:w="0" w:type="auto"/>
          </w:tcPr>
          <w:p w14:paraId="71933E3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Missing</w:t>
            </w:r>
          </w:p>
        </w:tc>
        <w:tc>
          <w:tcPr>
            <w:tcW w:w="0" w:type="auto"/>
          </w:tcPr>
          <w:p w14:paraId="38C60F0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124/71</w:t>
            </w:r>
          </w:p>
        </w:tc>
        <w:tc>
          <w:tcPr>
            <w:tcW w:w="0" w:type="auto"/>
          </w:tcPr>
          <w:p w14:paraId="213A8988"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32</w:t>
            </w:r>
          </w:p>
        </w:tc>
        <w:tc>
          <w:tcPr>
            <w:tcW w:w="0" w:type="auto"/>
          </w:tcPr>
          <w:p w14:paraId="5DBAFD06"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None</w:t>
            </w:r>
          </w:p>
        </w:tc>
        <w:tc>
          <w:tcPr>
            <w:tcW w:w="0" w:type="auto"/>
          </w:tcPr>
          <w:p w14:paraId="6989A81E"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patient did not clinically meet the criteria for preeclampsia as hypertension was absent with normal BP and there were no severe features.  There was no renal insufficiency noted.  The examination of this patient with proteinuria has to question other etiologies such as IgA nephropathy / minimal change disease, </w:t>
            </w:r>
            <w:proofErr w:type="gramStart"/>
            <w:r w:rsidRPr="00B261E2">
              <w:rPr>
                <w:rFonts w:asciiTheme="majorHAnsi" w:hAnsiTheme="majorHAnsi" w:cstheme="majorHAnsi"/>
                <w:sz w:val="16"/>
                <w:szCs w:val="16"/>
              </w:rPr>
              <w:t>e</w:t>
            </w:r>
            <w:r>
              <w:rPr>
                <w:rFonts w:asciiTheme="majorHAnsi" w:hAnsiTheme="majorHAnsi" w:cstheme="majorHAnsi"/>
                <w:sz w:val="16"/>
                <w:szCs w:val="16"/>
              </w:rPr>
              <w:t>tc.</w:t>
            </w:r>
            <w:r w:rsidRPr="00B261E2">
              <w:rPr>
                <w:rFonts w:asciiTheme="majorHAnsi" w:hAnsiTheme="majorHAnsi" w:cstheme="majorHAnsi"/>
                <w:sz w:val="16"/>
                <w:szCs w:val="16"/>
              </w:rPr>
              <w:t>.</w:t>
            </w:r>
            <w:proofErr w:type="gramEnd"/>
            <w:r w:rsidRPr="00B261E2">
              <w:rPr>
                <w:rFonts w:asciiTheme="majorHAnsi" w:hAnsiTheme="majorHAnsi" w:cstheme="majorHAnsi"/>
                <w:sz w:val="16"/>
                <w:szCs w:val="16"/>
              </w:rPr>
              <w:t xml:space="preserve">  Urinary tract infection is also in the possible reasons for proteinuria.  The protein was recorded as 1995 </w:t>
            </w:r>
            <w:proofErr w:type="gramStart"/>
            <w:r w:rsidRPr="00B261E2">
              <w:rPr>
                <w:rFonts w:asciiTheme="majorHAnsi" w:hAnsiTheme="majorHAnsi" w:cstheme="majorHAnsi"/>
                <w:sz w:val="16"/>
                <w:szCs w:val="16"/>
              </w:rPr>
              <w:t>grams</w:t>
            </w:r>
            <w:proofErr w:type="gramEnd"/>
            <w:r w:rsidRPr="00B261E2">
              <w:rPr>
                <w:rFonts w:asciiTheme="majorHAnsi" w:hAnsiTheme="majorHAnsi" w:cstheme="majorHAnsi"/>
                <w:sz w:val="16"/>
                <w:szCs w:val="16"/>
              </w:rPr>
              <w:t xml:space="preserve"> but this is also likely in error.  Analytes noted a reassuring </w:t>
            </w:r>
            <w:proofErr w:type="spellStart"/>
            <w:r w:rsidRPr="00B261E2">
              <w:rPr>
                <w:rFonts w:asciiTheme="majorHAnsi" w:hAnsiTheme="majorHAnsi" w:cstheme="majorHAnsi"/>
                <w:sz w:val="16"/>
                <w:szCs w:val="16"/>
              </w:rPr>
              <w:t>PlGF</w:t>
            </w:r>
            <w:proofErr w:type="spellEnd"/>
            <w:r w:rsidRPr="00B261E2">
              <w:rPr>
                <w:rFonts w:asciiTheme="majorHAnsi" w:hAnsiTheme="majorHAnsi" w:cstheme="majorHAnsi"/>
                <w:sz w:val="16"/>
                <w:szCs w:val="16"/>
              </w:rPr>
              <w:t xml:space="preserve"> level and low s-Flt1 level.</w:t>
            </w:r>
          </w:p>
        </w:tc>
        <w:tc>
          <w:tcPr>
            <w:tcW w:w="0" w:type="auto"/>
          </w:tcPr>
          <w:p w14:paraId="6103780A"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The biomolecular analysis is in alignment with the absence of hypertensive disease of pregnancy as well.  The misclassification of this subject is most likely related to an absent diagnosis of preeclampsia which would correctly be identified as negative by the preeclampsia classifier. </w:t>
            </w:r>
          </w:p>
          <w:p w14:paraId="5D20FC1C" w14:textId="77777777" w:rsidR="009F1C07" w:rsidRPr="00B261E2" w:rsidRDefault="009F1C07" w:rsidP="0055267D">
            <w:pPr>
              <w:rPr>
                <w:rFonts w:asciiTheme="majorHAnsi" w:hAnsiTheme="majorHAnsi" w:cstheme="majorHAnsi"/>
                <w:sz w:val="16"/>
                <w:szCs w:val="16"/>
              </w:rPr>
            </w:pPr>
          </w:p>
        </w:tc>
      </w:tr>
      <w:tr w:rsidR="00051723" w:rsidRPr="00B261E2" w14:paraId="3EFCC43F" w14:textId="77777777" w:rsidTr="00051723">
        <w:tc>
          <w:tcPr>
            <w:tcW w:w="635" w:type="dxa"/>
          </w:tcPr>
          <w:p w14:paraId="784E3659"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DLS</w:t>
            </w:r>
            <w:r>
              <w:rPr>
                <w:rFonts w:asciiTheme="majorHAnsi" w:hAnsiTheme="majorHAnsi" w:cstheme="majorHAnsi"/>
                <w:sz w:val="16"/>
                <w:szCs w:val="16"/>
              </w:rPr>
              <w:t>2</w:t>
            </w:r>
          </w:p>
        </w:tc>
        <w:tc>
          <w:tcPr>
            <w:tcW w:w="572" w:type="dxa"/>
          </w:tcPr>
          <w:p w14:paraId="6B87F7C1"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33</w:t>
            </w:r>
          </w:p>
        </w:tc>
        <w:tc>
          <w:tcPr>
            <w:tcW w:w="0" w:type="auto"/>
          </w:tcPr>
          <w:p w14:paraId="5A38980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G5P3A1</w:t>
            </w:r>
          </w:p>
        </w:tc>
        <w:tc>
          <w:tcPr>
            <w:tcW w:w="0" w:type="auto"/>
          </w:tcPr>
          <w:p w14:paraId="482D3A8E"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36</w:t>
            </w:r>
          </w:p>
        </w:tc>
        <w:tc>
          <w:tcPr>
            <w:tcW w:w="0" w:type="auto"/>
          </w:tcPr>
          <w:p w14:paraId="0A2C36A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Gestational Hypertension without proteinuria</w:t>
            </w:r>
          </w:p>
        </w:tc>
        <w:tc>
          <w:tcPr>
            <w:tcW w:w="0" w:type="auto"/>
          </w:tcPr>
          <w:p w14:paraId="5D3948B5"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N/A</w:t>
            </w:r>
          </w:p>
        </w:tc>
        <w:tc>
          <w:tcPr>
            <w:tcW w:w="0" w:type="auto"/>
          </w:tcPr>
          <w:p w14:paraId="79A72FC0"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0.37</w:t>
            </w:r>
          </w:p>
        </w:tc>
        <w:tc>
          <w:tcPr>
            <w:tcW w:w="0" w:type="auto"/>
          </w:tcPr>
          <w:p w14:paraId="1DDFDD73"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174/102</w:t>
            </w:r>
          </w:p>
        </w:tc>
        <w:tc>
          <w:tcPr>
            <w:tcW w:w="0" w:type="auto"/>
          </w:tcPr>
          <w:p w14:paraId="303F52A1"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32.9</w:t>
            </w:r>
          </w:p>
        </w:tc>
        <w:tc>
          <w:tcPr>
            <w:tcW w:w="0" w:type="auto"/>
          </w:tcPr>
          <w:p w14:paraId="0851B9C4"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None</w:t>
            </w:r>
          </w:p>
        </w:tc>
        <w:tc>
          <w:tcPr>
            <w:tcW w:w="0" w:type="auto"/>
          </w:tcPr>
          <w:p w14:paraId="42504E6C"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 xml:space="preserve">This patient met criteria with the second sample drawn. </w:t>
            </w:r>
          </w:p>
        </w:tc>
        <w:tc>
          <w:tcPr>
            <w:tcW w:w="0" w:type="auto"/>
          </w:tcPr>
          <w:p w14:paraId="1DDD643F" w14:textId="77777777" w:rsidR="009F1C07"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FALSE NEGATIVE</w:t>
            </w:r>
          </w:p>
          <w:p w14:paraId="515B84A6" w14:textId="77777777" w:rsidR="009F1C07" w:rsidRPr="00B261E2" w:rsidRDefault="009F1C07" w:rsidP="0055267D">
            <w:pPr>
              <w:rPr>
                <w:rFonts w:asciiTheme="majorHAnsi" w:hAnsiTheme="majorHAnsi" w:cstheme="majorHAnsi"/>
                <w:sz w:val="16"/>
                <w:szCs w:val="16"/>
              </w:rPr>
            </w:pPr>
          </w:p>
        </w:tc>
      </w:tr>
      <w:tr w:rsidR="00051723" w:rsidRPr="00B261E2" w14:paraId="02493767" w14:textId="77777777" w:rsidTr="00051723">
        <w:tc>
          <w:tcPr>
            <w:tcW w:w="635" w:type="dxa"/>
          </w:tcPr>
          <w:p w14:paraId="02018CF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DLS3</w:t>
            </w:r>
          </w:p>
        </w:tc>
        <w:tc>
          <w:tcPr>
            <w:tcW w:w="572" w:type="dxa"/>
          </w:tcPr>
          <w:p w14:paraId="10899EA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36</w:t>
            </w:r>
          </w:p>
        </w:tc>
        <w:tc>
          <w:tcPr>
            <w:tcW w:w="0" w:type="auto"/>
          </w:tcPr>
          <w:p w14:paraId="0A98F625"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G5P4</w:t>
            </w:r>
          </w:p>
        </w:tc>
        <w:tc>
          <w:tcPr>
            <w:tcW w:w="0" w:type="auto"/>
          </w:tcPr>
          <w:p w14:paraId="2927A2C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36 1/7</w:t>
            </w:r>
          </w:p>
        </w:tc>
        <w:tc>
          <w:tcPr>
            <w:tcW w:w="0" w:type="auto"/>
          </w:tcPr>
          <w:p w14:paraId="709BEAF4"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Preeclampsia with proteinuria</w:t>
            </w:r>
          </w:p>
        </w:tc>
        <w:tc>
          <w:tcPr>
            <w:tcW w:w="0" w:type="auto"/>
          </w:tcPr>
          <w:p w14:paraId="289183D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Trace</w:t>
            </w:r>
          </w:p>
        </w:tc>
        <w:tc>
          <w:tcPr>
            <w:tcW w:w="0" w:type="auto"/>
          </w:tcPr>
          <w:p w14:paraId="717C5414"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N/A</w:t>
            </w:r>
          </w:p>
        </w:tc>
        <w:tc>
          <w:tcPr>
            <w:tcW w:w="0" w:type="auto"/>
          </w:tcPr>
          <w:p w14:paraId="49B27635"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170/100</w:t>
            </w:r>
          </w:p>
        </w:tc>
        <w:tc>
          <w:tcPr>
            <w:tcW w:w="0" w:type="auto"/>
          </w:tcPr>
          <w:p w14:paraId="5E6D9B4E" w14:textId="77777777" w:rsidR="009F1C07" w:rsidRPr="00B261E2" w:rsidRDefault="009F1C07" w:rsidP="0055267D">
            <w:pPr>
              <w:rPr>
                <w:rFonts w:asciiTheme="majorHAnsi" w:hAnsiTheme="majorHAnsi" w:cstheme="majorBidi"/>
                <w:sz w:val="16"/>
                <w:szCs w:val="16"/>
                <w:vertAlign w:val="superscript"/>
              </w:rPr>
            </w:pPr>
            <w:r w:rsidRPr="43678A6D">
              <w:rPr>
                <w:rFonts w:asciiTheme="majorHAnsi" w:hAnsiTheme="majorHAnsi" w:cstheme="majorBidi"/>
                <w:sz w:val="16"/>
                <w:szCs w:val="16"/>
              </w:rPr>
              <w:t xml:space="preserve">54 </w:t>
            </w:r>
          </w:p>
        </w:tc>
        <w:tc>
          <w:tcPr>
            <w:tcW w:w="0" w:type="auto"/>
          </w:tcPr>
          <w:p w14:paraId="2DEBE730"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New onset headache; no other severe symptoms</w:t>
            </w:r>
          </w:p>
        </w:tc>
        <w:tc>
          <w:tcPr>
            <w:tcW w:w="0" w:type="auto"/>
          </w:tcPr>
          <w:p w14:paraId="4E10ECD6"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There were no other measures of proteinuria and thus, this patient would not meet strict criteria for preeclampsia.  There are also significant limitations in blood pressure assessment in patients with Class III obesity beyond 50 kg/m2 as is the case here</w:t>
            </w:r>
          </w:p>
        </w:tc>
        <w:tc>
          <w:tcPr>
            <w:tcW w:w="0" w:type="auto"/>
          </w:tcPr>
          <w:p w14:paraId="7A5AA3C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This patient is not proven to have preeclampsia by data presented and may represent a TRUE NEGATIVE in the classifier.</w:t>
            </w:r>
          </w:p>
        </w:tc>
      </w:tr>
      <w:tr w:rsidR="00051723" w:rsidRPr="00B261E2" w14:paraId="763AD103" w14:textId="77777777" w:rsidTr="00051723">
        <w:tc>
          <w:tcPr>
            <w:tcW w:w="635" w:type="dxa"/>
          </w:tcPr>
          <w:p w14:paraId="4DDF0983" w14:textId="77777777" w:rsidR="009F1C07" w:rsidRPr="00B261E2" w:rsidRDefault="009F1C07" w:rsidP="0055267D">
            <w:pPr>
              <w:rPr>
                <w:rFonts w:asciiTheme="majorHAnsi" w:hAnsiTheme="majorHAnsi" w:cstheme="majorHAnsi"/>
                <w:sz w:val="16"/>
                <w:szCs w:val="16"/>
              </w:rPr>
            </w:pPr>
            <w:r>
              <w:rPr>
                <w:rFonts w:asciiTheme="majorHAnsi" w:hAnsiTheme="majorHAnsi" w:cstheme="majorHAnsi"/>
                <w:sz w:val="16"/>
                <w:szCs w:val="16"/>
              </w:rPr>
              <w:t>SB2-1</w:t>
            </w:r>
          </w:p>
        </w:tc>
        <w:tc>
          <w:tcPr>
            <w:tcW w:w="572" w:type="dxa"/>
          </w:tcPr>
          <w:p w14:paraId="007CCF0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20</w:t>
            </w:r>
          </w:p>
        </w:tc>
        <w:tc>
          <w:tcPr>
            <w:tcW w:w="0" w:type="auto"/>
          </w:tcPr>
          <w:p w14:paraId="4F1FAB6B"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G1P0</w:t>
            </w:r>
          </w:p>
        </w:tc>
        <w:tc>
          <w:tcPr>
            <w:tcW w:w="0" w:type="auto"/>
          </w:tcPr>
          <w:p w14:paraId="0CFFFA39"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35 0/7 </w:t>
            </w:r>
          </w:p>
        </w:tc>
        <w:tc>
          <w:tcPr>
            <w:tcW w:w="0" w:type="auto"/>
          </w:tcPr>
          <w:p w14:paraId="532F0D2F" w14:textId="6E8DAB72" w:rsidR="009F1C07" w:rsidRPr="00B261E2" w:rsidRDefault="00EB6496" w:rsidP="0055267D">
            <w:pPr>
              <w:rPr>
                <w:rFonts w:asciiTheme="majorHAnsi" w:hAnsiTheme="majorHAnsi" w:cstheme="majorHAnsi"/>
                <w:sz w:val="16"/>
                <w:szCs w:val="16"/>
              </w:rPr>
            </w:pPr>
            <w:r>
              <w:rPr>
                <w:rFonts w:asciiTheme="majorHAnsi" w:hAnsiTheme="majorHAnsi" w:cstheme="majorHAnsi"/>
                <w:sz w:val="16"/>
                <w:szCs w:val="16"/>
              </w:rPr>
              <w:t>P</w:t>
            </w:r>
            <w:r w:rsidR="009F1C07" w:rsidRPr="00B261E2">
              <w:rPr>
                <w:rFonts w:asciiTheme="majorHAnsi" w:hAnsiTheme="majorHAnsi" w:cstheme="majorHAnsi"/>
                <w:sz w:val="16"/>
                <w:szCs w:val="16"/>
              </w:rPr>
              <w:t xml:space="preserve">reeclampsia by </w:t>
            </w:r>
            <w:proofErr w:type="gramStart"/>
            <w:r w:rsidR="009F1C07" w:rsidRPr="00B261E2">
              <w:rPr>
                <w:rFonts w:asciiTheme="majorHAnsi" w:hAnsiTheme="majorHAnsi" w:cstheme="majorHAnsi"/>
                <w:sz w:val="16"/>
                <w:szCs w:val="16"/>
              </w:rPr>
              <w:t>24 hour</w:t>
            </w:r>
            <w:proofErr w:type="gramEnd"/>
            <w:r w:rsidR="009F1C07" w:rsidRPr="00B261E2">
              <w:rPr>
                <w:rFonts w:asciiTheme="majorHAnsi" w:hAnsiTheme="majorHAnsi" w:cstheme="majorHAnsi"/>
                <w:sz w:val="16"/>
                <w:szCs w:val="16"/>
              </w:rPr>
              <w:t xml:space="preserve"> urine protein &gt; 300 mg with mild range blood pressure and persistent headache</w:t>
            </w:r>
          </w:p>
        </w:tc>
        <w:tc>
          <w:tcPr>
            <w:tcW w:w="0" w:type="auto"/>
          </w:tcPr>
          <w:p w14:paraId="4F19B1EB"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300 mg</w:t>
            </w:r>
          </w:p>
        </w:tc>
        <w:tc>
          <w:tcPr>
            <w:tcW w:w="0" w:type="auto"/>
          </w:tcPr>
          <w:p w14:paraId="27CB692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0.2</w:t>
            </w:r>
          </w:p>
        </w:tc>
        <w:tc>
          <w:tcPr>
            <w:tcW w:w="0" w:type="auto"/>
          </w:tcPr>
          <w:p w14:paraId="418DBC6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151/79</w:t>
            </w:r>
          </w:p>
        </w:tc>
        <w:tc>
          <w:tcPr>
            <w:tcW w:w="0" w:type="auto"/>
          </w:tcPr>
          <w:p w14:paraId="7581C74E" w14:textId="77777777" w:rsidR="009F1C07" w:rsidRPr="00B261E2" w:rsidRDefault="009F1C07" w:rsidP="0055267D">
            <w:pPr>
              <w:spacing w:line="259" w:lineRule="auto"/>
              <w:rPr>
                <w:rFonts w:asciiTheme="majorHAnsi" w:hAnsiTheme="majorHAnsi" w:cstheme="majorBidi"/>
                <w:sz w:val="16"/>
                <w:szCs w:val="16"/>
              </w:rPr>
            </w:pPr>
            <w:r w:rsidRPr="43678A6D">
              <w:rPr>
                <w:rFonts w:asciiTheme="majorHAnsi" w:hAnsiTheme="majorHAnsi" w:cstheme="majorBidi"/>
                <w:sz w:val="16"/>
                <w:szCs w:val="16"/>
              </w:rPr>
              <w:t>42.6</w:t>
            </w:r>
          </w:p>
        </w:tc>
        <w:tc>
          <w:tcPr>
            <w:tcW w:w="0" w:type="auto"/>
          </w:tcPr>
          <w:p w14:paraId="0EC8004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None</w:t>
            </w:r>
          </w:p>
        </w:tc>
        <w:tc>
          <w:tcPr>
            <w:tcW w:w="0" w:type="auto"/>
          </w:tcPr>
          <w:p w14:paraId="29BEC6CF"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There is some uncertainty with the presence of proteinuria.  Generally, the </w:t>
            </w:r>
            <w:proofErr w:type="gramStart"/>
            <w:r w:rsidRPr="00B261E2">
              <w:rPr>
                <w:rFonts w:asciiTheme="majorHAnsi" w:hAnsiTheme="majorHAnsi" w:cstheme="majorHAnsi"/>
                <w:sz w:val="16"/>
                <w:szCs w:val="16"/>
              </w:rPr>
              <w:t>24 hour</w:t>
            </w:r>
            <w:proofErr w:type="gramEnd"/>
            <w:r w:rsidRPr="00B261E2">
              <w:rPr>
                <w:rFonts w:asciiTheme="majorHAnsi" w:hAnsiTheme="majorHAnsi" w:cstheme="majorHAnsi"/>
                <w:sz w:val="16"/>
                <w:szCs w:val="16"/>
              </w:rPr>
              <w:t xml:space="preserve"> urine is more accurate than the P/C ratio and the ratio will not always encapsulate the total proteinuria</w:t>
            </w:r>
          </w:p>
        </w:tc>
        <w:tc>
          <w:tcPr>
            <w:tcW w:w="0" w:type="auto"/>
          </w:tcPr>
          <w:p w14:paraId="16DDBD15"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 xml:space="preserve">Based upon presentation this is a TRUE POSITIVE that is misclassified near the limits of the testing classifier with some uncertainty as to the amount of protein.  </w:t>
            </w:r>
          </w:p>
          <w:p w14:paraId="53AB85DA" w14:textId="77777777" w:rsidR="009F1C07" w:rsidRPr="00B261E2" w:rsidRDefault="009F1C07" w:rsidP="0055267D">
            <w:pPr>
              <w:rPr>
                <w:rFonts w:asciiTheme="majorHAnsi" w:hAnsiTheme="majorHAnsi" w:cstheme="majorHAnsi"/>
                <w:sz w:val="16"/>
                <w:szCs w:val="16"/>
              </w:rPr>
            </w:pPr>
          </w:p>
        </w:tc>
      </w:tr>
      <w:tr w:rsidR="00051723" w:rsidRPr="00B261E2" w14:paraId="225BA885" w14:textId="77777777" w:rsidTr="00051723">
        <w:tc>
          <w:tcPr>
            <w:tcW w:w="635" w:type="dxa"/>
          </w:tcPr>
          <w:p w14:paraId="4971519B" w14:textId="77777777" w:rsidR="009F1C07" w:rsidRPr="00B261E2" w:rsidRDefault="009F1C07" w:rsidP="0055267D">
            <w:pPr>
              <w:rPr>
                <w:rFonts w:asciiTheme="majorHAnsi" w:hAnsiTheme="majorHAnsi" w:cstheme="majorHAnsi"/>
                <w:sz w:val="16"/>
                <w:szCs w:val="16"/>
              </w:rPr>
            </w:pPr>
            <w:r>
              <w:rPr>
                <w:rFonts w:asciiTheme="majorHAnsi" w:hAnsiTheme="majorHAnsi" w:cstheme="majorHAnsi"/>
                <w:sz w:val="16"/>
                <w:szCs w:val="16"/>
              </w:rPr>
              <w:t>SB2-2</w:t>
            </w:r>
          </w:p>
        </w:tc>
        <w:tc>
          <w:tcPr>
            <w:tcW w:w="572" w:type="dxa"/>
          </w:tcPr>
          <w:p w14:paraId="1B54885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27</w:t>
            </w:r>
          </w:p>
        </w:tc>
        <w:tc>
          <w:tcPr>
            <w:tcW w:w="0" w:type="auto"/>
          </w:tcPr>
          <w:p w14:paraId="14FF5410"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G1P0</w:t>
            </w:r>
          </w:p>
        </w:tc>
        <w:tc>
          <w:tcPr>
            <w:tcW w:w="0" w:type="auto"/>
          </w:tcPr>
          <w:p w14:paraId="2248B73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33 1/7</w:t>
            </w:r>
          </w:p>
        </w:tc>
        <w:tc>
          <w:tcPr>
            <w:tcW w:w="0" w:type="auto"/>
          </w:tcPr>
          <w:p w14:paraId="5AA984CE" w14:textId="665F7B12" w:rsidR="009F1C07" w:rsidRPr="00B261E2" w:rsidRDefault="00EB6496" w:rsidP="0055267D">
            <w:pPr>
              <w:rPr>
                <w:rFonts w:asciiTheme="majorHAnsi" w:hAnsiTheme="majorHAnsi" w:cstheme="majorHAnsi"/>
                <w:sz w:val="16"/>
                <w:szCs w:val="16"/>
              </w:rPr>
            </w:pPr>
            <w:r>
              <w:rPr>
                <w:rFonts w:asciiTheme="majorHAnsi" w:hAnsiTheme="majorHAnsi" w:cstheme="majorHAnsi"/>
                <w:sz w:val="16"/>
                <w:szCs w:val="16"/>
              </w:rPr>
              <w:t>P</w:t>
            </w:r>
            <w:r w:rsidR="009F1C07" w:rsidRPr="00B261E2">
              <w:rPr>
                <w:rFonts w:asciiTheme="majorHAnsi" w:hAnsiTheme="majorHAnsi" w:cstheme="majorHAnsi"/>
                <w:sz w:val="16"/>
                <w:szCs w:val="16"/>
              </w:rPr>
              <w:t xml:space="preserve">reeclampsia by </w:t>
            </w:r>
            <w:proofErr w:type="gramStart"/>
            <w:r w:rsidR="009F1C07" w:rsidRPr="00B261E2">
              <w:rPr>
                <w:rFonts w:asciiTheme="majorHAnsi" w:hAnsiTheme="majorHAnsi" w:cstheme="majorHAnsi"/>
                <w:sz w:val="16"/>
                <w:szCs w:val="16"/>
              </w:rPr>
              <w:t>24 hour</w:t>
            </w:r>
            <w:proofErr w:type="gramEnd"/>
            <w:r w:rsidR="009F1C07" w:rsidRPr="00B261E2">
              <w:rPr>
                <w:rFonts w:asciiTheme="majorHAnsi" w:hAnsiTheme="majorHAnsi" w:cstheme="majorHAnsi"/>
                <w:sz w:val="16"/>
                <w:szCs w:val="16"/>
              </w:rPr>
              <w:t xml:space="preserve"> urine protein &gt; 300 mg with both mild and severe range blood pressure</w:t>
            </w:r>
          </w:p>
        </w:tc>
        <w:tc>
          <w:tcPr>
            <w:tcW w:w="0" w:type="auto"/>
          </w:tcPr>
          <w:p w14:paraId="3458CC25" w14:textId="77777777" w:rsidR="009F1C07" w:rsidRPr="00B261E2" w:rsidRDefault="009F1C07" w:rsidP="0055267D">
            <w:pPr>
              <w:rPr>
                <w:rFonts w:asciiTheme="majorHAnsi" w:hAnsiTheme="majorHAnsi" w:cstheme="majorBidi"/>
                <w:sz w:val="16"/>
                <w:szCs w:val="16"/>
              </w:rPr>
            </w:pPr>
            <w:r w:rsidRPr="6934DA16">
              <w:rPr>
                <w:rFonts w:asciiTheme="majorHAnsi" w:hAnsiTheme="majorHAnsi" w:cstheme="majorBidi"/>
                <w:sz w:val="16"/>
                <w:szCs w:val="16"/>
              </w:rPr>
              <w:t>410.4 mg</w:t>
            </w:r>
          </w:p>
        </w:tc>
        <w:tc>
          <w:tcPr>
            <w:tcW w:w="0" w:type="auto"/>
          </w:tcPr>
          <w:p w14:paraId="4D9C8434"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0.26</w:t>
            </w:r>
          </w:p>
        </w:tc>
        <w:tc>
          <w:tcPr>
            <w:tcW w:w="0" w:type="auto"/>
          </w:tcPr>
          <w:p w14:paraId="088893CA"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166/107</w:t>
            </w:r>
          </w:p>
        </w:tc>
        <w:tc>
          <w:tcPr>
            <w:tcW w:w="0" w:type="auto"/>
          </w:tcPr>
          <w:p w14:paraId="7A9A5823" w14:textId="77777777" w:rsidR="009F1C07" w:rsidRPr="00B261E2" w:rsidRDefault="009F1C07" w:rsidP="0055267D">
            <w:pPr>
              <w:rPr>
                <w:rFonts w:asciiTheme="majorHAnsi" w:hAnsiTheme="majorHAnsi" w:cstheme="majorBidi"/>
                <w:sz w:val="16"/>
                <w:szCs w:val="16"/>
              </w:rPr>
            </w:pPr>
            <w:r w:rsidRPr="43678A6D">
              <w:rPr>
                <w:rFonts w:asciiTheme="majorHAnsi" w:hAnsiTheme="majorHAnsi" w:cstheme="majorBidi"/>
                <w:sz w:val="16"/>
                <w:szCs w:val="16"/>
              </w:rPr>
              <w:t>36.5</w:t>
            </w:r>
          </w:p>
        </w:tc>
        <w:tc>
          <w:tcPr>
            <w:tcW w:w="0" w:type="auto"/>
          </w:tcPr>
          <w:p w14:paraId="0E3439EB" w14:textId="77777777" w:rsidR="009F1C07" w:rsidRPr="00B261E2" w:rsidRDefault="009F1C07" w:rsidP="0055267D">
            <w:pPr>
              <w:rPr>
                <w:rFonts w:asciiTheme="majorHAnsi" w:hAnsiTheme="majorHAnsi" w:cstheme="majorHAnsi"/>
                <w:sz w:val="16"/>
                <w:szCs w:val="16"/>
              </w:rPr>
            </w:pPr>
          </w:p>
        </w:tc>
        <w:tc>
          <w:tcPr>
            <w:tcW w:w="0" w:type="auto"/>
          </w:tcPr>
          <w:p w14:paraId="049EA1F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There is some uncertainty with the presence of preexisting hypertension.  Given that a cohort of patients with chronic hypertension will have proteinuria, a baseline is necessary to understand if this is truly preeclampsia.  This patient may not have had preeclampsia but only worsening chronic hypertension given lack of other signs.  </w:t>
            </w:r>
          </w:p>
        </w:tc>
        <w:tc>
          <w:tcPr>
            <w:tcW w:w="0" w:type="auto"/>
          </w:tcPr>
          <w:p w14:paraId="54B795E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is possibly a TRUE NEGATIVE or a FALSE NEGATIVE.  There is not enough information provided to allow for discernment of prior hypertension. </w:t>
            </w:r>
          </w:p>
          <w:p w14:paraId="21FDD832" w14:textId="77777777" w:rsidR="009F1C07" w:rsidRPr="00B261E2" w:rsidRDefault="009F1C07" w:rsidP="0055267D">
            <w:pPr>
              <w:rPr>
                <w:rFonts w:asciiTheme="majorHAnsi" w:hAnsiTheme="majorHAnsi" w:cstheme="majorHAnsi"/>
                <w:sz w:val="16"/>
                <w:szCs w:val="16"/>
              </w:rPr>
            </w:pPr>
          </w:p>
        </w:tc>
      </w:tr>
      <w:tr w:rsidR="00051723" w:rsidRPr="00B261E2" w14:paraId="6B557A03" w14:textId="77777777" w:rsidTr="00051723">
        <w:tc>
          <w:tcPr>
            <w:tcW w:w="635" w:type="dxa"/>
          </w:tcPr>
          <w:p w14:paraId="315CAC31" w14:textId="77777777" w:rsidR="009F1C07" w:rsidRPr="00B261E2" w:rsidRDefault="009F1C07" w:rsidP="0055267D">
            <w:pPr>
              <w:rPr>
                <w:rFonts w:asciiTheme="majorHAnsi" w:hAnsiTheme="majorHAnsi" w:cstheme="majorHAnsi"/>
                <w:sz w:val="16"/>
                <w:szCs w:val="16"/>
              </w:rPr>
            </w:pPr>
            <w:r>
              <w:rPr>
                <w:rFonts w:asciiTheme="majorHAnsi" w:hAnsiTheme="majorHAnsi" w:cstheme="majorHAnsi"/>
                <w:sz w:val="16"/>
                <w:szCs w:val="16"/>
              </w:rPr>
              <w:lastRenderedPageBreak/>
              <w:t>SB2-3</w:t>
            </w:r>
          </w:p>
        </w:tc>
        <w:tc>
          <w:tcPr>
            <w:tcW w:w="572" w:type="dxa"/>
          </w:tcPr>
          <w:p w14:paraId="4B469E4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39</w:t>
            </w:r>
          </w:p>
        </w:tc>
        <w:tc>
          <w:tcPr>
            <w:tcW w:w="0" w:type="auto"/>
          </w:tcPr>
          <w:p w14:paraId="6F32F8C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G590222</w:t>
            </w:r>
          </w:p>
        </w:tc>
        <w:tc>
          <w:tcPr>
            <w:tcW w:w="0" w:type="auto"/>
          </w:tcPr>
          <w:p w14:paraId="117E2B0F"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33 6/7</w:t>
            </w:r>
          </w:p>
        </w:tc>
        <w:tc>
          <w:tcPr>
            <w:tcW w:w="0" w:type="auto"/>
          </w:tcPr>
          <w:p w14:paraId="3046863D"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with severe preeclampsia by urinary P/C and severe blood pressure </w:t>
            </w:r>
          </w:p>
        </w:tc>
        <w:tc>
          <w:tcPr>
            <w:tcW w:w="0" w:type="auto"/>
          </w:tcPr>
          <w:p w14:paraId="1C9896F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w:t>
            </w:r>
          </w:p>
        </w:tc>
        <w:tc>
          <w:tcPr>
            <w:tcW w:w="0" w:type="auto"/>
          </w:tcPr>
          <w:p w14:paraId="24E39204"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0.45</w:t>
            </w:r>
          </w:p>
        </w:tc>
        <w:tc>
          <w:tcPr>
            <w:tcW w:w="0" w:type="auto"/>
          </w:tcPr>
          <w:p w14:paraId="49655D99"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163/112</w:t>
            </w:r>
          </w:p>
        </w:tc>
        <w:tc>
          <w:tcPr>
            <w:tcW w:w="0" w:type="auto"/>
          </w:tcPr>
          <w:p w14:paraId="50C48E9F" w14:textId="77777777" w:rsidR="009F1C07" w:rsidRPr="00B261E2" w:rsidRDefault="009F1C07" w:rsidP="0055267D">
            <w:pPr>
              <w:spacing w:line="259" w:lineRule="auto"/>
              <w:rPr>
                <w:rFonts w:asciiTheme="majorHAnsi" w:hAnsiTheme="majorHAnsi" w:cstheme="majorBidi"/>
                <w:sz w:val="16"/>
                <w:szCs w:val="16"/>
              </w:rPr>
            </w:pPr>
            <w:r w:rsidRPr="58D35283">
              <w:rPr>
                <w:rFonts w:asciiTheme="majorHAnsi" w:hAnsiTheme="majorHAnsi" w:cstheme="majorBidi"/>
                <w:sz w:val="16"/>
                <w:szCs w:val="16"/>
              </w:rPr>
              <w:t>31.3</w:t>
            </w:r>
          </w:p>
        </w:tc>
        <w:tc>
          <w:tcPr>
            <w:tcW w:w="0" w:type="auto"/>
          </w:tcPr>
          <w:p w14:paraId="1FA05403" w14:textId="77777777" w:rsidR="009F1C07" w:rsidRPr="00B261E2" w:rsidRDefault="009F1C07" w:rsidP="0055267D">
            <w:pPr>
              <w:rPr>
                <w:rFonts w:asciiTheme="majorHAnsi" w:hAnsiTheme="majorHAnsi" w:cstheme="majorHAnsi"/>
                <w:sz w:val="16"/>
                <w:szCs w:val="16"/>
              </w:rPr>
            </w:pPr>
          </w:p>
        </w:tc>
        <w:tc>
          <w:tcPr>
            <w:tcW w:w="0" w:type="auto"/>
          </w:tcPr>
          <w:p w14:paraId="64C3C04B"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The patient has superimposed preeclampsia on chronic hypertension most likely.  However, there was no magnesium sulfate administered for severe range blood pressures or antihypertensive therapy per report.  Thus, this may have been misclassified.  The pat</w:t>
            </w:r>
            <w:r>
              <w:rPr>
                <w:rFonts w:asciiTheme="majorHAnsi" w:hAnsiTheme="majorHAnsi" w:cstheme="majorHAnsi"/>
                <w:sz w:val="16"/>
                <w:szCs w:val="16"/>
              </w:rPr>
              <w:t>i</w:t>
            </w:r>
            <w:r w:rsidRPr="00B261E2">
              <w:rPr>
                <w:rFonts w:asciiTheme="majorHAnsi" w:hAnsiTheme="majorHAnsi" w:cstheme="majorHAnsi"/>
                <w:sz w:val="16"/>
                <w:szCs w:val="16"/>
              </w:rPr>
              <w:t>ent would meet criteria for preeclampsia by the urine dip and the P/C ratio with blood pressure criteria</w:t>
            </w:r>
          </w:p>
        </w:tc>
        <w:tc>
          <w:tcPr>
            <w:tcW w:w="0" w:type="auto"/>
          </w:tcPr>
          <w:p w14:paraId="44B4E8D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Based upon those findings, this would be a patient that is a FALSE NEGATIVE.  However, the rendered treatment would have suggested otherwise with the lack of magnesium sulfate or antihypertensives.  </w:t>
            </w:r>
          </w:p>
        </w:tc>
      </w:tr>
      <w:tr w:rsidR="00051723" w:rsidRPr="00B261E2" w14:paraId="2B4990C4" w14:textId="77777777" w:rsidTr="00051723">
        <w:tc>
          <w:tcPr>
            <w:tcW w:w="635" w:type="dxa"/>
          </w:tcPr>
          <w:p w14:paraId="4936B33C" w14:textId="77777777" w:rsidR="009F1C07" w:rsidRPr="00B261E2" w:rsidRDefault="009F1C07" w:rsidP="0055267D">
            <w:pPr>
              <w:rPr>
                <w:rFonts w:asciiTheme="majorHAnsi" w:hAnsiTheme="majorHAnsi" w:cstheme="majorHAnsi"/>
                <w:sz w:val="16"/>
                <w:szCs w:val="16"/>
              </w:rPr>
            </w:pPr>
            <w:r>
              <w:rPr>
                <w:rFonts w:asciiTheme="majorHAnsi" w:hAnsiTheme="majorHAnsi" w:cstheme="majorHAnsi"/>
                <w:sz w:val="16"/>
                <w:szCs w:val="16"/>
              </w:rPr>
              <w:t>SB2-4</w:t>
            </w:r>
          </w:p>
        </w:tc>
        <w:tc>
          <w:tcPr>
            <w:tcW w:w="572" w:type="dxa"/>
          </w:tcPr>
          <w:p w14:paraId="5286DF3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28</w:t>
            </w:r>
          </w:p>
        </w:tc>
        <w:tc>
          <w:tcPr>
            <w:tcW w:w="0" w:type="auto"/>
          </w:tcPr>
          <w:p w14:paraId="1B2EE3DB"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G4P0303</w:t>
            </w:r>
          </w:p>
        </w:tc>
        <w:tc>
          <w:tcPr>
            <w:tcW w:w="0" w:type="auto"/>
          </w:tcPr>
          <w:p w14:paraId="70E800FA"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32 4/7</w:t>
            </w:r>
          </w:p>
        </w:tc>
        <w:tc>
          <w:tcPr>
            <w:tcW w:w="0" w:type="auto"/>
          </w:tcPr>
          <w:p w14:paraId="0F7A6E69" w14:textId="65AB433D" w:rsidR="009F1C07" w:rsidRPr="00B261E2" w:rsidRDefault="00EB6496" w:rsidP="0055267D">
            <w:pPr>
              <w:rPr>
                <w:rFonts w:asciiTheme="majorHAnsi" w:hAnsiTheme="majorHAnsi" w:cstheme="majorHAnsi"/>
                <w:sz w:val="16"/>
                <w:szCs w:val="16"/>
              </w:rPr>
            </w:pPr>
            <w:r>
              <w:rPr>
                <w:rFonts w:asciiTheme="majorHAnsi" w:hAnsiTheme="majorHAnsi" w:cstheme="majorHAnsi"/>
                <w:sz w:val="16"/>
                <w:szCs w:val="16"/>
              </w:rPr>
              <w:t>P</w:t>
            </w:r>
            <w:r w:rsidR="009F1C07" w:rsidRPr="00B261E2">
              <w:rPr>
                <w:rFonts w:asciiTheme="majorHAnsi" w:hAnsiTheme="majorHAnsi" w:cstheme="majorHAnsi"/>
                <w:sz w:val="16"/>
                <w:szCs w:val="16"/>
              </w:rPr>
              <w:t>reeclampsia by worsening blood pressure</w:t>
            </w:r>
          </w:p>
        </w:tc>
        <w:tc>
          <w:tcPr>
            <w:tcW w:w="0" w:type="auto"/>
          </w:tcPr>
          <w:p w14:paraId="66EA61B9" w14:textId="77777777" w:rsidR="009F1C07" w:rsidRPr="00B261E2" w:rsidRDefault="009F1C07" w:rsidP="0055267D">
            <w:pPr>
              <w:spacing w:line="259" w:lineRule="auto"/>
              <w:rPr>
                <w:rFonts w:asciiTheme="majorHAnsi" w:hAnsiTheme="majorHAnsi" w:cstheme="majorBidi"/>
                <w:sz w:val="16"/>
                <w:szCs w:val="16"/>
              </w:rPr>
            </w:pPr>
            <w:r w:rsidRPr="58D35283">
              <w:rPr>
                <w:rFonts w:asciiTheme="majorHAnsi" w:hAnsiTheme="majorHAnsi" w:cstheme="majorBidi"/>
                <w:sz w:val="16"/>
                <w:szCs w:val="16"/>
              </w:rPr>
              <w:t>1+</w:t>
            </w:r>
          </w:p>
        </w:tc>
        <w:tc>
          <w:tcPr>
            <w:tcW w:w="0" w:type="auto"/>
          </w:tcPr>
          <w:p w14:paraId="48B3DD29"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0.3</w:t>
            </w:r>
          </w:p>
        </w:tc>
        <w:tc>
          <w:tcPr>
            <w:tcW w:w="0" w:type="auto"/>
          </w:tcPr>
          <w:p w14:paraId="37383766"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143/92</w:t>
            </w:r>
          </w:p>
        </w:tc>
        <w:tc>
          <w:tcPr>
            <w:tcW w:w="0" w:type="auto"/>
          </w:tcPr>
          <w:p w14:paraId="02B2252A" w14:textId="77777777" w:rsidR="009F1C07" w:rsidRPr="00B261E2" w:rsidRDefault="009F1C07" w:rsidP="0055267D">
            <w:pPr>
              <w:rPr>
                <w:rFonts w:asciiTheme="majorHAnsi" w:hAnsiTheme="majorHAnsi" w:cstheme="majorBidi"/>
                <w:sz w:val="16"/>
                <w:szCs w:val="16"/>
              </w:rPr>
            </w:pPr>
            <w:r w:rsidRPr="58D35283">
              <w:rPr>
                <w:rFonts w:asciiTheme="majorHAnsi" w:hAnsiTheme="majorHAnsi" w:cstheme="majorBidi"/>
                <w:sz w:val="16"/>
                <w:szCs w:val="16"/>
              </w:rPr>
              <w:t>27.6</w:t>
            </w:r>
          </w:p>
        </w:tc>
        <w:tc>
          <w:tcPr>
            <w:tcW w:w="0" w:type="auto"/>
          </w:tcPr>
          <w:p w14:paraId="07487F53" w14:textId="77777777" w:rsidR="009F1C07" w:rsidRPr="00B261E2" w:rsidRDefault="009F1C07" w:rsidP="0055267D">
            <w:pPr>
              <w:rPr>
                <w:rFonts w:asciiTheme="majorHAnsi" w:hAnsiTheme="majorHAnsi" w:cstheme="majorHAnsi"/>
                <w:sz w:val="16"/>
                <w:szCs w:val="16"/>
              </w:rPr>
            </w:pPr>
          </w:p>
        </w:tc>
        <w:tc>
          <w:tcPr>
            <w:tcW w:w="0" w:type="auto"/>
          </w:tcPr>
          <w:p w14:paraId="03493613"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The patient has chronic hypertension and is not certain to have preeclampsia based upon lack of protein to support this diagnosis.  </w:t>
            </w:r>
          </w:p>
        </w:tc>
        <w:tc>
          <w:tcPr>
            <w:tcW w:w="0" w:type="auto"/>
          </w:tcPr>
          <w:p w14:paraId="2AAC33BD"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may be a TRUE NEGATIVE or TRUE POSITIVE case </w:t>
            </w:r>
          </w:p>
        </w:tc>
      </w:tr>
      <w:tr w:rsidR="00051723" w:rsidRPr="00B261E2" w14:paraId="707F4D4B" w14:textId="77777777" w:rsidTr="00051723">
        <w:tc>
          <w:tcPr>
            <w:tcW w:w="635" w:type="dxa"/>
          </w:tcPr>
          <w:p w14:paraId="40436E25" w14:textId="77777777" w:rsidR="009F1C07" w:rsidRPr="00B261E2" w:rsidRDefault="009F1C07" w:rsidP="0055267D">
            <w:pPr>
              <w:rPr>
                <w:rStyle w:val="CommentReference"/>
                <w:rFonts w:asciiTheme="majorHAnsi" w:hAnsiTheme="majorHAnsi" w:cstheme="majorHAnsi"/>
              </w:rPr>
            </w:pPr>
            <w:r>
              <w:rPr>
                <w:rStyle w:val="CommentReference"/>
                <w:rFonts w:asciiTheme="majorHAnsi" w:hAnsiTheme="majorHAnsi" w:cstheme="majorHAnsi"/>
              </w:rPr>
              <w:t>SB2-5</w:t>
            </w:r>
          </w:p>
        </w:tc>
        <w:tc>
          <w:tcPr>
            <w:tcW w:w="572" w:type="dxa"/>
          </w:tcPr>
          <w:p w14:paraId="75E54B1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26</w:t>
            </w:r>
          </w:p>
        </w:tc>
        <w:tc>
          <w:tcPr>
            <w:tcW w:w="0" w:type="auto"/>
          </w:tcPr>
          <w:p w14:paraId="787EC6C2" w14:textId="77777777" w:rsidR="009F1C07" w:rsidRPr="00B261E2" w:rsidRDefault="009F1C07" w:rsidP="0055267D">
            <w:pPr>
              <w:rPr>
                <w:rFonts w:asciiTheme="majorHAnsi" w:hAnsiTheme="majorHAnsi" w:cstheme="majorBidi"/>
                <w:sz w:val="16"/>
                <w:szCs w:val="16"/>
              </w:rPr>
            </w:pPr>
            <w:r w:rsidRPr="58D35283">
              <w:rPr>
                <w:rFonts w:asciiTheme="majorHAnsi" w:hAnsiTheme="majorHAnsi" w:cstheme="majorBidi"/>
                <w:sz w:val="16"/>
                <w:szCs w:val="16"/>
              </w:rPr>
              <w:t>G6P1223</w:t>
            </w:r>
          </w:p>
        </w:tc>
        <w:tc>
          <w:tcPr>
            <w:tcW w:w="0" w:type="auto"/>
          </w:tcPr>
          <w:p w14:paraId="329C082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32 2/7</w:t>
            </w:r>
          </w:p>
        </w:tc>
        <w:tc>
          <w:tcPr>
            <w:tcW w:w="0" w:type="auto"/>
          </w:tcPr>
          <w:p w14:paraId="26F25807" w14:textId="55DFFB92" w:rsidR="009F1C07" w:rsidRPr="00B261E2" w:rsidRDefault="00EB6496" w:rsidP="0055267D">
            <w:pPr>
              <w:rPr>
                <w:rFonts w:asciiTheme="majorHAnsi" w:hAnsiTheme="majorHAnsi" w:cstheme="majorHAnsi"/>
                <w:sz w:val="16"/>
                <w:szCs w:val="16"/>
              </w:rPr>
            </w:pPr>
            <w:r>
              <w:rPr>
                <w:rFonts w:asciiTheme="majorHAnsi" w:hAnsiTheme="majorHAnsi" w:cstheme="majorHAnsi"/>
                <w:sz w:val="16"/>
                <w:szCs w:val="16"/>
              </w:rPr>
              <w:t>P</w:t>
            </w:r>
            <w:r w:rsidR="009F1C07" w:rsidRPr="00B261E2">
              <w:rPr>
                <w:rFonts w:asciiTheme="majorHAnsi" w:hAnsiTheme="majorHAnsi" w:cstheme="majorHAnsi"/>
                <w:sz w:val="16"/>
                <w:szCs w:val="16"/>
              </w:rPr>
              <w:t>reeclampsia by known baseline hypertension with worsening blood pressure (superimposed preeclampsia</w:t>
            </w:r>
          </w:p>
        </w:tc>
        <w:tc>
          <w:tcPr>
            <w:tcW w:w="0" w:type="auto"/>
          </w:tcPr>
          <w:p w14:paraId="3A27C86E"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369 mg</w:t>
            </w:r>
          </w:p>
        </w:tc>
        <w:tc>
          <w:tcPr>
            <w:tcW w:w="0" w:type="auto"/>
          </w:tcPr>
          <w:p w14:paraId="2340ED2B" w14:textId="77777777" w:rsidR="009F1C07" w:rsidRPr="00B261E2" w:rsidRDefault="009F1C07" w:rsidP="0055267D">
            <w:pPr>
              <w:spacing w:line="259" w:lineRule="auto"/>
              <w:rPr>
                <w:rFonts w:asciiTheme="majorHAnsi" w:hAnsiTheme="majorHAnsi" w:cstheme="majorBidi"/>
                <w:sz w:val="16"/>
                <w:szCs w:val="16"/>
              </w:rPr>
            </w:pPr>
            <w:r w:rsidRPr="58D35283">
              <w:rPr>
                <w:rFonts w:asciiTheme="majorHAnsi" w:hAnsiTheme="majorHAnsi" w:cstheme="majorBidi"/>
                <w:sz w:val="16"/>
                <w:szCs w:val="16"/>
              </w:rPr>
              <w:t>N/A</w:t>
            </w:r>
          </w:p>
        </w:tc>
        <w:tc>
          <w:tcPr>
            <w:tcW w:w="0" w:type="auto"/>
          </w:tcPr>
          <w:p w14:paraId="0CD74FDC"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152/78</w:t>
            </w:r>
          </w:p>
        </w:tc>
        <w:tc>
          <w:tcPr>
            <w:tcW w:w="0" w:type="auto"/>
          </w:tcPr>
          <w:p w14:paraId="3B1F581B" w14:textId="77777777" w:rsidR="009F1C07" w:rsidRPr="00B261E2" w:rsidRDefault="009F1C07" w:rsidP="0055267D">
            <w:pPr>
              <w:rPr>
                <w:rFonts w:asciiTheme="majorHAnsi" w:hAnsiTheme="majorHAnsi" w:cstheme="majorBidi"/>
                <w:sz w:val="16"/>
                <w:szCs w:val="16"/>
              </w:rPr>
            </w:pPr>
            <w:r w:rsidRPr="58D35283">
              <w:rPr>
                <w:rFonts w:asciiTheme="majorHAnsi" w:hAnsiTheme="majorHAnsi" w:cstheme="majorBidi"/>
                <w:sz w:val="16"/>
                <w:szCs w:val="16"/>
              </w:rPr>
              <w:t>32.8</w:t>
            </w:r>
          </w:p>
        </w:tc>
        <w:tc>
          <w:tcPr>
            <w:tcW w:w="0" w:type="auto"/>
          </w:tcPr>
          <w:p w14:paraId="3C83CB97" w14:textId="77777777" w:rsidR="009F1C07" w:rsidRPr="00B261E2" w:rsidRDefault="009F1C07" w:rsidP="0055267D">
            <w:pPr>
              <w:rPr>
                <w:rFonts w:asciiTheme="majorHAnsi" w:hAnsiTheme="majorHAnsi" w:cstheme="majorHAnsi"/>
                <w:sz w:val="16"/>
                <w:szCs w:val="16"/>
              </w:rPr>
            </w:pPr>
          </w:p>
        </w:tc>
        <w:tc>
          <w:tcPr>
            <w:tcW w:w="0" w:type="auto"/>
          </w:tcPr>
          <w:p w14:paraId="27263A25"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The patient has chronic hypertension and was given a diagnosis of superimposed preeclampsia based upon proteinuria that was worsening and hypertension</w:t>
            </w:r>
          </w:p>
        </w:tc>
        <w:tc>
          <w:tcPr>
            <w:tcW w:w="0" w:type="auto"/>
          </w:tcPr>
          <w:p w14:paraId="00917290"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is a FALSE NEGATIVE case by the classifier.  </w:t>
            </w:r>
          </w:p>
          <w:p w14:paraId="66E4BEF9" w14:textId="77777777" w:rsidR="009F1C07" w:rsidRPr="00B261E2" w:rsidRDefault="009F1C07" w:rsidP="0055267D">
            <w:pPr>
              <w:rPr>
                <w:rFonts w:asciiTheme="majorHAnsi" w:hAnsiTheme="majorHAnsi" w:cstheme="majorHAnsi"/>
                <w:sz w:val="16"/>
                <w:szCs w:val="16"/>
              </w:rPr>
            </w:pPr>
          </w:p>
        </w:tc>
      </w:tr>
      <w:tr w:rsidR="00051723" w:rsidRPr="00B261E2" w14:paraId="620CA91D" w14:textId="77777777" w:rsidTr="00051723">
        <w:tc>
          <w:tcPr>
            <w:tcW w:w="635" w:type="dxa"/>
          </w:tcPr>
          <w:p w14:paraId="5EC51EB2" w14:textId="77777777" w:rsidR="009F1C07" w:rsidRPr="00B261E2" w:rsidRDefault="009F1C07" w:rsidP="0055267D">
            <w:pPr>
              <w:rPr>
                <w:rStyle w:val="CommentReference"/>
                <w:rFonts w:asciiTheme="majorHAnsi" w:hAnsiTheme="majorHAnsi" w:cstheme="majorHAnsi"/>
              </w:rPr>
            </w:pPr>
            <w:r>
              <w:rPr>
                <w:rStyle w:val="CommentReference"/>
                <w:rFonts w:asciiTheme="majorHAnsi" w:hAnsiTheme="majorHAnsi" w:cstheme="majorHAnsi"/>
              </w:rPr>
              <w:t>SB2-6</w:t>
            </w:r>
          </w:p>
        </w:tc>
        <w:tc>
          <w:tcPr>
            <w:tcW w:w="572" w:type="dxa"/>
          </w:tcPr>
          <w:p w14:paraId="4B377498"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31</w:t>
            </w:r>
          </w:p>
        </w:tc>
        <w:tc>
          <w:tcPr>
            <w:tcW w:w="0" w:type="auto"/>
          </w:tcPr>
          <w:p w14:paraId="2980D492"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G3P2</w:t>
            </w:r>
          </w:p>
        </w:tc>
        <w:tc>
          <w:tcPr>
            <w:tcW w:w="0" w:type="auto"/>
          </w:tcPr>
          <w:p w14:paraId="4E67A75A"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30 4/7</w:t>
            </w:r>
          </w:p>
        </w:tc>
        <w:tc>
          <w:tcPr>
            <w:tcW w:w="0" w:type="auto"/>
          </w:tcPr>
          <w:p w14:paraId="798BF804" w14:textId="5B58F883" w:rsidR="009F1C07" w:rsidRPr="00B261E2" w:rsidRDefault="00EB6496" w:rsidP="0055267D">
            <w:pPr>
              <w:rPr>
                <w:rFonts w:asciiTheme="majorHAnsi" w:hAnsiTheme="majorHAnsi" w:cstheme="majorHAnsi"/>
                <w:sz w:val="16"/>
                <w:szCs w:val="16"/>
              </w:rPr>
            </w:pPr>
            <w:r>
              <w:rPr>
                <w:rFonts w:asciiTheme="majorHAnsi" w:hAnsiTheme="majorHAnsi" w:cstheme="majorHAnsi"/>
                <w:sz w:val="16"/>
                <w:szCs w:val="16"/>
              </w:rPr>
              <w:t>B</w:t>
            </w:r>
            <w:r w:rsidR="009F1C07" w:rsidRPr="00B261E2">
              <w:rPr>
                <w:rFonts w:asciiTheme="majorHAnsi" w:hAnsiTheme="majorHAnsi" w:cstheme="majorHAnsi"/>
                <w:sz w:val="16"/>
                <w:szCs w:val="16"/>
              </w:rPr>
              <w:t>y known baseline chronic hypertension with worsening blood pressure</w:t>
            </w:r>
          </w:p>
        </w:tc>
        <w:tc>
          <w:tcPr>
            <w:tcW w:w="0" w:type="auto"/>
          </w:tcPr>
          <w:p w14:paraId="09B6A6DF" w14:textId="77777777" w:rsidR="009F1C07" w:rsidRPr="00B261E2" w:rsidRDefault="009F1C07" w:rsidP="0055267D">
            <w:pPr>
              <w:rPr>
                <w:rFonts w:asciiTheme="majorHAnsi" w:hAnsiTheme="majorHAnsi" w:cstheme="majorBidi"/>
                <w:sz w:val="16"/>
                <w:szCs w:val="16"/>
              </w:rPr>
            </w:pPr>
            <w:r w:rsidRPr="58D35283">
              <w:rPr>
                <w:rFonts w:asciiTheme="majorHAnsi" w:hAnsiTheme="majorHAnsi" w:cstheme="majorBidi"/>
                <w:sz w:val="16"/>
                <w:szCs w:val="16"/>
              </w:rPr>
              <w:t>2+</w:t>
            </w:r>
          </w:p>
        </w:tc>
        <w:tc>
          <w:tcPr>
            <w:tcW w:w="0" w:type="auto"/>
          </w:tcPr>
          <w:p w14:paraId="3F2C5E67"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0.48</w:t>
            </w:r>
          </w:p>
        </w:tc>
        <w:tc>
          <w:tcPr>
            <w:tcW w:w="0" w:type="auto"/>
          </w:tcPr>
          <w:p w14:paraId="242E6166"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141/88</w:t>
            </w:r>
          </w:p>
        </w:tc>
        <w:tc>
          <w:tcPr>
            <w:tcW w:w="0" w:type="auto"/>
          </w:tcPr>
          <w:p w14:paraId="225B4093" w14:textId="77777777" w:rsidR="009F1C07" w:rsidRPr="00B261E2" w:rsidRDefault="009F1C07" w:rsidP="0055267D">
            <w:pPr>
              <w:rPr>
                <w:rFonts w:asciiTheme="majorHAnsi" w:hAnsiTheme="majorHAnsi" w:cstheme="majorBidi"/>
                <w:sz w:val="16"/>
                <w:szCs w:val="16"/>
              </w:rPr>
            </w:pPr>
            <w:r w:rsidRPr="58D35283">
              <w:rPr>
                <w:rFonts w:asciiTheme="majorHAnsi" w:hAnsiTheme="majorHAnsi" w:cstheme="majorBidi"/>
                <w:sz w:val="16"/>
                <w:szCs w:val="16"/>
              </w:rPr>
              <w:t>37</w:t>
            </w:r>
          </w:p>
        </w:tc>
        <w:tc>
          <w:tcPr>
            <w:tcW w:w="0" w:type="auto"/>
          </w:tcPr>
          <w:p w14:paraId="21C91BEC" w14:textId="77777777" w:rsidR="009F1C07" w:rsidRPr="00B261E2" w:rsidRDefault="009F1C07" w:rsidP="0055267D">
            <w:pPr>
              <w:rPr>
                <w:rFonts w:asciiTheme="majorHAnsi" w:hAnsiTheme="majorHAnsi" w:cstheme="majorHAnsi"/>
                <w:sz w:val="16"/>
                <w:szCs w:val="16"/>
              </w:rPr>
            </w:pPr>
          </w:p>
        </w:tc>
        <w:tc>
          <w:tcPr>
            <w:tcW w:w="0" w:type="auto"/>
          </w:tcPr>
          <w:p w14:paraId="3B410261"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is a very complex case as HIV may result in proteinuria and the course of this disease would also need to be understood.  Based upon the proteinuria and hypertension reported, the patient may have qualified for superimposed preeclampsia.  However, a baseline was not </w:t>
            </w:r>
            <w:proofErr w:type="gramStart"/>
            <w:r w:rsidRPr="00B261E2">
              <w:rPr>
                <w:rFonts w:asciiTheme="majorHAnsi" w:hAnsiTheme="majorHAnsi" w:cstheme="majorHAnsi"/>
                <w:sz w:val="16"/>
                <w:szCs w:val="16"/>
              </w:rPr>
              <w:t>known</w:t>
            </w:r>
            <w:proofErr w:type="gramEnd"/>
            <w:r w:rsidRPr="00B261E2">
              <w:rPr>
                <w:rFonts w:asciiTheme="majorHAnsi" w:hAnsiTheme="majorHAnsi" w:cstheme="majorHAnsi"/>
                <w:sz w:val="16"/>
                <w:szCs w:val="16"/>
              </w:rPr>
              <w:t xml:space="preserve"> and HIV causes proteinuria in many subjects.  The blood pressure was at goal for a patient with hypertension</w:t>
            </w:r>
          </w:p>
        </w:tc>
        <w:tc>
          <w:tcPr>
            <w:tcW w:w="0" w:type="auto"/>
          </w:tcPr>
          <w:p w14:paraId="48050E51" w14:textId="77777777" w:rsidR="009F1C07" w:rsidRPr="00B261E2" w:rsidRDefault="009F1C07" w:rsidP="0055267D">
            <w:pPr>
              <w:rPr>
                <w:rFonts w:asciiTheme="majorHAnsi" w:hAnsiTheme="majorHAnsi" w:cstheme="majorHAnsi"/>
                <w:sz w:val="16"/>
                <w:szCs w:val="16"/>
              </w:rPr>
            </w:pPr>
            <w:r w:rsidRPr="00B261E2">
              <w:rPr>
                <w:rFonts w:asciiTheme="majorHAnsi" w:hAnsiTheme="majorHAnsi" w:cstheme="majorHAnsi"/>
                <w:sz w:val="16"/>
                <w:szCs w:val="16"/>
              </w:rPr>
              <w:t xml:space="preserve">This may represent a TRUE NEGATIVE in the classifier.  A full understanding of the clinical case would be needed to render additional insight. </w:t>
            </w:r>
          </w:p>
          <w:p w14:paraId="0503136B" w14:textId="77777777" w:rsidR="009F1C07" w:rsidRPr="00B261E2" w:rsidRDefault="009F1C07" w:rsidP="0055267D">
            <w:pPr>
              <w:rPr>
                <w:rFonts w:asciiTheme="majorHAnsi" w:hAnsiTheme="majorHAnsi" w:cstheme="majorHAnsi"/>
                <w:sz w:val="16"/>
                <w:szCs w:val="16"/>
              </w:rPr>
            </w:pPr>
          </w:p>
        </w:tc>
      </w:tr>
    </w:tbl>
    <w:p w14:paraId="1AC0B50C" w14:textId="77777777" w:rsidR="009F1C07" w:rsidRPr="00B261E2" w:rsidRDefault="009F1C07" w:rsidP="009F1C07">
      <w:pPr>
        <w:rPr>
          <w:rFonts w:asciiTheme="majorHAnsi" w:hAnsiTheme="majorHAnsi" w:cstheme="majorHAnsi"/>
          <w:sz w:val="20"/>
          <w:szCs w:val="20"/>
        </w:rPr>
      </w:pPr>
    </w:p>
    <w:p w14:paraId="6DEE5C55" w14:textId="77777777" w:rsidR="009F1C07" w:rsidRPr="00B261E2" w:rsidRDefault="009F1C07" w:rsidP="009F1C07">
      <w:pPr>
        <w:rPr>
          <w:rFonts w:asciiTheme="majorHAnsi" w:hAnsiTheme="majorHAnsi" w:cstheme="majorHAnsi"/>
          <w:sz w:val="20"/>
          <w:szCs w:val="20"/>
        </w:rPr>
      </w:pPr>
    </w:p>
    <w:p w14:paraId="2CE8CAC2" w14:textId="77777777" w:rsidR="005439C7" w:rsidRPr="009F1C07" w:rsidRDefault="005439C7" w:rsidP="009F1C07"/>
    <w:sectPr w:rsidR="005439C7" w:rsidRPr="009F1C07" w:rsidSect="00F15056">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00925" w14:textId="77777777" w:rsidR="003F739F" w:rsidRDefault="003F739F">
      <w:pPr>
        <w:spacing w:after="0" w:line="240" w:lineRule="auto"/>
      </w:pPr>
      <w:r>
        <w:separator/>
      </w:r>
    </w:p>
  </w:endnote>
  <w:endnote w:type="continuationSeparator" w:id="0">
    <w:p w14:paraId="5AF1A334" w14:textId="77777777" w:rsidR="003F739F" w:rsidRDefault="003F739F">
      <w:pPr>
        <w:spacing w:after="0" w:line="240" w:lineRule="auto"/>
      </w:pPr>
      <w:r>
        <w:continuationSeparator/>
      </w:r>
    </w:p>
  </w:endnote>
  <w:endnote w:type="continuationNotice" w:id="1">
    <w:p w14:paraId="6C414468" w14:textId="77777777" w:rsidR="003F739F" w:rsidRDefault="003F73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Book">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4305228"/>
      <w:docPartObj>
        <w:docPartGallery w:val="Page Numbers (Bottom of Page)"/>
        <w:docPartUnique/>
      </w:docPartObj>
    </w:sdtPr>
    <w:sdtEndPr>
      <w:rPr>
        <w:noProof/>
      </w:rPr>
    </w:sdtEndPr>
    <w:sdtContent>
      <w:p w14:paraId="3EF2B22C" w14:textId="77777777" w:rsidR="00300FE0" w:rsidRDefault="00EB64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AA129B" w14:textId="77777777" w:rsidR="00857A65" w:rsidRDefault="003F73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2F2A7" w14:textId="77777777" w:rsidR="003F739F" w:rsidRDefault="003F739F">
      <w:pPr>
        <w:spacing w:after="0" w:line="240" w:lineRule="auto"/>
      </w:pPr>
      <w:r>
        <w:separator/>
      </w:r>
    </w:p>
  </w:footnote>
  <w:footnote w:type="continuationSeparator" w:id="0">
    <w:p w14:paraId="67CFF471" w14:textId="77777777" w:rsidR="003F739F" w:rsidRDefault="003F739F">
      <w:pPr>
        <w:spacing w:after="0" w:line="240" w:lineRule="auto"/>
      </w:pPr>
      <w:r>
        <w:continuationSeparator/>
      </w:r>
    </w:p>
  </w:footnote>
  <w:footnote w:type="continuationNotice" w:id="1">
    <w:p w14:paraId="78995BC9" w14:textId="77777777" w:rsidR="003F739F" w:rsidRDefault="003F739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950F5F"/>
    <w:multiLevelType w:val="hybridMultilevel"/>
    <w:tmpl w:val="C04CA1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79544B"/>
    <w:multiLevelType w:val="multilevel"/>
    <w:tmpl w:val="38D49E2E"/>
    <w:lvl w:ilvl="0">
      <w:start w:val="1"/>
      <w:numFmt w:val="decimal"/>
      <w:lvlText w:val="%1."/>
      <w:lvlJc w:val="left"/>
      <w:pPr>
        <w:ind w:left="360" w:hanging="360"/>
      </w:pPr>
      <w:rPr>
        <w:rFonts w:asciiTheme="majorHAnsi" w:hAnsiTheme="majorHAnsi" w:cstheme="majorHAnsi" w:hint="default"/>
        <w:b w:val="0"/>
        <w:bCs w:val="0"/>
        <w:sz w:val="28"/>
        <w:szCs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C07"/>
    <w:rsid w:val="00051723"/>
    <w:rsid w:val="00084A9B"/>
    <w:rsid w:val="00084BB9"/>
    <w:rsid w:val="000A72B1"/>
    <w:rsid w:val="00104004"/>
    <w:rsid w:val="001403BD"/>
    <w:rsid w:val="0017765E"/>
    <w:rsid w:val="001C27E9"/>
    <w:rsid w:val="001C315F"/>
    <w:rsid w:val="001F1CF5"/>
    <w:rsid w:val="002961B5"/>
    <w:rsid w:val="00315DD2"/>
    <w:rsid w:val="00360BE0"/>
    <w:rsid w:val="00375096"/>
    <w:rsid w:val="0037725E"/>
    <w:rsid w:val="00392366"/>
    <w:rsid w:val="003A0EC0"/>
    <w:rsid w:val="003B1FDA"/>
    <w:rsid w:val="003F739F"/>
    <w:rsid w:val="0040726C"/>
    <w:rsid w:val="00473200"/>
    <w:rsid w:val="00484534"/>
    <w:rsid w:val="00527C57"/>
    <w:rsid w:val="005439C7"/>
    <w:rsid w:val="00611F85"/>
    <w:rsid w:val="00632876"/>
    <w:rsid w:val="0072347B"/>
    <w:rsid w:val="007359C6"/>
    <w:rsid w:val="007A066B"/>
    <w:rsid w:val="0088037A"/>
    <w:rsid w:val="00884579"/>
    <w:rsid w:val="008B2B72"/>
    <w:rsid w:val="008D562B"/>
    <w:rsid w:val="00912AD1"/>
    <w:rsid w:val="009B1652"/>
    <w:rsid w:val="009F1C07"/>
    <w:rsid w:val="00A41704"/>
    <w:rsid w:val="00A70C3B"/>
    <w:rsid w:val="00A826A5"/>
    <w:rsid w:val="00C26C3A"/>
    <w:rsid w:val="00C62850"/>
    <w:rsid w:val="00D50C3D"/>
    <w:rsid w:val="00E030C9"/>
    <w:rsid w:val="00EB6496"/>
    <w:rsid w:val="00F15056"/>
    <w:rsid w:val="00F64E34"/>
    <w:rsid w:val="00FD13EF"/>
    <w:rsid w:val="06EFE3F8"/>
    <w:rsid w:val="1567754A"/>
    <w:rsid w:val="34D2B9E4"/>
    <w:rsid w:val="473F0197"/>
    <w:rsid w:val="57990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CF0DD"/>
  <w15:chartTrackingRefBased/>
  <w15:docId w15:val="{E4819970-1189-4980-B311-6D0493FA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C07"/>
    <w:rPr>
      <w:rFonts w:eastAsiaTheme="minorEastAsia"/>
    </w:rPr>
  </w:style>
  <w:style w:type="paragraph" w:styleId="Heading1">
    <w:name w:val="heading 1"/>
    <w:basedOn w:val="Normal"/>
    <w:next w:val="Normal"/>
    <w:link w:val="Heading1Char"/>
    <w:uiPriority w:val="9"/>
    <w:qFormat/>
    <w:rsid w:val="009F1C07"/>
    <w:pPr>
      <w:keepNext/>
      <w:keepLines/>
      <w:spacing w:before="400" w:after="40" w:line="240" w:lineRule="auto"/>
      <w:outlineLvl w:val="0"/>
    </w:pPr>
    <w:rPr>
      <w:rFonts w:asciiTheme="majorHAnsi" w:eastAsiaTheme="majorEastAsia" w:hAnsiTheme="majorHAnsi" w:cstheme="majorBidi"/>
      <w:sz w:val="36"/>
      <w:szCs w:val="36"/>
    </w:rPr>
  </w:style>
  <w:style w:type="paragraph" w:styleId="Heading2">
    <w:name w:val="heading 2"/>
    <w:basedOn w:val="Normal"/>
    <w:next w:val="Normal"/>
    <w:link w:val="Heading2Char"/>
    <w:unhideWhenUsed/>
    <w:qFormat/>
    <w:rsid w:val="009F1C07"/>
    <w:pPr>
      <w:keepNext/>
      <w:keepLines/>
      <w:spacing w:before="40" w:after="0" w:line="240" w:lineRule="auto"/>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nhideWhenUsed/>
    <w:qFormat/>
    <w:rsid w:val="009F1C07"/>
    <w:pPr>
      <w:keepNext/>
      <w:keepLines/>
      <w:spacing w:before="40" w:after="0" w:line="240" w:lineRule="auto"/>
      <w:outlineLvl w:val="2"/>
    </w:pPr>
    <w:rPr>
      <w:rFonts w:asciiTheme="majorHAnsi" w:eastAsiaTheme="majorEastAsia" w:hAnsiTheme="majorHAnsi" w:cstheme="majorBidi"/>
      <w:sz w:val="28"/>
      <w:szCs w:val="28"/>
    </w:rPr>
  </w:style>
  <w:style w:type="paragraph" w:styleId="Heading4">
    <w:name w:val="heading 4"/>
    <w:basedOn w:val="Normal"/>
    <w:next w:val="Normal"/>
    <w:link w:val="Heading4Char"/>
    <w:unhideWhenUsed/>
    <w:qFormat/>
    <w:rsid w:val="009F1C07"/>
    <w:pPr>
      <w:keepNext/>
      <w:keepLines/>
      <w:spacing w:before="4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nhideWhenUsed/>
    <w:qFormat/>
    <w:rsid w:val="009F1C07"/>
    <w:pPr>
      <w:keepNext/>
      <w:keepLines/>
      <w:spacing w:before="40" w:after="0"/>
      <w:outlineLvl w:val="4"/>
    </w:pPr>
    <w:rPr>
      <w:rFonts w:asciiTheme="majorHAnsi" w:eastAsiaTheme="majorEastAsia" w:hAnsiTheme="majorHAnsi" w:cstheme="majorBidi"/>
      <w:caps/>
    </w:rPr>
  </w:style>
  <w:style w:type="paragraph" w:styleId="Heading6">
    <w:name w:val="heading 6"/>
    <w:basedOn w:val="Normal"/>
    <w:next w:val="Normal"/>
    <w:link w:val="Heading6Char"/>
    <w:unhideWhenUsed/>
    <w:qFormat/>
    <w:rsid w:val="009F1C07"/>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nhideWhenUsed/>
    <w:qFormat/>
    <w:rsid w:val="009F1C07"/>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nhideWhenUsed/>
    <w:qFormat/>
    <w:rsid w:val="009F1C07"/>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nhideWhenUsed/>
    <w:qFormat/>
    <w:rsid w:val="009F1C07"/>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C07"/>
    <w:rPr>
      <w:rFonts w:asciiTheme="majorHAnsi" w:eastAsiaTheme="majorEastAsia" w:hAnsiTheme="majorHAnsi" w:cstheme="majorBidi"/>
      <w:sz w:val="36"/>
      <w:szCs w:val="36"/>
    </w:rPr>
  </w:style>
  <w:style w:type="character" w:customStyle="1" w:styleId="Heading2Char">
    <w:name w:val="Heading 2 Char"/>
    <w:basedOn w:val="DefaultParagraphFont"/>
    <w:link w:val="Heading2"/>
    <w:rsid w:val="009F1C07"/>
    <w:rPr>
      <w:rFonts w:asciiTheme="majorHAnsi" w:eastAsiaTheme="majorEastAsia" w:hAnsiTheme="majorHAnsi" w:cstheme="majorBidi"/>
      <w:sz w:val="32"/>
      <w:szCs w:val="32"/>
    </w:rPr>
  </w:style>
  <w:style w:type="character" w:customStyle="1" w:styleId="Heading3Char">
    <w:name w:val="Heading 3 Char"/>
    <w:basedOn w:val="DefaultParagraphFont"/>
    <w:link w:val="Heading3"/>
    <w:rsid w:val="009F1C07"/>
    <w:rPr>
      <w:rFonts w:asciiTheme="majorHAnsi" w:eastAsiaTheme="majorEastAsia" w:hAnsiTheme="majorHAnsi" w:cstheme="majorBidi"/>
      <w:sz w:val="28"/>
      <w:szCs w:val="28"/>
    </w:rPr>
  </w:style>
  <w:style w:type="character" w:customStyle="1" w:styleId="Heading4Char">
    <w:name w:val="Heading 4 Char"/>
    <w:basedOn w:val="DefaultParagraphFont"/>
    <w:link w:val="Heading4"/>
    <w:rsid w:val="009F1C07"/>
    <w:rPr>
      <w:rFonts w:asciiTheme="majorHAnsi" w:eastAsiaTheme="majorEastAsia" w:hAnsiTheme="majorHAnsi" w:cstheme="majorBidi"/>
      <w:sz w:val="24"/>
      <w:szCs w:val="24"/>
    </w:rPr>
  </w:style>
  <w:style w:type="character" w:customStyle="1" w:styleId="Heading5Char">
    <w:name w:val="Heading 5 Char"/>
    <w:basedOn w:val="DefaultParagraphFont"/>
    <w:link w:val="Heading5"/>
    <w:rsid w:val="009F1C07"/>
    <w:rPr>
      <w:rFonts w:asciiTheme="majorHAnsi" w:eastAsiaTheme="majorEastAsia" w:hAnsiTheme="majorHAnsi" w:cstheme="majorBidi"/>
      <w:caps/>
    </w:rPr>
  </w:style>
  <w:style w:type="character" w:customStyle="1" w:styleId="Heading6Char">
    <w:name w:val="Heading 6 Char"/>
    <w:basedOn w:val="DefaultParagraphFont"/>
    <w:link w:val="Heading6"/>
    <w:rsid w:val="009F1C07"/>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rsid w:val="009F1C07"/>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rsid w:val="009F1C07"/>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rsid w:val="009F1C07"/>
    <w:rPr>
      <w:rFonts w:asciiTheme="majorHAnsi" w:eastAsiaTheme="majorEastAsia" w:hAnsiTheme="majorHAnsi" w:cstheme="majorBidi"/>
      <w:i/>
      <w:iCs/>
      <w:color w:val="1F3864" w:themeColor="accent1" w:themeShade="80"/>
    </w:rPr>
  </w:style>
  <w:style w:type="paragraph" w:customStyle="1" w:styleId="paragraph">
    <w:name w:val="paragraph"/>
    <w:basedOn w:val="Normal"/>
    <w:rsid w:val="009F1C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F1C07"/>
  </w:style>
  <w:style w:type="character" w:customStyle="1" w:styleId="eop">
    <w:name w:val="eop"/>
    <w:basedOn w:val="DefaultParagraphFont"/>
    <w:rsid w:val="009F1C07"/>
  </w:style>
  <w:style w:type="paragraph" w:styleId="ListParagraph">
    <w:name w:val="List Paragraph"/>
    <w:basedOn w:val="Normal"/>
    <w:uiPriority w:val="34"/>
    <w:qFormat/>
    <w:rsid w:val="009F1C07"/>
    <w:pPr>
      <w:ind w:left="720"/>
      <w:contextualSpacing/>
    </w:pPr>
  </w:style>
  <w:style w:type="paragraph" w:customStyle="1" w:styleId="outlineelement">
    <w:name w:val="outlineelement"/>
    <w:basedOn w:val="Normal"/>
    <w:rsid w:val="009F1C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span">
    <w:name w:val="mathspan"/>
    <w:basedOn w:val="DefaultParagraphFont"/>
    <w:rsid w:val="009F1C07"/>
  </w:style>
  <w:style w:type="character" w:customStyle="1" w:styleId="mn">
    <w:name w:val="mn"/>
    <w:basedOn w:val="DefaultParagraphFont"/>
    <w:rsid w:val="009F1C07"/>
  </w:style>
  <w:style w:type="character" w:customStyle="1" w:styleId="mo">
    <w:name w:val="mo"/>
    <w:basedOn w:val="DefaultParagraphFont"/>
    <w:rsid w:val="009F1C07"/>
  </w:style>
  <w:style w:type="character" w:customStyle="1" w:styleId="mi">
    <w:name w:val="mi"/>
    <w:basedOn w:val="DefaultParagraphFont"/>
    <w:rsid w:val="009F1C07"/>
  </w:style>
  <w:style w:type="character" w:customStyle="1" w:styleId="mjxassistivemathml">
    <w:name w:val="mjx_assistive_mathml"/>
    <w:basedOn w:val="DefaultParagraphFont"/>
    <w:rsid w:val="009F1C07"/>
  </w:style>
  <w:style w:type="paragraph" w:styleId="BalloonText">
    <w:name w:val="Balloon Text"/>
    <w:basedOn w:val="Normal"/>
    <w:link w:val="BalloonTextChar"/>
    <w:uiPriority w:val="99"/>
    <w:semiHidden/>
    <w:unhideWhenUsed/>
    <w:rsid w:val="009F1C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1C07"/>
    <w:rPr>
      <w:rFonts w:ascii="Segoe UI" w:eastAsiaTheme="minorEastAsia" w:hAnsi="Segoe UI" w:cs="Segoe UI"/>
      <w:sz w:val="18"/>
      <w:szCs w:val="18"/>
    </w:rPr>
  </w:style>
  <w:style w:type="character" w:styleId="CommentReference">
    <w:name w:val="annotation reference"/>
    <w:basedOn w:val="DefaultParagraphFont"/>
    <w:uiPriority w:val="99"/>
    <w:semiHidden/>
    <w:unhideWhenUsed/>
    <w:rsid w:val="009F1C07"/>
    <w:rPr>
      <w:sz w:val="16"/>
      <w:szCs w:val="16"/>
    </w:rPr>
  </w:style>
  <w:style w:type="paragraph" w:styleId="CommentText">
    <w:name w:val="annotation text"/>
    <w:basedOn w:val="Normal"/>
    <w:link w:val="CommentTextChar"/>
    <w:uiPriority w:val="99"/>
    <w:semiHidden/>
    <w:unhideWhenUsed/>
    <w:rsid w:val="009F1C07"/>
    <w:pPr>
      <w:spacing w:line="240" w:lineRule="auto"/>
    </w:pPr>
    <w:rPr>
      <w:sz w:val="20"/>
      <w:szCs w:val="20"/>
    </w:rPr>
  </w:style>
  <w:style w:type="character" w:customStyle="1" w:styleId="CommentTextChar">
    <w:name w:val="Comment Text Char"/>
    <w:basedOn w:val="DefaultParagraphFont"/>
    <w:link w:val="CommentText"/>
    <w:uiPriority w:val="99"/>
    <w:semiHidden/>
    <w:rsid w:val="009F1C07"/>
    <w:rPr>
      <w:rFonts w:eastAsiaTheme="minorEastAsia"/>
      <w:sz w:val="20"/>
      <w:szCs w:val="20"/>
    </w:rPr>
  </w:style>
  <w:style w:type="character" w:styleId="Hyperlink">
    <w:name w:val="Hyperlink"/>
    <w:uiPriority w:val="99"/>
    <w:unhideWhenUsed/>
    <w:rsid w:val="009F1C07"/>
    <w:rPr>
      <w:color w:val="0000FF"/>
      <w:u w:val="single"/>
    </w:rPr>
  </w:style>
  <w:style w:type="paragraph" w:styleId="Caption">
    <w:name w:val="caption"/>
    <w:basedOn w:val="Normal"/>
    <w:next w:val="Normal"/>
    <w:unhideWhenUsed/>
    <w:qFormat/>
    <w:rsid w:val="009F1C07"/>
    <w:pPr>
      <w:spacing w:line="240" w:lineRule="auto"/>
    </w:pPr>
    <w:rPr>
      <w:b/>
      <w:bCs/>
      <w:smallCaps/>
      <w:color w:val="44546A" w:themeColor="text2"/>
    </w:rPr>
  </w:style>
  <w:style w:type="paragraph" w:styleId="CommentSubject">
    <w:name w:val="annotation subject"/>
    <w:basedOn w:val="CommentText"/>
    <w:next w:val="CommentText"/>
    <w:link w:val="CommentSubjectChar"/>
    <w:uiPriority w:val="99"/>
    <w:semiHidden/>
    <w:unhideWhenUsed/>
    <w:rsid w:val="009F1C07"/>
    <w:rPr>
      <w:b/>
      <w:bCs/>
    </w:rPr>
  </w:style>
  <w:style w:type="character" w:customStyle="1" w:styleId="CommentSubjectChar">
    <w:name w:val="Comment Subject Char"/>
    <w:basedOn w:val="CommentTextChar"/>
    <w:link w:val="CommentSubject"/>
    <w:uiPriority w:val="99"/>
    <w:semiHidden/>
    <w:rsid w:val="009F1C07"/>
    <w:rPr>
      <w:rFonts w:eastAsiaTheme="minorEastAsia"/>
      <w:b/>
      <w:bCs/>
      <w:sz w:val="20"/>
      <w:szCs w:val="20"/>
    </w:rPr>
  </w:style>
  <w:style w:type="character" w:customStyle="1" w:styleId="scxw128721795">
    <w:name w:val="scxw128721795"/>
    <w:basedOn w:val="DefaultParagraphFont"/>
    <w:rsid w:val="009F1C07"/>
  </w:style>
  <w:style w:type="character" w:styleId="UnresolvedMention">
    <w:name w:val="Unresolved Mention"/>
    <w:basedOn w:val="DefaultParagraphFont"/>
    <w:uiPriority w:val="99"/>
    <w:unhideWhenUsed/>
    <w:rsid w:val="009F1C07"/>
    <w:rPr>
      <w:color w:val="605E5C"/>
      <w:shd w:val="clear" w:color="auto" w:fill="E1DFDD"/>
    </w:rPr>
  </w:style>
  <w:style w:type="character" w:styleId="Mention">
    <w:name w:val="Mention"/>
    <w:basedOn w:val="DefaultParagraphFont"/>
    <w:uiPriority w:val="99"/>
    <w:unhideWhenUsed/>
    <w:rsid w:val="009F1C07"/>
    <w:rPr>
      <w:color w:val="2B579A"/>
      <w:shd w:val="clear" w:color="auto" w:fill="E1DFDD"/>
    </w:rPr>
  </w:style>
  <w:style w:type="paragraph" w:styleId="Title">
    <w:name w:val="Title"/>
    <w:basedOn w:val="Normal"/>
    <w:next w:val="Normal"/>
    <w:link w:val="TitleChar"/>
    <w:uiPriority w:val="10"/>
    <w:qFormat/>
    <w:rsid w:val="009F1C0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F1C07"/>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F1C07"/>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9F1C07"/>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9F1C07"/>
    <w:rPr>
      <w:b/>
      <w:bCs/>
    </w:rPr>
  </w:style>
  <w:style w:type="character" w:styleId="Emphasis">
    <w:name w:val="Emphasis"/>
    <w:basedOn w:val="DefaultParagraphFont"/>
    <w:uiPriority w:val="20"/>
    <w:qFormat/>
    <w:rsid w:val="009F1C07"/>
    <w:rPr>
      <w:i/>
      <w:iCs/>
    </w:rPr>
  </w:style>
  <w:style w:type="paragraph" w:styleId="NoSpacing">
    <w:name w:val="No Spacing"/>
    <w:uiPriority w:val="1"/>
    <w:qFormat/>
    <w:rsid w:val="009F1C07"/>
    <w:pPr>
      <w:spacing w:after="0" w:line="240" w:lineRule="auto"/>
    </w:pPr>
    <w:rPr>
      <w:rFonts w:eastAsiaTheme="minorEastAsia"/>
    </w:rPr>
  </w:style>
  <w:style w:type="paragraph" w:styleId="Quote">
    <w:name w:val="Quote"/>
    <w:basedOn w:val="Normal"/>
    <w:next w:val="Normal"/>
    <w:link w:val="QuoteChar"/>
    <w:uiPriority w:val="29"/>
    <w:qFormat/>
    <w:rsid w:val="009F1C07"/>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F1C07"/>
    <w:rPr>
      <w:rFonts w:eastAsiaTheme="minorEastAsia"/>
      <w:color w:val="44546A" w:themeColor="text2"/>
      <w:sz w:val="24"/>
      <w:szCs w:val="24"/>
    </w:rPr>
  </w:style>
  <w:style w:type="paragraph" w:styleId="IntenseQuote">
    <w:name w:val="Intense Quote"/>
    <w:basedOn w:val="Normal"/>
    <w:next w:val="Normal"/>
    <w:link w:val="IntenseQuoteChar"/>
    <w:uiPriority w:val="30"/>
    <w:qFormat/>
    <w:rsid w:val="009F1C0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F1C07"/>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F1C07"/>
    <w:rPr>
      <w:i/>
      <w:iCs/>
      <w:color w:val="595959" w:themeColor="text1" w:themeTint="A6"/>
    </w:rPr>
  </w:style>
  <w:style w:type="character" w:styleId="IntenseEmphasis">
    <w:name w:val="Intense Emphasis"/>
    <w:basedOn w:val="DefaultParagraphFont"/>
    <w:uiPriority w:val="21"/>
    <w:qFormat/>
    <w:rsid w:val="009F1C07"/>
    <w:rPr>
      <w:b/>
      <w:bCs/>
      <w:i/>
      <w:iCs/>
    </w:rPr>
  </w:style>
  <w:style w:type="character" w:styleId="SubtleReference">
    <w:name w:val="Subtle Reference"/>
    <w:basedOn w:val="DefaultParagraphFont"/>
    <w:uiPriority w:val="31"/>
    <w:qFormat/>
    <w:rsid w:val="009F1C0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F1C07"/>
    <w:rPr>
      <w:b/>
      <w:bCs/>
      <w:smallCaps/>
      <w:color w:val="44546A" w:themeColor="text2"/>
      <w:u w:val="single"/>
    </w:rPr>
  </w:style>
  <w:style w:type="character" w:styleId="BookTitle">
    <w:name w:val="Book Title"/>
    <w:basedOn w:val="DefaultParagraphFont"/>
    <w:uiPriority w:val="33"/>
    <w:qFormat/>
    <w:rsid w:val="009F1C07"/>
    <w:rPr>
      <w:b/>
      <w:bCs/>
      <w:smallCaps/>
      <w:spacing w:val="10"/>
    </w:rPr>
  </w:style>
  <w:style w:type="paragraph" w:styleId="TOCHeading">
    <w:name w:val="TOC Heading"/>
    <w:basedOn w:val="Heading1"/>
    <w:next w:val="Normal"/>
    <w:uiPriority w:val="39"/>
    <w:unhideWhenUsed/>
    <w:qFormat/>
    <w:rsid w:val="009F1C07"/>
    <w:pPr>
      <w:outlineLvl w:val="9"/>
    </w:pPr>
    <w:rPr>
      <w:b/>
      <w:bCs/>
    </w:rPr>
  </w:style>
  <w:style w:type="paragraph" w:styleId="Header">
    <w:name w:val="header"/>
    <w:basedOn w:val="Normal"/>
    <w:link w:val="HeaderChar"/>
    <w:uiPriority w:val="99"/>
    <w:unhideWhenUsed/>
    <w:rsid w:val="009F1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1C07"/>
    <w:rPr>
      <w:rFonts w:eastAsiaTheme="minorEastAsia"/>
    </w:rPr>
  </w:style>
  <w:style w:type="paragraph" w:styleId="Footer">
    <w:name w:val="footer"/>
    <w:basedOn w:val="Normal"/>
    <w:link w:val="FooterChar"/>
    <w:uiPriority w:val="99"/>
    <w:unhideWhenUsed/>
    <w:rsid w:val="009F1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1C07"/>
    <w:rPr>
      <w:rFonts w:eastAsiaTheme="minorEastAsia"/>
    </w:rPr>
  </w:style>
  <w:style w:type="paragraph" w:styleId="TOC1">
    <w:name w:val="toc 1"/>
    <w:basedOn w:val="Normal"/>
    <w:next w:val="Normal"/>
    <w:autoRedefine/>
    <w:uiPriority w:val="39"/>
    <w:unhideWhenUsed/>
    <w:rsid w:val="009F1C07"/>
    <w:pPr>
      <w:spacing w:after="100"/>
    </w:pPr>
  </w:style>
  <w:style w:type="paragraph" w:styleId="TOC2">
    <w:name w:val="toc 2"/>
    <w:basedOn w:val="Normal"/>
    <w:next w:val="Normal"/>
    <w:autoRedefine/>
    <w:uiPriority w:val="39"/>
    <w:unhideWhenUsed/>
    <w:rsid w:val="009F1C07"/>
    <w:pPr>
      <w:spacing w:after="100"/>
      <w:ind w:left="220"/>
    </w:pPr>
  </w:style>
  <w:style w:type="paragraph" w:styleId="TOC3">
    <w:name w:val="toc 3"/>
    <w:basedOn w:val="Normal"/>
    <w:next w:val="Normal"/>
    <w:autoRedefine/>
    <w:uiPriority w:val="39"/>
    <w:unhideWhenUsed/>
    <w:rsid w:val="009F1C07"/>
    <w:pPr>
      <w:spacing w:after="100"/>
      <w:ind w:left="440"/>
    </w:pPr>
  </w:style>
  <w:style w:type="table" w:styleId="TableGrid">
    <w:name w:val="Table Grid"/>
    <w:basedOn w:val="TableNormal"/>
    <w:uiPriority w:val="39"/>
    <w:rsid w:val="009F1C07"/>
    <w:pPr>
      <w:spacing w:after="0" w:line="240" w:lineRule="auto"/>
    </w:pPr>
    <w:rPr>
      <w:rFonts w:ascii="Times New Roman" w:eastAsia="Times New Roman" w:hAnsi="Times New Roman" w:cs="Times New Roman"/>
      <w:sz w:val="24"/>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content">
    <w:name w:val="table content"/>
    <w:basedOn w:val="Normal"/>
    <w:qFormat/>
    <w:rsid w:val="009F1C07"/>
    <w:pPr>
      <w:spacing w:after="0" w:line="240" w:lineRule="auto"/>
      <w:jc w:val="both"/>
    </w:pPr>
    <w:rPr>
      <w:rFonts w:ascii="Times New Roman" w:eastAsiaTheme="minorHAnsi" w:hAnsi="Times New Roman" w:cs="Times New Roman"/>
      <w:sz w:val="16"/>
      <w:szCs w:val="24"/>
    </w:rPr>
  </w:style>
  <w:style w:type="character" w:customStyle="1" w:styleId="fontstyle01">
    <w:name w:val="fontstyle01"/>
    <w:basedOn w:val="DefaultParagraphFont"/>
    <w:rsid w:val="009F1C07"/>
    <w:rPr>
      <w:rFonts w:ascii="Avenir-Book" w:hAnsi="Avenir-Book" w:hint="default"/>
      <w:b w:val="0"/>
      <w:bCs w:val="0"/>
      <w:i w:val="0"/>
      <w:iCs w:val="0"/>
      <w:color w:val="59595B"/>
      <w:sz w:val="80"/>
      <w:szCs w:val="80"/>
    </w:rPr>
  </w:style>
  <w:style w:type="paragraph" w:styleId="Revision">
    <w:name w:val="Revision"/>
    <w:hidden/>
    <w:uiPriority w:val="99"/>
    <w:semiHidden/>
    <w:rsid w:val="009F1C07"/>
    <w:pPr>
      <w:spacing w:after="0" w:line="240" w:lineRule="auto"/>
    </w:pPr>
    <w:rPr>
      <w:rFonts w:eastAsiaTheme="minorEastAsia"/>
    </w:rPr>
  </w:style>
  <w:style w:type="paragraph" w:styleId="NormalWeb">
    <w:name w:val="Normal (Web)"/>
    <w:basedOn w:val="Normal"/>
    <w:uiPriority w:val="99"/>
    <w:semiHidden/>
    <w:unhideWhenUsed/>
    <w:rsid w:val="009F1C07"/>
    <w:pPr>
      <w:spacing w:before="100" w:beforeAutospacing="1" w:after="100" w:afterAutospacing="1" w:line="240" w:lineRule="auto"/>
    </w:pPr>
    <w:rPr>
      <w:rFonts w:ascii="Times New Roman" w:eastAsia="Times New Roman" w:hAnsi="Times New Roman" w:cs="Times New Roman"/>
      <w:sz w:val="24"/>
      <w:szCs w:val="24"/>
    </w:rPr>
  </w:style>
  <w:style w:type="table" w:styleId="GridTable3">
    <w:name w:val="Grid Table 3"/>
    <w:basedOn w:val="TableNormal"/>
    <w:uiPriority w:val="48"/>
    <w:rsid w:val="009F1C07"/>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leGrid0">
    <w:name w:val="TableGrid"/>
    <w:rsid w:val="009F1C07"/>
    <w:pPr>
      <w:spacing w:after="0" w:line="240" w:lineRule="auto"/>
    </w:pPr>
    <w:rPr>
      <w:rFonts w:eastAsiaTheme="minorEastAsia"/>
    </w:rPr>
    <w:tblPr>
      <w:tblCellMar>
        <w:top w:w="0" w:type="dxa"/>
        <w:left w:w="0" w:type="dxa"/>
        <w:bottom w:w="0" w:type="dxa"/>
        <w:right w:w="0" w:type="dxa"/>
      </w:tblCellMar>
    </w:tblPr>
  </w:style>
  <w:style w:type="character" w:styleId="FollowedHyperlink">
    <w:name w:val="FollowedHyperlink"/>
    <w:basedOn w:val="DefaultParagraphFont"/>
    <w:uiPriority w:val="99"/>
    <w:semiHidden/>
    <w:unhideWhenUsed/>
    <w:rsid w:val="009F1C07"/>
    <w:rPr>
      <w:color w:val="954F72" w:themeColor="followedHyperlink"/>
      <w:u w:val="single"/>
    </w:rPr>
  </w:style>
  <w:style w:type="character" w:styleId="PlaceholderText">
    <w:name w:val="Placeholder Text"/>
    <w:basedOn w:val="DefaultParagraphFont"/>
    <w:uiPriority w:val="99"/>
    <w:semiHidden/>
    <w:rsid w:val="009F1C07"/>
    <w:rPr>
      <w:color w:val="808080"/>
    </w:rPr>
  </w:style>
  <w:style w:type="paragraph" w:customStyle="1" w:styleId="csl-entry">
    <w:name w:val="csl-entry"/>
    <w:basedOn w:val="Normal"/>
    <w:rsid w:val="009F1C07"/>
    <w:pPr>
      <w:spacing w:before="100" w:beforeAutospacing="1" w:after="100" w:afterAutospacing="1" w:line="240" w:lineRule="auto"/>
    </w:pPr>
    <w:rPr>
      <w:rFonts w:ascii="Times New Roman" w:hAnsi="Times New Roman" w:cs="Times New Roman"/>
      <w:sz w:val="24"/>
      <w:szCs w:val="24"/>
    </w:rPr>
  </w:style>
  <w:style w:type="character" w:styleId="LineNumber">
    <w:name w:val="line number"/>
    <w:basedOn w:val="DefaultParagraphFont"/>
    <w:uiPriority w:val="99"/>
    <w:semiHidden/>
    <w:unhideWhenUsed/>
    <w:rsid w:val="009F1C07"/>
  </w:style>
  <w:style w:type="paragraph" w:styleId="FootnoteText">
    <w:name w:val="footnote text"/>
    <w:basedOn w:val="Normal"/>
    <w:link w:val="FootnoteTextChar"/>
    <w:uiPriority w:val="99"/>
    <w:semiHidden/>
    <w:unhideWhenUsed/>
    <w:rsid w:val="009F1C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1C07"/>
    <w:rPr>
      <w:rFonts w:eastAsiaTheme="minorEastAsia"/>
      <w:sz w:val="20"/>
      <w:szCs w:val="20"/>
    </w:rPr>
  </w:style>
  <w:style w:type="character" w:styleId="FootnoteReference">
    <w:name w:val="footnote reference"/>
    <w:basedOn w:val="DefaultParagraphFont"/>
    <w:uiPriority w:val="99"/>
    <w:semiHidden/>
    <w:unhideWhenUsed/>
    <w:rsid w:val="009F1C07"/>
    <w:rPr>
      <w:vertAlign w:val="superscript"/>
    </w:rPr>
  </w:style>
  <w:style w:type="paragraph" w:styleId="Bibliography">
    <w:name w:val="Bibliography"/>
    <w:basedOn w:val="Normal"/>
    <w:next w:val="Normal"/>
    <w:uiPriority w:val="37"/>
    <w:unhideWhenUsed/>
    <w:rsid w:val="009F1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23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677C2577180A449A12C0346E277D640" ma:contentTypeVersion="13" ma:contentTypeDescription="Create a new document." ma:contentTypeScope="" ma:versionID="a50c1f4efc6eee4cd7d52e21344bd7aa">
  <xsd:schema xmlns:xsd="http://www.w3.org/2001/XMLSchema" xmlns:xs="http://www.w3.org/2001/XMLSchema" xmlns:p="http://schemas.microsoft.com/office/2006/metadata/properties" xmlns:ns2="4eae22c8-0a18-4932-9634-2ac19284dd4d" xmlns:ns3="af5f7178-ebf3-479d-b81a-57d0a5ff7c68" targetNamespace="http://schemas.microsoft.com/office/2006/metadata/properties" ma:root="true" ma:fieldsID="0b7271fd9f47f9d00d145d3e7e7fc677" ns2:_="" ns3:_="">
    <xsd:import namespace="4eae22c8-0a18-4932-9634-2ac19284dd4d"/>
    <xsd:import namespace="af5f7178-ebf3-479d-b81a-57d0a5ff7c6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ae22c8-0a18-4932-9634-2ac19284dd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f5f7178-ebf3-479d-b81a-57d0a5ff7c6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D9C479-E6B3-4DB0-B9F0-8C75D44EACE4}">
  <ds:schemaRefs>
    <ds:schemaRef ds:uri="http://schemas.microsoft.com/sharepoint/v3/contenttype/forms"/>
  </ds:schemaRefs>
</ds:datastoreItem>
</file>

<file path=customXml/itemProps2.xml><?xml version="1.0" encoding="utf-8"?>
<ds:datastoreItem xmlns:ds="http://schemas.openxmlformats.org/officeDocument/2006/customXml" ds:itemID="{F902153E-32F5-4E0A-9904-72A9A0EAA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ae22c8-0a18-4932-9634-2ac19284dd4d"/>
    <ds:schemaRef ds:uri="af5f7178-ebf3-479d-b81a-57d0a5ff7c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386E13-E2B0-4C84-8E62-BA49ACEBBFA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2437</Words>
  <Characters>13896</Characters>
  <Application>Microsoft Office Word</Application>
  <DocSecurity>0</DocSecurity>
  <Lines>115</Lines>
  <Paragraphs>32</Paragraphs>
  <ScaleCrop>false</ScaleCrop>
  <Company/>
  <LinksUpToDate>false</LinksUpToDate>
  <CharactersWithSpaces>16301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Bagby</dc:creator>
  <cp:keywords/>
  <dc:description/>
  <cp:lastModifiedBy>Christina Settler (C)</cp:lastModifiedBy>
  <cp:revision>16</cp:revision>
  <cp:lastPrinted>2021-12-08T17:17:00Z</cp:lastPrinted>
  <dcterms:created xsi:type="dcterms:W3CDTF">2022-01-24T18:41:00Z</dcterms:created>
  <dcterms:modified xsi:type="dcterms:W3CDTF">2022-12-30T15:51:00Z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0x010100A677C2577180A449A12C0346E277D640</vt:lpwstr>
  </property>
</Properties>
</file>