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u w:val="none"/>
        </w:rPr>
      </w:pPr>
      <w:r>
        <w:rPr>
          <w:rFonts w:hint="default"/>
          <w:u w:val="none"/>
        </w:rPr>
        <w:t>Supplementary</w:t>
      </w:r>
      <w:r>
        <w:rPr>
          <w:rFonts w:hint="eastAsia"/>
          <w:u w:val="none"/>
          <w:lang w:val="en-US" w:eastAsia="zh-CN"/>
        </w:rPr>
        <w:t xml:space="preserve"> </w:t>
      </w:r>
      <w:r>
        <w:rPr>
          <w:u w:val="none"/>
        </w:rPr>
        <w:t xml:space="preserve">Table </w:t>
      </w:r>
      <w:r>
        <w:rPr>
          <w:rFonts w:hint="eastAsia"/>
          <w:u w:val="none"/>
          <w:lang w:val="en-US" w:eastAsia="zh-CN"/>
        </w:rPr>
        <w:t>1</w:t>
      </w:r>
      <w:r>
        <w:rPr>
          <w:u w:val="none"/>
        </w:rPr>
        <w:t xml:space="preserve"> Comparison of postoperative extubation time, abnormal radiographic changes and pulmonary complications</w:t>
      </w:r>
    </w:p>
    <w:p>
      <w:pPr>
        <w:jc w:val="left"/>
        <w:rPr>
          <w:u w:val="none"/>
        </w:rPr>
      </w:pPr>
    </w:p>
    <w:tbl>
      <w:tblPr>
        <w:tblStyle w:val="2"/>
        <w:tblW w:w="9034" w:type="dxa"/>
        <w:tblInd w:w="-365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99"/>
        <w:gridCol w:w="1800"/>
        <w:gridCol w:w="1784"/>
        <w:gridCol w:w="1867"/>
        <w:gridCol w:w="1184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399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Variables</w:t>
            </w:r>
          </w:p>
        </w:tc>
        <w:tc>
          <w:tcPr>
            <w:tcW w:w="180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Total patients</w:t>
            </w:r>
          </w:p>
        </w:tc>
        <w:tc>
          <w:tcPr>
            <w:tcW w:w="178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PCV-VG</w:t>
            </w:r>
          </w:p>
        </w:tc>
        <w:tc>
          <w:tcPr>
            <w:tcW w:w="1867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PCV</w:t>
            </w:r>
          </w:p>
        </w:tc>
        <w:tc>
          <w:tcPr>
            <w:tcW w:w="1184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P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399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80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(n=110)</w:t>
            </w:r>
          </w:p>
        </w:tc>
        <w:tc>
          <w:tcPr>
            <w:tcW w:w="1784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(n = 56)</w:t>
            </w:r>
          </w:p>
        </w:tc>
        <w:tc>
          <w:tcPr>
            <w:tcW w:w="1867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(n = 54)</w:t>
            </w:r>
          </w:p>
        </w:tc>
        <w:tc>
          <w:tcPr>
            <w:tcW w:w="1184" w:type="dxa"/>
            <w:vMerge w:val="continue"/>
            <w:tcBorders>
              <w:bottom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399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Extubation time, min</w:t>
            </w:r>
          </w:p>
        </w:tc>
        <w:tc>
          <w:tcPr>
            <w:tcW w:w="1800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31 (23,40)</w:t>
            </w:r>
          </w:p>
        </w:tc>
        <w:tc>
          <w:tcPr>
            <w:tcW w:w="1784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30.5 (23, 40)</w:t>
            </w:r>
          </w:p>
        </w:tc>
        <w:tc>
          <w:tcPr>
            <w:tcW w:w="1867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35 (22.5, 40.5)</w:t>
            </w:r>
          </w:p>
        </w:tc>
        <w:tc>
          <w:tcPr>
            <w:tcW w:w="1184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0.471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</w:trPr>
        <w:tc>
          <w:tcPr>
            <w:tcW w:w="2399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Abnormal radiographic changes</w:t>
            </w:r>
          </w:p>
        </w:tc>
        <w:tc>
          <w:tcPr>
            <w:tcW w:w="180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86 (78.2%)</w:t>
            </w:r>
          </w:p>
        </w:tc>
        <w:tc>
          <w:tcPr>
            <w:tcW w:w="178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41 (73.2%)</w:t>
            </w:r>
          </w:p>
        </w:tc>
        <w:tc>
          <w:tcPr>
            <w:tcW w:w="1867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45 (83.3%)</w:t>
            </w:r>
          </w:p>
        </w:tc>
        <w:tc>
          <w:tcPr>
            <w:tcW w:w="118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 xml:space="preserve">0.199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399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 xml:space="preserve">infiltration </w:t>
            </w:r>
          </w:p>
        </w:tc>
        <w:tc>
          <w:tcPr>
            <w:tcW w:w="180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72 (65.5%)</w:t>
            </w:r>
          </w:p>
        </w:tc>
        <w:tc>
          <w:tcPr>
            <w:tcW w:w="178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34 (60.7%)</w:t>
            </w:r>
          </w:p>
        </w:tc>
        <w:tc>
          <w:tcPr>
            <w:tcW w:w="1867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38 (70.4%)</w:t>
            </w:r>
          </w:p>
        </w:tc>
        <w:tc>
          <w:tcPr>
            <w:tcW w:w="118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 xml:space="preserve">0.287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399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pleural effusion</w:t>
            </w:r>
          </w:p>
        </w:tc>
        <w:tc>
          <w:tcPr>
            <w:tcW w:w="180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56 (50.9%)</w:t>
            </w:r>
          </w:p>
        </w:tc>
        <w:tc>
          <w:tcPr>
            <w:tcW w:w="178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27 (48.2%)</w:t>
            </w:r>
          </w:p>
        </w:tc>
        <w:tc>
          <w:tcPr>
            <w:tcW w:w="1867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29 (53.7%)</w:t>
            </w:r>
          </w:p>
        </w:tc>
        <w:tc>
          <w:tcPr>
            <w:tcW w:w="118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 xml:space="preserve">0.565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399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ateclectasis</w:t>
            </w:r>
          </w:p>
        </w:tc>
        <w:tc>
          <w:tcPr>
            <w:tcW w:w="180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9 (8.2%)</w:t>
            </w:r>
          </w:p>
        </w:tc>
        <w:tc>
          <w:tcPr>
            <w:tcW w:w="178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6 (10.7%)</w:t>
            </w:r>
          </w:p>
        </w:tc>
        <w:tc>
          <w:tcPr>
            <w:tcW w:w="1867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3 (5.6%)</w:t>
            </w:r>
          </w:p>
        </w:tc>
        <w:tc>
          <w:tcPr>
            <w:tcW w:w="118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 xml:space="preserve">0.324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399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emphysema</w:t>
            </w:r>
          </w:p>
        </w:tc>
        <w:tc>
          <w:tcPr>
            <w:tcW w:w="180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1 (0.9%)</w:t>
            </w:r>
          </w:p>
        </w:tc>
        <w:tc>
          <w:tcPr>
            <w:tcW w:w="178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</w:t>
            </w:r>
          </w:p>
        </w:tc>
        <w:tc>
          <w:tcPr>
            <w:tcW w:w="1867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1 (1.9%）</w:t>
            </w:r>
          </w:p>
        </w:tc>
        <w:tc>
          <w:tcPr>
            <w:tcW w:w="118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 xml:space="preserve">0.306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399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Total PPCs</w:t>
            </w:r>
          </w:p>
        </w:tc>
        <w:tc>
          <w:tcPr>
            <w:tcW w:w="180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10 (9.1%)</w:t>
            </w:r>
          </w:p>
        </w:tc>
        <w:tc>
          <w:tcPr>
            <w:tcW w:w="178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4 (7.1%)</w:t>
            </w:r>
          </w:p>
        </w:tc>
        <w:tc>
          <w:tcPr>
            <w:tcW w:w="1867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6 (11.1%)</w:t>
            </w:r>
          </w:p>
        </w:tc>
        <w:tc>
          <w:tcPr>
            <w:tcW w:w="118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 xml:space="preserve">0.473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399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pneumonia</w:t>
            </w:r>
          </w:p>
        </w:tc>
        <w:tc>
          <w:tcPr>
            <w:tcW w:w="180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10 (9.1%)</w:t>
            </w:r>
          </w:p>
        </w:tc>
        <w:tc>
          <w:tcPr>
            <w:tcW w:w="178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4 (7.1%)</w:t>
            </w:r>
          </w:p>
        </w:tc>
        <w:tc>
          <w:tcPr>
            <w:tcW w:w="1867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6 (11.1%)</w:t>
            </w:r>
          </w:p>
        </w:tc>
        <w:tc>
          <w:tcPr>
            <w:tcW w:w="118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 xml:space="preserve">0.473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399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tracheal reintubation</w:t>
            </w:r>
          </w:p>
        </w:tc>
        <w:tc>
          <w:tcPr>
            <w:tcW w:w="180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</w:t>
            </w:r>
          </w:p>
        </w:tc>
        <w:tc>
          <w:tcPr>
            <w:tcW w:w="178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</w:t>
            </w:r>
          </w:p>
        </w:tc>
        <w:tc>
          <w:tcPr>
            <w:tcW w:w="1867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</w:t>
            </w:r>
          </w:p>
        </w:tc>
        <w:tc>
          <w:tcPr>
            <w:tcW w:w="118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399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respiratory failure</w:t>
            </w:r>
          </w:p>
        </w:tc>
        <w:tc>
          <w:tcPr>
            <w:tcW w:w="180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</w:t>
            </w:r>
          </w:p>
        </w:tc>
        <w:tc>
          <w:tcPr>
            <w:tcW w:w="178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</w:t>
            </w:r>
          </w:p>
        </w:tc>
        <w:tc>
          <w:tcPr>
            <w:tcW w:w="1867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</w:t>
            </w:r>
          </w:p>
        </w:tc>
        <w:tc>
          <w:tcPr>
            <w:tcW w:w="118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2399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death</w:t>
            </w:r>
          </w:p>
        </w:tc>
        <w:tc>
          <w:tcPr>
            <w:tcW w:w="180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</w:t>
            </w:r>
          </w:p>
        </w:tc>
        <w:tc>
          <w:tcPr>
            <w:tcW w:w="178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</w:t>
            </w:r>
          </w:p>
        </w:tc>
        <w:tc>
          <w:tcPr>
            <w:tcW w:w="1867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</w:t>
            </w:r>
          </w:p>
        </w:tc>
        <w:tc>
          <w:tcPr>
            <w:tcW w:w="1184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-</w:t>
            </w:r>
          </w:p>
        </w:tc>
      </w:tr>
    </w:tbl>
    <w:p>
      <w:pPr>
        <w:jc w:val="both"/>
        <w:rPr>
          <w:u w:val="none"/>
        </w:rPr>
      </w:pPr>
    </w:p>
    <w:p>
      <w:pPr>
        <w:spacing w:line="360" w:lineRule="auto"/>
        <w:jc w:val="both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 xml:space="preserve">Table notes: </w:t>
      </w:r>
      <w:r>
        <w:rPr>
          <w:rFonts w:hint="eastAsia"/>
          <w:sz w:val="22"/>
          <w:szCs w:val="22"/>
          <w:u w:val="none" w:color="auto"/>
        </w:rPr>
        <w:t>Data are presented as No.(%) of patients or</w:t>
      </w:r>
      <w:r>
        <w:rPr>
          <w:rFonts w:hint="default"/>
          <w:sz w:val="22"/>
          <w:szCs w:val="22"/>
          <w:u w:val="none" w:color="auto"/>
        </w:rPr>
        <w:t xml:space="preserve"> </w:t>
      </w:r>
      <w:r>
        <w:rPr>
          <w:rFonts w:eastAsia="Arial Unicode MS"/>
          <w:sz w:val="22"/>
          <w:szCs w:val="22"/>
          <w:u w:val="none"/>
        </w:rPr>
        <w:t xml:space="preserve">median (interquartile ranges). </w:t>
      </w:r>
      <w:r>
        <w:rPr>
          <w:rFonts w:hint="eastAsia"/>
          <w:sz w:val="22"/>
          <w:szCs w:val="22"/>
          <w:u w:val="none"/>
        </w:rPr>
        <w:t xml:space="preserve">PCV-VG, </w:t>
      </w:r>
      <w:r>
        <w:rPr>
          <w:sz w:val="22"/>
          <w:szCs w:val="22"/>
          <w:u w:val="none"/>
        </w:rPr>
        <w:t xml:space="preserve">pressure-controlled ventilation - volume guaranteed; </w:t>
      </w:r>
      <w:r>
        <w:rPr>
          <w:rFonts w:hint="eastAsia"/>
          <w:sz w:val="22"/>
          <w:szCs w:val="22"/>
          <w:u w:val="none"/>
        </w:rPr>
        <w:t xml:space="preserve">PCV, </w:t>
      </w:r>
      <w:r>
        <w:rPr>
          <w:sz w:val="22"/>
          <w:szCs w:val="22"/>
          <w:u w:val="none"/>
        </w:rPr>
        <w:t>pressure-controlled ventilation</w:t>
      </w:r>
      <w:r>
        <w:rPr>
          <w:rFonts w:hint="eastAsia"/>
          <w:sz w:val="22"/>
          <w:szCs w:val="22"/>
          <w:u w:val="none"/>
        </w:rPr>
        <w:t>;</w:t>
      </w:r>
      <w:r>
        <w:rPr>
          <w:sz w:val="22"/>
          <w:szCs w:val="22"/>
          <w:u w:val="none"/>
        </w:rPr>
        <w:t xml:space="preserve"> PPCs</w:t>
      </w:r>
      <w:r>
        <w:rPr>
          <w:rFonts w:hint="eastAsia"/>
          <w:sz w:val="22"/>
          <w:szCs w:val="22"/>
          <w:u w:val="none"/>
        </w:rPr>
        <w:t xml:space="preserve">, </w:t>
      </w:r>
      <w:r>
        <w:rPr>
          <w:sz w:val="22"/>
          <w:szCs w:val="22"/>
          <w:u w:val="none"/>
        </w:rPr>
        <w:t>postoperative pulmonary complications.</w:t>
      </w:r>
    </w:p>
    <w:p>
      <w:pPr>
        <w:jc w:val="both"/>
        <w:rPr>
          <w:u w:val="none" w:color="auto"/>
        </w:rPr>
      </w:pPr>
    </w:p>
    <w:p>
      <w:pPr>
        <w:jc w:val="both"/>
        <w:rPr>
          <w:u w:val="none" w:color="auto"/>
        </w:rPr>
      </w:pPr>
    </w:p>
    <w:p>
      <w:pPr>
        <w:jc w:val="both"/>
        <w:rPr>
          <w:u w:val="none" w:color="auto"/>
        </w:rPr>
      </w:pPr>
    </w:p>
    <w:p>
      <w:pPr>
        <w:jc w:val="both"/>
        <w:rPr>
          <w:u w:val="none" w:color="auto"/>
        </w:rPr>
      </w:pPr>
    </w:p>
    <w:p>
      <w:pPr>
        <w:jc w:val="both"/>
        <w:rPr>
          <w:u w:val="none" w:color="auto"/>
        </w:rPr>
      </w:pPr>
    </w:p>
    <w:p>
      <w:pPr>
        <w:jc w:val="both"/>
        <w:rPr>
          <w:u w:val="none" w:color="auto"/>
        </w:rPr>
      </w:pPr>
    </w:p>
    <w:p>
      <w:pPr>
        <w:jc w:val="both"/>
        <w:rPr>
          <w:u w:val="none" w:color="auto"/>
        </w:rPr>
      </w:pPr>
    </w:p>
    <w:p>
      <w:pPr>
        <w:jc w:val="both"/>
        <w:rPr>
          <w:u w:val="none" w:color="auto"/>
        </w:rPr>
      </w:pPr>
    </w:p>
    <w:p>
      <w:pPr>
        <w:jc w:val="both"/>
        <w:rPr>
          <w:u w:val="none" w:color="auto"/>
        </w:rPr>
      </w:pPr>
    </w:p>
    <w:p>
      <w:pPr>
        <w:jc w:val="both"/>
        <w:rPr>
          <w:u w:val="none" w:color="auto"/>
        </w:rPr>
      </w:pPr>
    </w:p>
    <w:p>
      <w:pPr>
        <w:jc w:val="both"/>
        <w:rPr>
          <w:u w:val="none" w:color="auto"/>
        </w:rPr>
      </w:pPr>
    </w:p>
    <w:p>
      <w:pPr>
        <w:jc w:val="both"/>
        <w:rPr>
          <w:u w:val="none" w:color="auto"/>
        </w:rPr>
      </w:pPr>
    </w:p>
    <w:p>
      <w:pPr>
        <w:jc w:val="both"/>
        <w:rPr>
          <w:u w:val="none" w:color="auto"/>
        </w:rPr>
      </w:pPr>
    </w:p>
    <w:p>
      <w:pPr>
        <w:jc w:val="both"/>
        <w:rPr>
          <w:u w:val="none" w:color="auto"/>
        </w:rPr>
      </w:pPr>
    </w:p>
    <w:p>
      <w:pPr>
        <w:jc w:val="both"/>
        <w:rPr>
          <w:u w:val="none" w:color="auto"/>
        </w:rPr>
      </w:pPr>
    </w:p>
    <w:p>
      <w:pPr>
        <w:jc w:val="both"/>
        <w:rPr>
          <w:u w:val="none" w:color="auto"/>
        </w:rPr>
      </w:pPr>
    </w:p>
    <w:p>
      <w:pPr>
        <w:jc w:val="both"/>
        <w:rPr>
          <w:u w:val="none" w:color="auto"/>
        </w:rPr>
      </w:pPr>
    </w:p>
    <w:p>
      <w:pPr>
        <w:jc w:val="both"/>
        <w:rPr>
          <w:u w:val="none" w:color="auto"/>
        </w:rPr>
      </w:pPr>
    </w:p>
    <w:p>
      <w:pPr>
        <w:jc w:val="both"/>
        <w:rPr>
          <w:u w:val="none" w:color="auto"/>
        </w:rPr>
      </w:pPr>
    </w:p>
    <w:p/>
    <w:p>
      <w:pPr>
        <w:rPr>
          <w:u w:val="none" w:color="auto"/>
        </w:rPr>
      </w:pPr>
      <w:r>
        <w:rPr>
          <w:u w:val="none" w:color="auto"/>
        </w:rPr>
        <w:br w:type="page"/>
      </w:r>
    </w:p>
    <w:p>
      <w:pPr>
        <w:rPr>
          <w:u w:val="none" w:color="auto"/>
        </w:rPr>
      </w:pPr>
      <w:r>
        <w:rPr>
          <w:rFonts w:hint="default"/>
          <w:u w:val="none"/>
        </w:rPr>
        <w:t xml:space="preserve">Supplementary </w:t>
      </w:r>
      <w:r>
        <w:rPr>
          <w:u w:val="none" w:color="auto"/>
        </w:rPr>
        <w:t xml:space="preserve">Table </w:t>
      </w:r>
      <w:r>
        <w:rPr>
          <w:rFonts w:hint="eastAsia"/>
          <w:u w:val="none" w:color="auto"/>
          <w:lang w:val="en-US" w:eastAsia="zh-CN"/>
        </w:rPr>
        <w:t>2</w:t>
      </w:r>
      <w:r>
        <w:rPr>
          <w:u w:val="none" w:color="auto"/>
        </w:rPr>
        <w:t xml:space="preserve"> Risk factors of postoperative abnormal radiographic changes</w:t>
      </w:r>
    </w:p>
    <w:p>
      <w:pPr>
        <w:rPr>
          <w:u w:val="none" w:color="auto"/>
        </w:rPr>
      </w:pPr>
    </w:p>
    <w:tbl>
      <w:tblPr>
        <w:tblStyle w:val="2"/>
        <w:tblW w:w="6917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801"/>
        <w:gridCol w:w="2766"/>
        <w:gridCol w:w="135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2801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Variables</w:t>
            </w:r>
          </w:p>
        </w:tc>
        <w:tc>
          <w:tcPr>
            <w:tcW w:w="2766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Odds ratio (95% CI)</w:t>
            </w:r>
          </w:p>
        </w:tc>
        <w:tc>
          <w:tcPr>
            <w:tcW w:w="1350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Italic" w:hAnsi="Times New Roman Italic" w:eastAsia="宋体" w:cs="Times New Roman Italic"/>
                <w:i/>
                <w:iCs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P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2801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ventilation mode</w:t>
            </w:r>
          </w:p>
        </w:tc>
        <w:tc>
          <w:tcPr>
            <w:tcW w:w="2766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280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PCV</w:t>
            </w:r>
          </w:p>
        </w:tc>
        <w:tc>
          <w:tcPr>
            <w:tcW w:w="2766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reference</w:t>
            </w:r>
          </w:p>
        </w:tc>
        <w:tc>
          <w:tcPr>
            <w:tcW w:w="1350" w:type="dxa"/>
            <w:shd w:val="clear" w:color="auto" w:fill="auto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80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PCV-VG</w:t>
            </w:r>
          </w:p>
        </w:tc>
        <w:tc>
          <w:tcPr>
            <w:tcW w:w="2766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0.46 (0.16 to 1.37)</w:t>
            </w:r>
          </w:p>
        </w:tc>
        <w:tc>
          <w:tcPr>
            <w:tcW w:w="135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0.166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280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Age, y</w:t>
            </w:r>
          </w:p>
        </w:tc>
        <w:tc>
          <w:tcPr>
            <w:tcW w:w="2766" w:type="dxa"/>
            <w:shd w:val="clear" w:color="auto" w:fill="auto"/>
            <w:vAlign w:val="bottom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shd w:val="clear" w:color="auto" w:fill="auto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280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≤30y</w:t>
            </w:r>
          </w:p>
        </w:tc>
        <w:tc>
          <w:tcPr>
            <w:tcW w:w="2766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reference</w:t>
            </w:r>
          </w:p>
        </w:tc>
        <w:tc>
          <w:tcPr>
            <w:tcW w:w="1350" w:type="dxa"/>
            <w:shd w:val="clear" w:color="auto" w:fill="auto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80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&gt;30y</w:t>
            </w:r>
          </w:p>
        </w:tc>
        <w:tc>
          <w:tcPr>
            <w:tcW w:w="2766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1.08 (0.34 to 3.42)</w:t>
            </w:r>
          </w:p>
        </w:tc>
        <w:tc>
          <w:tcPr>
            <w:tcW w:w="135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 xml:space="preserve">0.893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280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Gender</w:t>
            </w:r>
          </w:p>
        </w:tc>
        <w:tc>
          <w:tcPr>
            <w:tcW w:w="2766" w:type="dxa"/>
            <w:shd w:val="clear" w:color="auto" w:fill="auto"/>
            <w:vAlign w:val="bottom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shd w:val="clear" w:color="auto" w:fill="auto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280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female</w:t>
            </w:r>
          </w:p>
        </w:tc>
        <w:tc>
          <w:tcPr>
            <w:tcW w:w="2766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reference</w:t>
            </w:r>
          </w:p>
        </w:tc>
        <w:tc>
          <w:tcPr>
            <w:tcW w:w="1350" w:type="dxa"/>
            <w:shd w:val="clear" w:color="auto" w:fill="auto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80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male</w:t>
            </w:r>
          </w:p>
        </w:tc>
        <w:tc>
          <w:tcPr>
            <w:tcW w:w="2766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2.32 (0.42 to 12.86)</w:t>
            </w:r>
          </w:p>
        </w:tc>
        <w:tc>
          <w:tcPr>
            <w:tcW w:w="135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0.336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280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BMI, kg/m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2766" w:type="dxa"/>
            <w:shd w:val="clear" w:color="auto" w:fill="auto"/>
            <w:vAlign w:val="bottom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shd w:val="clear" w:color="auto" w:fill="auto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280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&lt;40</w:t>
            </w:r>
          </w:p>
        </w:tc>
        <w:tc>
          <w:tcPr>
            <w:tcW w:w="2766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reference</w:t>
            </w:r>
          </w:p>
        </w:tc>
        <w:tc>
          <w:tcPr>
            <w:tcW w:w="1350" w:type="dxa"/>
            <w:shd w:val="clear" w:color="auto" w:fill="auto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280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≥40</w:t>
            </w:r>
          </w:p>
        </w:tc>
        <w:tc>
          <w:tcPr>
            <w:tcW w:w="2766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0.58 (0.20 to 1.65)</w:t>
            </w:r>
          </w:p>
        </w:tc>
        <w:tc>
          <w:tcPr>
            <w:tcW w:w="135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0.309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280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Anesthesia duration</w:t>
            </w:r>
          </w:p>
        </w:tc>
        <w:tc>
          <w:tcPr>
            <w:tcW w:w="2766" w:type="dxa"/>
            <w:shd w:val="clear" w:color="auto" w:fill="auto"/>
            <w:vAlign w:val="bottom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50" w:type="dxa"/>
            <w:shd w:val="clear" w:color="auto" w:fill="auto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280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≤2h</w:t>
            </w:r>
          </w:p>
        </w:tc>
        <w:tc>
          <w:tcPr>
            <w:tcW w:w="2766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reference</w:t>
            </w:r>
          </w:p>
        </w:tc>
        <w:tc>
          <w:tcPr>
            <w:tcW w:w="1350" w:type="dxa"/>
            <w:shd w:val="clear" w:color="auto" w:fill="auto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280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&gt;2h</w:t>
            </w:r>
          </w:p>
        </w:tc>
        <w:tc>
          <w:tcPr>
            <w:tcW w:w="2766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3.35 (1.02 to 10.99)</w:t>
            </w:r>
          </w:p>
        </w:tc>
        <w:tc>
          <w:tcPr>
            <w:tcW w:w="135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0.046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vertAlign w:val="superscript"/>
                <w:lang w:val="en-US" w:eastAsia="zh-CN" w:bidi="ar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280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Oxygenation Index (T0)</w:t>
            </w:r>
          </w:p>
        </w:tc>
        <w:tc>
          <w:tcPr>
            <w:tcW w:w="2766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0.99 (0.98 to 0.99)</w:t>
            </w:r>
          </w:p>
        </w:tc>
        <w:tc>
          <w:tcPr>
            <w:tcW w:w="135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0.032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vertAlign w:val="superscript"/>
                <w:lang w:val="en-US" w:eastAsia="zh-CN" w:bidi="ar"/>
              </w:rPr>
              <w:t>*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280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Oxygenation Index (T3)</w:t>
            </w:r>
          </w:p>
        </w:tc>
        <w:tc>
          <w:tcPr>
            <w:tcW w:w="2766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0.99 (0.99 to 1.00)</w:t>
            </w:r>
          </w:p>
        </w:tc>
        <w:tc>
          <w:tcPr>
            <w:tcW w:w="135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0.159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80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Ppeak (T3)</w:t>
            </w:r>
          </w:p>
        </w:tc>
        <w:tc>
          <w:tcPr>
            <w:tcW w:w="2766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0.64 (0.40 to 1.04)</w:t>
            </w:r>
          </w:p>
        </w:tc>
        <w:tc>
          <w:tcPr>
            <w:tcW w:w="135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0.074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801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Cdyn (T3)</w:t>
            </w:r>
          </w:p>
        </w:tc>
        <w:tc>
          <w:tcPr>
            <w:tcW w:w="2766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0.90 (0.77 to 1.03)</w:t>
            </w:r>
          </w:p>
        </w:tc>
        <w:tc>
          <w:tcPr>
            <w:tcW w:w="135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0.135</w:t>
            </w:r>
          </w:p>
        </w:tc>
      </w:tr>
    </w:tbl>
    <w:p>
      <w:pPr>
        <w:rPr>
          <w:u w:val="none"/>
        </w:rPr>
      </w:pPr>
    </w:p>
    <w:p>
      <w:pPr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Table notes: *</w:t>
      </w:r>
      <w:r>
        <w:rPr>
          <w:i/>
          <w:sz w:val="22"/>
          <w:szCs w:val="22"/>
          <w:u w:val="none"/>
        </w:rPr>
        <w:t>P</w:t>
      </w:r>
      <w:r>
        <w:rPr>
          <w:sz w:val="22"/>
          <w:szCs w:val="22"/>
          <w:u w:val="none"/>
        </w:rPr>
        <w:t xml:space="preserve">&lt;0.05. </w:t>
      </w:r>
      <w:r>
        <w:rPr>
          <w:rFonts w:hint="eastAsia"/>
          <w:sz w:val="22"/>
          <w:szCs w:val="22"/>
          <w:u w:val="none" w:color="auto"/>
        </w:rPr>
        <w:t xml:space="preserve">Data are presented as </w:t>
      </w:r>
      <w:r>
        <w:rPr>
          <w:rFonts w:hint="default" w:ascii="Times New Roman Regular" w:hAnsi="Times New Roman Regular" w:eastAsia="宋体" w:cs="Times New Roman Regular"/>
          <w:i w:val="0"/>
          <w:color w:val="000000"/>
          <w:kern w:val="0"/>
          <w:sz w:val="22"/>
          <w:szCs w:val="22"/>
          <w:u w:val="none" w:color="FF0000"/>
          <w:lang w:val="en-US" w:eastAsia="zh-CN" w:bidi="ar"/>
        </w:rPr>
        <w:t xml:space="preserve">Odds ratio (95% </w:t>
      </w:r>
      <w:r>
        <w:rPr>
          <w:rFonts w:eastAsia="Arial Unicode MS"/>
          <w:sz w:val="22"/>
          <w:szCs w:val="22"/>
          <w:u w:val="none"/>
        </w:rPr>
        <w:t>confidence intervals</w:t>
      </w:r>
      <w:r>
        <w:rPr>
          <w:rFonts w:hint="default" w:ascii="Times New Roman Regular" w:hAnsi="Times New Roman Regular" w:eastAsia="宋体" w:cs="Times New Roman Regular"/>
          <w:i w:val="0"/>
          <w:color w:val="000000"/>
          <w:kern w:val="0"/>
          <w:sz w:val="22"/>
          <w:szCs w:val="22"/>
          <w:u w:val="none" w:color="FF0000"/>
          <w:lang w:val="en-US" w:eastAsia="zh-CN" w:bidi="ar"/>
        </w:rPr>
        <w:t>)</w:t>
      </w:r>
      <w:r>
        <w:rPr>
          <w:rFonts w:hint="default" w:ascii="Times New Roman Regular" w:hAnsi="Times New Roman Regular" w:eastAsia="宋体" w:cs="Times New Roman Regular"/>
          <w:i w:val="0"/>
          <w:color w:val="000000"/>
          <w:kern w:val="0"/>
          <w:sz w:val="22"/>
          <w:szCs w:val="22"/>
          <w:u w:val="none" w:color="FF0000"/>
          <w:lang w:eastAsia="zh-CN" w:bidi="ar"/>
        </w:rPr>
        <w:t xml:space="preserve">. </w:t>
      </w:r>
      <w:r>
        <w:rPr>
          <w:rFonts w:hint="eastAsia"/>
          <w:sz w:val="22"/>
          <w:szCs w:val="22"/>
          <w:u w:val="none"/>
        </w:rPr>
        <w:t xml:space="preserve">PCV-VG, </w:t>
      </w:r>
      <w:r>
        <w:rPr>
          <w:sz w:val="22"/>
          <w:szCs w:val="22"/>
          <w:u w:val="none"/>
        </w:rPr>
        <w:t>pressure-controlled ventilation - volume guaranteed; PCV</w:t>
      </w:r>
      <w:r>
        <w:rPr>
          <w:rFonts w:hint="eastAsia"/>
          <w:sz w:val="22"/>
          <w:szCs w:val="22"/>
          <w:u w:val="none"/>
        </w:rPr>
        <w:t xml:space="preserve">, </w:t>
      </w:r>
      <w:r>
        <w:rPr>
          <w:sz w:val="22"/>
          <w:szCs w:val="22"/>
          <w:u w:val="none"/>
        </w:rPr>
        <w:t>pressure-controlled ventilation; BMI</w:t>
      </w:r>
      <w:r>
        <w:rPr>
          <w:rFonts w:hint="eastAsia"/>
          <w:sz w:val="22"/>
          <w:szCs w:val="22"/>
          <w:u w:val="none"/>
        </w:rPr>
        <w:t xml:space="preserve">, </w:t>
      </w:r>
      <w:r>
        <w:rPr>
          <w:sz w:val="22"/>
          <w:szCs w:val="22"/>
          <w:u w:val="none"/>
        </w:rPr>
        <w:t>body mass index; Ppeak</w:t>
      </w:r>
      <w:r>
        <w:rPr>
          <w:rFonts w:hint="eastAsia"/>
          <w:sz w:val="22"/>
          <w:szCs w:val="22"/>
          <w:u w:val="none"/>
        </w:rPr>
        <w:t xml:space="preserve">, </w:t>
      </w:r>
      <w:r>
        <w:rPr>
          <w:sz w:val="22"/>
          <w:szCs w:val="22"/>
          <w:u w:val="none"/>
        </w:rPr>
        <w:t>peak pressures; Cdyn</w:t>
      </w:r>
      <w:r>
        <w:rPr>
          <w:rFonts w:hint="eastAsia"/>
          <w:sz w:val="22"/>
          <w:szCs w:val="22"/>
          <w:u w:val="none"/>
        </w:rPr>
        <w:t xml:space="preserve">, </w:t>
      </w:r>
      <w:r>
        <w:rPr>
          <w:sz w:val="22"/>
          <w:szCs w:val="22"/>
          <w:u w:val="none"/>
        </w:rPr>
        <w:t>dynamic compliance; T0</w:t>
      </w:r>
      <w:r>
        <w:rPr>
          <w:rFonts w:hint="eastAsia"/>
          <w:sz w:val="22"/>
          <w:szCs w:val="22"/>
          <w:u w:val="none"/>
        </w:rPr>
        <w:t xml:space="preserve">, </w:t>
      </w:r>
      <w:r>
        <w:rPr>
          <w:rFonts w:eastAsia="Arial Unicode MS"/>
          <w:sz w:val="22"/>
          <w:szCs w:val="22"/>
          <w:u w:val="none"/>
        </w:rPr>
        <w:t>before anesthesia</w:t>
      </w:r>
      <w:r>
        <w:rPr>
          <w:rFonts w:hint="eastAsia" w:eastAsia="Arial Unicode MS"/>
          <w:sz w:val="22"/>
          <w:szCs w:val="22"/>
          <w:u w:val="none"/>
        </w:rPr>
        <w:t xml:space="preserve"> induction</w:t>
      </w:r>
      <w:r>
        <w:rPr>
          <w:rFonts w:eastAsia="Arial Unicode MS"/>
          <w:sz w:val="22"/>
          <w:szCs w:val="22"/>
          <w:u w:val="none"/>
        </w:rPr>
        <w:t>; T3</w:t>
      </w:r>
      <w:r>
        <w:rPr>
          <w:rFonts w:hint="eastAsia" w:eastAsia="Arial Unicode MS"/>
          <w:sz w:val="22"/>
          <w:szCs w:val="22"/>
          <w:u w:val="none"/>
        </w:rPr>
        <w:t xml:space="preserve">, </w:t>
      </w:r>
      <w:r>
        <w:rPr>
          <w:rFonts w:eastAsia="Arial Unicode MS"/>
          <w:sz w:val="22"/>
          <w:szCs w:val="22"/>
          <w:u w:val="none"/>
        </w:rPr>
        <w:t>1 hour after pneunoperitonium.</w:t>
      </w:r>
    </w:p>
    <w:p>
      <w:pPr>
        <w:rPr>
          <w:u w:val="none"/>
        </w:rPr>
      </w:pPr>
      <w:r>
        <w:rPr>
          <w:rFonts w:eastAsia="Arial Unicode MS"/>
          <w:u w:val="none"/>
        </w:rPr>
        <w:t>.</w:t>
      </w:r>
    </w:p>
    <w:p>
      <w:pPr>
        <w:rPr>
          <w:u w:val="none" w:color="auto"/>
        </w:rPr>
      </w:pPr>
    </w:p>
    <w:p>
      <w:pPr>
        <w:rPr>
          <w:u w:val="none" w:color="auto"/>
        </w:rPr>
      </w:pPr>
      <w:r>
        <w:rPr>
          <w:u w:val="none" w:color="auto"/>
        </w:rPr>
        <w:br w:type="page"/>
      </w:r>
    </w:p>
    <w:p>
      <w:pPr>
        <w:jc w:val="center"/>
        <w:rPr>
          <w:u w:val="none" w:color="auto"/>
        </w:rPr>
      </w:pPr>
      <w:r>
        <w:rPr>
          <w:rFonts w:hint="default"/>
          <w:u w:val="none"/>
        </w:rPr>
        <w:t xml:space="preserve">Supplementary </w:t>
      </w:r>
      <w:r>
        <w:rPr>
          <w:u w:val="none" w:color="auto"/>
        </w:rPr>
        <w:t xml:space="preserve">Table </w:t>
      </w:r>
      <w:r>
        <w:rPr>
          <w:rFonts w:hint="eastAsia"/>
          <w:u w:val="none" w:color="auto"/>
          <w:lang w:val="en-US" w:eastAsia="zh-CN"/>
        </w:rPr>
        <w:t xml:space="preserve">3 </w:t>
      </w:r>
      <w:bookmarkStart w:id="0" w:name="_GoBack"/>
      <w:bookmarkEnd w:id="0"/>
      <w:r>
        <w:rPr>
          <w:u w:val="none" w:color="auto"/>
        </w:rPr>
        <w:t>Risk factors of postoperative pneumonia</w:t>
      </w:r>
    </w:p>
    <w:p>
      <w:pPr>
        <w:rPr>
          <w:u w:val="none" w:color="auto"/>
        </w:rPr>
      </w:pPr>
    </w:p>
    <w:tbl>
      <w:tblPr>
        <w:tblStyle w:val="2"/>
        <w:tblW w:w="6866" w:type="dxa"/>
        <w:jc w:val="center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750"/>
        <w:gridCol w:w="2817"/>
        <w:gridCol w:w="1299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2750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Variables</w:t>
            </w:r>
          </w:p>
        </w:tc>
        <w:tc>
          <w:tcPr>
            <w:tcW w:w="2817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Odds ratio (95% CI)</w:t>
            </w:r>
          </w:p>
        </w:tc>
        <w:tc>
          <w:tcPr>
            <w:tcW w:w="1299" w:type="dxa"/>
            <w:tcBorders>
              <w:bottom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Italic" w:hAnsi="Times New Roman Italic" w:eastAsia="宋体" w:cs="Times New Roman Italic"/>
                <w:i/>
                <w:iCs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P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 xml:space="preserve"> value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2750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ventilation mode</w:t>
            </w:r>
          </w:p>
        </w:tc>
        <w:tc>
          <w:tcPr>
            <w:tcW w:w="2817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dxa"/>
            <w:tcBorders>
              <w:top w:val="single" w:color="auto" w:sz="4" w:space="0"/>
            </w:tcBorders>
            <w:shd w:val="clear" w:color="auto" w:fill="auto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275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PCV</w:t>
            </w:r>
          </w:p>
        </w:tc>
        <w:tc>
          <w:tcPr>
            <w:tcW w:w="2817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reference</w:t>
            </w:r>
          </w:p>
        </w:tc>
        <w:tc>
          <w:tcPr>
            <w:tcW w:w="1299" w:type="dxa"/>
            <w:shd w:val="clear" w:color="auto" w:fill="auto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75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PCV-VG</w:t>
            </w:r>
          </w:p>
        </w:tc>
        <w:tc>
          <w:tcPr>
            <w:tcW w:w="2817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0.56 (0.14 to 2.21)</w:t>
            </w:r>
          </w:p>
        </w:tc>
        <w:tc>
          <w:tcPr>
            <w:tcW w:w="1299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0.408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275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Age, y</w:t>
            </w:r>
          </w:p>
        </w:tc>
        <w:tc>
          <w:tcPr>
            <w:tcW w:w="2817" w:type="dxa"/>
            <w:shd w:val="clear" w:color="auto" w:fill="auto"/>
            <w:vAlign w:val="bottom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dxa"/>
            <w:shd w:val="clear" w:color="auto" w:fill="auto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275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≤30y</w:t>
            </w:r>
          </w:p>
        </w:tc>
        <w:tc>
          <w:tcPr>
            <w:tcW w:w="2817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reference</w:t>
            </w:r>
          </w:p>
        </w:tc>
        <w:tc>
          <w:tcPr>
            <w:tcW w:w="1299" w:type="dxa"/>
            <w:shd w:val="clear" w:color="auto" w:fill="auto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75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&gt;30y</w:t>
            </w:r>
          </w:p>
        </w:tc>
        <w:tc>
          <w:tcPr>
            <w:tcW w:w="2817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1.40 (0.33 to 5.95)</w:t>
            </w:r>
          </w:p>
        </w:tc>
        <w:tc>
          <w:tcPr>
            <w:tcW w:w="1299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 xml:space="preserve">0.652 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275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Gender</w:t>
            </w:r>
          </w:p>
        </w:tc>
        <w:tc>
          <w:tcPr>
            <w:tcW w:w="2817" w:type="dxa"/>
            <w:shd w:val="clear" w:color="auto" w:fill="auto"/>
            <w:vAlign w:val="bottom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dxa"/>
            <w:shd w:val="clear" w:color="auto" w:fill="auto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0" w:hRule="atLeast"/>
          <w:jc w:val="center"/>
        </w:trPr>
        <w:tc>
          <w:tcPr>
            <w:tcW w:w="275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female</w:t>
            </w:r>
          </w:p>
        </w:tc>
        <w:tc>
          <w:tcPr>
            <w:tcW w:w="2817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reference</w:t>
            </w:r>
          </w:p>
        </w:tc>
        <w:tc>
          <w:tcPr>
            <w:tcW w:w="1299" w:type="dxa"/>
            <w:shd w:val="clear" w:color="auto" w:fill="auto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75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male</w:t>
            </w:r>
          </w:p>
        </w:tc>
        <w:tc>
          <w:tcPr>
            <w:tcW w:w="2817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2.13 (0.31 to 14.64)</w:t>
            </w:r>
          </w:p>
        </w:tc>
        <w:tc>
          <w:tcPr>
            <w:tcW w:w="1299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0.442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275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BMI, kg/m</w:t>
            </w: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vertAlign w:val="superscript"/>
                <w:lang w:val="en-US" w:eastAsia="zh-CN" w:bidi="ar"/>
              </w:rPr>
              <w:t>2</w:t>
            </w:r>
          </w:p>
        </w:tc>
        <w:tc>
          <w:tcPr>
            <w:tcW w:w="2817" w:type="dxa"/>
            <w:shd w:val="clear" w:color="auto" w:fill="auto"/>
            <w:vAlign w:val="bottom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dxa"/>
            <w:shd w:val="clear" w:color="auto" w:fill="auto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275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&lt;40</w:t>
            </w:r>
          </w:p>
        </w:tc>
        <w:tc>
          <w:tcPr>
            <w:tcW w:w="2817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reference</w:t>
            </w:r>
          </w:p>
        </w:tc>
        <w:tc>
          <w:tcPr>
            <w:tcW w:w="1299" w:type="dxa"/>
            <w:shd w:val="clear" w:color="auto" w:fill="auto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275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≥40</w:t>
            </w:r>
          </w:p>
        </w:tc>
        <w:tc>
          <w:tcPr>
            <w:tcW w:w="2817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0.84 (0.21 to 3.38)</w:t>
            </w:r>
          </w:p>
        </w:tc>
        <w:tc>
          <w:tcPr>
            <w:tcW w:w="1299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0.808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275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Anesthesia duration</w:t>
            </w:r>
          </w:p>
        </w:tc>
        <w:tc>
          <w:tcPr>
            <w:tcW w:w="2817" w:type="dxa"/>
            <w:shd w:val="clear" w:color="auto" w:fill="auto"/>
            <w:vAlign w:val="bottom"/>
          </w:tcPr>
          <w:p>
            <w:pPr>
              <w:jc w:val="center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dxa"/>
            <w:shd w:val="clear" w:color="auto" w:fill="auto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1" w:hRule="atLeast"/>
          <w:jc w:val="center"/>
        </w:trPr>
        <w:tc>
          <w:tcPr>
            <w:tcW w:w="275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≤2h</w:t>
            </w:r>
          </w:p>
        </w:tc>
        <w:tc>
          <w:tcPr>
            <w:tcW w:w="2817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reference</w:t>
            </w:r>
          </w:p>
        </w:tc>
        <w:tc>
          <w:tcPr>
            <w:tcW w:w="1299" w:type="dxa"/>
            <w:shd w:val="clear" w:color="auto" w:fill="auto"/>
            <w:vAlign w:val="bottom"/>
          </w:tcPr>
          <w:p>
            <w:pP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275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ind w:firstLineChars="10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&gt;2h</w:t>
            </w:r>
          </w:p>
        </w:tc>
        <w:tc>
          <w:tcPr>
            <w:tcW w:w="2817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1.56 (0.31 to 7.97)</w:t>
            </w:r>
          </w:p>
        </w:tc>
        <w:tc>
          <w:tcPr>
            <w:tcW w:w="1299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0.590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275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Oxygenation Index (T0)</w:t>
            </w:r>
          </w:p>
        </w:tc>
        <w:tc>
          <w:tcPr>
            <w:tcW w:w="2817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1.00 (0.99 to 1.01)</w:t>
            </w:r>
          </w:p>
        </w:tc>
        <w:tc>
          <w:tcPr>
            <w:tcW w:w="1299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0.875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5" w:hRule="atLeast"/>
          <w:jc w:val="center"/>
        </w:trPr>
        <w:tc>
          <w:tcPr>
            <w:tcW w:w="275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Oxygenation Index (T3)</w:t>
            </w:r>
          </w:p>
        </w:tc>
        <w:tc>
          <w:tcPr>
            <w:tcW w:w="2817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1.00 (0.99 to 1.01)</w:t>
            </w:r>
          </w:p>
        </w:tc>
        <w:tc>
          <w:tcPr>
            <w:tcW w:w="1299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0.932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75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Ppeak (T3)</w:t>
            </w:r>
          </w:p>
        </w:tc>
        <w:tc>
          <w:tcPr>
            <w:tcW w:w="2817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0.97 (0.56 to 1.68)</w:t>
            </w:r>
          </w:p>
        </w:tc>
        <w:tc>
          <w:tcPr>
            <w:tcW w:w="1299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0.918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2750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Cdyn (T3)</w:t>
            </w:r>
          </w:p>
        </w:tc>
        <w:tc>
          <w:tcPr>
            <w:tcW w:w="2817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0.95 (0.80 to 1.13)</w:t>
            </w:r>
          </w:p>
        </w:tc>
        <w:tc>
          <w:tcPr>
            <w:tcW w:w="1299" w:type="dxa"/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 Regular" w:hAnsi="Times New Roman Regular" w:eastAsia="宋体" w:cs="Times New Roman Regular"/>
                <w:i w:val="0"/>
                <w:color w:val="000000"/>
                <w:kern w:val="0"/>
                <w:sz w:val="24"/>
                <w:szCs w:val="24"/>
                <w:u w:val="none" w:color="FF0000"/>
                <w:lang w:val="en-US" w:eastAsia="zh-CN" w:bidi="ar"/>
              </w:rPr>
              <w:t>0.546</w:t>
            </w:r>
          </w:p>
        </w:tc>
      </w:tr>
    </w:tbl>
    <w:p>
      <w:pPr>
        <w:rPr>
          <w:u w:val="none" w:color="auto"/>
        </w:rPr>
      </w:pPr>
    </w:p>
    <w:p>
      <w:pPr>
        <w:rPr>
          <w:sz w:val="22"/>
          <w:szCs w:val="22"/>
          <w:u w:val="none" w:color="auto"/>
        </w:rPr>
      </w:pPr>
      <w:r>
        <w:rPr>
          <w:sz w:val="22"/>
          <w:szCs w:val="22"/>
          <w:u w:val="none"/>
        </w:rPr>
        <w:t xml:space="preserve">Table notes: </w:t>
      </w:r>
      <w:r>
        <w:rPr>
          <w:rFonts w:hint="eastAsia"/>
          <w:sz w:val="22"/>
          <w:szCs w:val="22"/>
          <w:u w:val="none" w:color="auto"/>
        </w:rPr>
        <w:t xml:space="preserve">Data are presented as </w:t>
      </w:r>
      <w:r>
        <w:rPr>
          <w:rFonts w:hint="default" w:ascii="Times New Roman Regular" w:hAnsi="Times New Roman Regular" w:eastAsia="宋体" w:cs="Times New Roman Regular"/>
          <w:i w:val="0"/>
          <w:color w:val="000000"/>
          <w:kern w:val="0"/>
          <w:sz w:val="22"/>
          <w:szCs w:val="22"/>
          <w:u w:val="none" w:color="FF0000"/>
          <w:lang w:val="en-US" w:eastAsia="zh-CN" w:bidi="ar"/>
        </w:rPr>
        <w:t xml:space="preserve">Odds ratio (95% </w:t>
      </w:r>
      <w:r>
        <w:rPr>
          <w:rFonts w:eastAsia="Arial Unicode MS"/>
          <w:sz w:val="22"/>
          <w:szCs w:val="22"/>
          <w:u w:val="none"/>
        </w:rPr>
        <w:t>confidence intervals</w:t>
      </w:r>
      <w:r>
        <w:rPr>
          <w:rFonts w:hint="default" w:ascii="Times New Roman Regular" w:hAnsi="Times New Roman Regular" w:eastAsia="宋体" w:cs="Times New Roman Regular"/>
          <w:i w:val="0"/>
          <w:color w:val="000000"/>
          <w:kern w:val="0"/>
          <w:sz w:val="22"/>
          <w:szCs w:val="22"/>
          <w:u w:val="none" w:color="FF0000"/>
          <w:lang w:val="en-US" w:eastAsia="zh-CN" w:bidi="ar"/>
        </w:rPr>
        <w:t>)</w:t>
      </w:r>
      <w:r>
        <w:rPr>
          <w:rFonts w:hint="default" w:ascii="Times New Roman Regular" w:hAnsi="Times New Roman Regular" w:eastAsia="宋体" w:cs="Times New Roman Regular"/>
          <w:i w:val="0"/>
          <w:color w:val="000000"/>
          <w:kern w:val="0"/>
          <w:sz w:val="22"/>
          <w:szCs w:val="22"/>
          <w:u w:val="none" w:color="FF0000"/>
          <w:lang w:eastAsia="zh-CN" w:bidi="ar"/>
        </w:rPr>
        <w:t xml:space="preserve">. </w:t>
      </w:r>
      <w:r>
        <w:rPr>
          <w:rFonts w:hint="eastAsia"/>
          <w:sz w:val="22"/>
          <w:szCs w:val="22"/>
          <w:u w:val="none"/>
        </w:rPr>
        <w:t xml:space="preserve">PCV-VG, </w:t>
      </w:r>
      <w:r>
        <w:rPr>
          <w:sz w:val="22"/>
          <w:szCs w:val="22"/>
          <w:u w:val="none"/>
        </w:rPr>
        <w:t>pressure-controlled ventilation - volume guaranteed; PCV</w:t>
      </w:r>
      <w:r>
        <w:rPr>
          <w:rFonts w:hint="eastAsia"/>
          <w:sz w:val="22"/>
          <w:szCs w:val="22"/>
          <w:u w:val="none"/>
        </w:rPr>
        <w:t xml:space="preserve">, </w:t>
      </w:r>
      <w:r>
        <w:rPr>
          <w:sz w:val="22"/>
          <w:szCs w:val="22"/>
          <w:u w:val="none"/>
        </w:rPr>
        <w:t>pressure-controlled ventilation; BMI</w:t>
      </w:r>
      <w:r>
        <w:rPr>
          <w:rFonts w:hint="eastAsia"/>
          <w:sz w:val="22"/>
          <w:szCs w:val="22"/>
          <w:u w:val="none"/>
        </w:rPr>
        <w:t xml:space="preserve">, </w:t>
      </w:r>
      <w:r>
        <w:rPr>
          <w:sz w:val="22"/>
          <w:szCs w:val="22"/>
          <w:u w:val="none"/>
        </w:rPr>
        <w:t>body mass index; Ppeak</w:t>
      </w:r>
      <w:r>
        <w:rPr>
          <w:rFonts w:hint="eastAsia"/>
          <w:sz w:val="22"/>
          <w:szCs w:val="22"/>
          <w:u w:val="none"/>
        </w:rPr>
        <w:t xml:space="preserve">, </w:t>
      </w:r>
      <w:r>
        <w:rPr>
          <w:sz w:val="22"/>
          <w:szCs w:val="22"/>
          <w:u w:val="none"/>
        </w:rPr>
        <w:t>peak pressures; Cdyn</w:t>
      </w:r>
      <w:r>
        <w:rPr>
          <w:rFonts w:hint="eastAsia"/>
          <w:sz w:val="22"/>
          <w:szCs w:val="22"/>
          <w:u w:val="none"/>
        </w:rPr>
        <w:t xml:space="preserve">, </w:t>
      </w:r>
      <w:r>
        <w:rPr>
          <w:sz w:val="22"/>
          <w:szCs w:val="22"/>
          <w:u w:val="none"/>
        </w:rPr>
        <w:t>dynamic compliance; T0</w:t>
      </w:r>
      <w:r>
        <w:rPr>
          <w:rFonts w:hint="eastAsia"/>
          <w:sz w:val="22"/>
          <w:szCs w:val="22"/>
          <w:u w:val="none"/>
        </w:rPr>
        <w:t xml:space="preserve">, </w:t>
      </w:r>
      <w:r>
        <w:rPr>
          <w:rFonts w:eastAsia="Arial Unicode MS"/>
          <w:sz w:val="22"/>
          <w:szCs w:val="22"/>
          <w:u w:val="none"/>
        </w:rPr>
        <w:t>before anesthesia</w:t>
      </w:r>
      <w:r>
        <w:rPr>
          <w:rFonts w:hint="eastAsia" w:eastAsia="Arial Unicode MS"/>
          <w:sz w:val="22"/>
          <w:szCs w:val="22"/>
          <w:u w:val="none"/>
        </w:rPr>
        <w:t xml:space="preserve"> induction</w:t>
      </w:r>
      <w:r>
        <w:rPr>
          <w:rFonts w:eastAsia="Arial Unicode MS"/>
          <w:sz w:val="22"/>
          <w:szCs w:val="22"/>
          <w:u w:val="none"/>
        </w:rPr>
        <w:t>; T3</w:t>
      </w:r>
      <w:r>
        <w:rPr>
          <w:rFonts w:hint="eastAsia" w:eastAsia="Arial Unicode MS"/>
          <w:sz w:val="22"/>
          <w:szCs w:val="22"/>
          <w:u w:val="none"/>
        </w:rPr>
        <w:t xml:space="preserve">, </w:t>
      </w:r>
      <w:r>
        <w:rPr>
          <w:rFonts w:eastAsia="Arial Unicode MS"/>
          <w:sz w:val="22"/>
          <w:szCs w:val="22"/>
          <w:u w:val="none"/>
        </w:rPr>
        <w:t>1 hour after pneunoperitonium.</w:t>
      </w:r>
    </w:p>
    <w:p>
      <w:pPr>
        <w:rPr>
          <w:sz w:val="22"/>
          <w:szCs w:val="22"/>
        </w:rPr>
      </w:pPr>
    </w:p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Times New Roman Italic">
    <w:altName w:val="Times New Roman"/>
    <w:panose1 w:val="02020603050405020304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yMmMxYmE3YWNkZjc3NWJhOGU0ZTU2OTZhZDgyYTcifQ=="/>
  </w:docVars>
  <w:rsids>
    <w:rsidRoot w:val="756FC63B"/>
    <w:rsid w:val="363F9F8E"/>
    <w:rsid w:val="45113BEC"/>
    <w:rsid w:val="5FFC26D8"/>
    <w:rsid w:val="649B77EE"/>
    <w:rsid w:val="6BB9E320"/>
    <w:rsid w:val="756FC63B"/>
    <w:rsid w:val="77B76DDE"/>
    <w:rsid w:val="7DEF7861"/>
    <w:rsid w:val="BD797674"/>
    <w:rsid w:val="E7E35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z w:val="24"/>
      <w:szCs w:val="24"/>
      <w:u w:val="wave" w:color="FF0000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qFormat/>
    <w:uiPriority w:val="0"/>
    <w:rPr>
      <w:rFonts w:hint="default" w:ascii="Calibri" w:hAnsi="Calibri" w:cs="Calibri"/>
      <w:i/>
      <w:color w:val="000000"/>
      <w:sz w:val="24"/>
      <w:szCs w:val="24"/>
      <w:u w:val="none"/>
    </w:rPr>
  </w:style>
  <w:style w:type="character" w:customStyle="1" w:styleId="5">
    <w:name w:val="font11"/>
    <w:basedOn w:val="3"/>
    <w:qFormat/>
    <w:uiPriority w:val="0"/>
    <w:rPr>
      <w:rFonts w:hint="default" w:ascii="Calibri" w:hAnsi="Calibri" w:cs="Calibri"/>
      <w:color w:val="000000"/>
      <w:sz w:val="24"/>
      <w:szCs w:val="24"/>
      <w:u w:val="none"/>
    </w:rPr>
  </w:style>
  <w:style w:type="character" w:customStyle="1" w:styleId="6">
    <w:name w:val="font01"/>
    <w:basedOn w:val="3"/>
    <w:qFormat/>
    <w:uiPriority w:val="0"/>
    <w:rPr>
      <w:rFonts w:hint="default" w:ascii="Calibri" w:hAnsi="Calibri" w:cs="Calibri"/>
      <w:color w:val="000000"/>
      <w:sz w:val="24"/>
      <w:szCs w:val="24"/>
      <w:u w:val="none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681</Words>
  <Characters>3757</Characters>
  <Lines>0</Lines>
  <Paragraphs>0</Paragraphs>
  <TotalTime>10</TotalTime>
  <ScaleCrop>false</ScaleCrop>
  <LinksUpToDate>false</LinksUpToDate>
  <CharactersWithSpaces>4159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2022-04-14T02:43:00Z</dcterms:created>
  <dc:creator>yuqiong</dc:creator>
  <cp:lastModifiedBy>Zhou</cp:lastModifiedBy>
  <dcterms:modified xsi:type="dcterms:W3CDTF">2022-11-22T06:19:28Z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A390F3A1DCB14A7997768762A5F2F60D</vt:lpwstr>
  </property>
</Properties>
</file>