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F7401" w14:textId="2AFCB4EB" w:rsidR="00E31AB5" w:rsidRDefault="00E31AB5"/>
    <w:p w14:paraId="3BB5524B" w14:textId="3622E68E" w:rsidR="00E31AB5" w:rsidRDefault="00E31AB5"/>
    <w:p w14:paraId="73F3B138" w14:textId="13CD5EF9" w:rsidR="00E31AB5" w:rsidRDefault="00E31AB5"/>
    <w:p w14:paraId="48C1255D" w14:textId="6B46E386" w:rsidR="00E31AB5" w:rsidRDefault="00E31AB5"/>
    <w:p w14:paraId="54670528" w14:textId="21C08286" w:rsidR="00E31AB5" w:rsidRDefault="00E31AB5" w:rsidP="00E31AB5">
      <w:pPr>
        <w:rPr>
          <w:sz w:val="18"/>
          <w:szCs w:val="18"/>
        </w:rPr>
      </w:pPr>
      <w:bookmarkStart w:id="0" w:name="_Hlk103154712"/>
      <w:r w:rsidRPr="00BB078B">
        <w:rPr>
          <w:rFonts w:eastAsiaTheme="majorEastAsia"/>
          <w:b/>
          <w:bCs/>
          <w:sz w:val="18"/>
          <w:szCs w:val="18"/>
        </w:rPr>
        <w:t>Table</w:t>
      </w:r>
      <w:r w:rsidR="00E7116F">
        <w:rPr>
          <w:rFonts w:eastAsiaTheme="majorEastAsia"/>
          <w:b/>
          <w:bCs/>
          <w:sz w:val="18"/>
          <w:szCs w:val="18"/>
        </w:rPr>
        <w:t>S1</w:t>
      </w:r>
      <w:r>
        <w:rPr>
          <w:rFonts w:eastAsiaTheme="majorEastAsia"/>
          <w:b/>
          <w:bCs/>
          <w:sz w:val="18"/>
          <w:szCs w:val="18"/>
        </w:rPr>
        <w:t>.</w:t>
      </w:r>
      <w:r w:rsidRPr="00BB078B">
        <w:rPr>
          <w:sz w:val="18"/>
          <w:szCs w:val="18"/>
        </w:rPr>
        <w:t>Results of GRADE classification of sensitivity and specificity of miR-21 for diagnosis of breast</w:t>
      </w:r>
    </w:p>
    <w:p w14:paraId="0F3DBC2F" w14:textId="77777777" w:rsidR="00E31AB5" w:rsidRPr="00BB078B" w:rsidRDefault="00E31AB5" w:rsidP="00E31AB5">
      <w:pPr>
        <w:rPr>
          <w:sz w:val="18"/>
          <w:szCs w:val="18"/>
        </w:rPr>
      </w:pPr>
      <w:r w:rsidRPr="00BB078B">
        <w:rPr>
          <w:sz w:val="18"/>
          <w:szCs w:val="18"/>
        </w:rPr>
        <w:t>cancer</w:t>
      </w:r>
    </w:p>
    <w:bookmarkEnd w:id="0"/>
    <w:p w14:paraId="19938059" w14:textId="77777777" w:rsidR="00E31AB5" w:rsidRDefault="00E31AB5"/>
    <w:tbl>
      <w:tblPr>
        <w:tblStyle w:val="a7"/>
        <w:tblW w:w="11907" w:type="dxa"/>
        <w:tblInd w:w="-179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2369"/>
        <w:gridCol w:w="1286"/>
        <w:gridCol w:w="1106"/>
        <w:gridCol w:w="1138"/>
        <w:gridCol w:w="1245"/>
        <w:gridCol w:w="1110"/>
        <w:gridCol w:w="1411"/>
        <w:gridCol w:w="1129"/>
      </w:tblGrid>
      <w:tr w:rsidR="00E31AB5" w:rsidRPr="00C1205B" w14:paraId="6847B9D1" w14:textId="77777777" w:rsidTr="00D72A12">
        <w:tc>
          <w:tcPr>
            <w:tcW w:w="1113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14:paraId="7A9AA14E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bookmarkStart w:id="1" w:name="_Hlk103154689"/>
            <w:r w:rsidRPr="00C1205B">
              <w:rPr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2369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14:paraId="192B3901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№ of studies (№ of patients)</w:t>
            </w:r>
          </w:p>
        </w:tc>
        <w:tc>
          <w:tcPr>
            <w:tcW w:w="1286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14:paraId="2A36A505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b/>
                <w:bCs/>
                <w:sz w:val="16"/>
                <w:szCs w:val="16"/>
              </w:rPr>
              <w:t>Study design</w:t>
            </w:r>
          </w:p>
        </w:tc>
        <w:tc>
          <w:tcPr>
            <w:tcW w:w="6010" w:type="dxa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</w:tcPr>
          <w:p w14:paraId="0D657980" w14:textId="77777777" w:rsidR="00E31AB5" w:rsidRPr="00C1205B" w:rsidRDefault="00E31AB5" w:rsidP="00D72A12">
            <w:pPr>
              <w:ind w:firstLineChars="400" w:firstLine="643"/>
              <w:rPr>
                <w:b/>
                <w:bCs/>
                <w:sz w:val="16"/>
                <w:szCs w:val="16"/>
              </w:rPr>
            </w:pPr>
            <w:r w:rsidRPr="00292CED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Factors that may decrease certainty of evidence</w:t>
            </w:r>
          </w:p>
        </w:tc>
        <w:tc>
          <w:tcPr>
            <w:tcW w:w="1129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</w:tcPr>
          <w:p w14:paraId="08F2DE53" w14:textId="77777777" w:rsidR="00E31AB5" w:rsidRPr="00C1205B" w:rsidRDefault="00E31AB5" w:rsidP="00D72A12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C1205B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Test accuracy CoE</w:t>
            </w:r>
          </w:p>
        </w:tc>
      </w:tr>
      <w:tr w:rsidR="00E31AB5" w14:paraId="45BE7493" w14:textId="77777777" w:rsidTr="00D72A12">
        <w:tc>
          <w:tcPr>
            <w:tcW w:w="1113" w:type="dxa"/>
            <w:vMerge/>
            <w:tcBorders>
              <w:bottom w:val="single" w:sz="8" w:space="0" w:color="auto"/>
            </w:tcBorders>
            <w:shd w:val="clear" w:color="auto" w:fill="DBDBDB" w:themeFill="accent3" w:themeFillTint="66"/>
          </w:tcPr>
          <w:p w14:paraId="22B07273" w14:textId="77777777" w:rsidR="00E31AB5" w:rsidRPr="00653FCC" w:rsidRDefault="00E31AB5" w:rsidP="00D72A12">
            <w:pPr>
              <w:rPr>
                <w:sz w:val="18"/>
                <w:szCs w:val="18"/>
              </w:rPr>
            </w:pPr>
          </w:p>
        </w:tc>
        <w:tc>
          <w:tcPr>
            <w:tcW w:w="2369" w:type="dxa"/>
            <w:vMerge/>
            <w:tcBorders>
              <w:bottom w:val="single" w:sz="8" w:space="0" w:color="auto"/>
            </w:tcBorders>
            <w:shd w:val="clear" w:color="auto" w:fill="DBDBDB" w:themeFill="accent3" w:themeFillTint="66"/>
          </w:tcPr>
          <w:p w14:paraId="6623725A" w14:textId="77777777" w:rsidR="00E31AB5" w:rsidRPr="00653FCC" w:rsidRDefault="00E31AB5" w:rsidP="00D72A12">
            <w:pPr>
              <w:rPr>
                <w:sz w:val="18"/>
                <w:szCs w:val="18"/>
              </w:rPr>
            </w:pPr>
          </w:p>
        </w:tc>
        <w:tc>
          <w:tcPr>
            <w:tcW w:w="1286" w:type="dxa"/>
            <w:vMerge/>
            <w:tcBorders>
              <w:bottom w:val="single" w:sz="8" w:space="0" w:color="auto"/>
            </w:tcBorders>
            <w:shd w:val="clear" w:color="auto" w:fill="DBDBDB" w:themeFill="accent3" w:themeFillTint="66"/>
          </w:tcPr>
          <w:p w14:paraId="78E6D8F5" w14:textId="77777777" w:rsidR="00E31AB5" w:rsidRPr="00653FCC" w:rsidRDefault="00E31AB5" w:rsidP="00D72A12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4B1E2F48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b/>
                <w:bCs/>
                <w:sz w:val="16"/>
                <w:szCs w:val="16"/>
              </w:rPr>
              <w:t>Risk of bias</w:t>
            </w:r>
          </w:p>
        </w:tc>
        <w:tc>
          <w:tcPr>
            <w:tcW w:w="113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6008B5CB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rFonts w:cs="Segoe UI"/>
                <w:b/>
                <w:bCs/>
                <w:sz w:val="16"/>
                <w:szCs w:val="16"/>
                <w:lang w:val="en" w:eastAsia="zh-Hans"/>
              </w:rPr>
              <w:t>Indirectness</w:t>
            </w: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49332861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rFonts w:cs="Segoe UI"/>
                <w:b/>
                <w:bCs/>
                <w:sz w:val="16"/>
                <w:szCs w:val="16"/>
                <w:lang w:val="en" w:eastAsia="zh-Hans"/>
              </w:rPr>
              <w:t>Inconsistency</w:t>
            </w:r>
            <w:r w:rsidRPr="00C1205B">
              <w:rPr>
                <w:b/>
                <w:bCs/>
                <w:sz w:val="16"/>
                <w:szCs w:val="16"/>
              </w:rPr>
              <w:t xml:space="preserve">       </w:t>
            </w:r>
          </w:p>
        </w:tc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4AA0DFD6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rFonts w:cs="Segoe UI"/>
                <w:b/>
                <w:bCs/>
                <w:sz w:val="16"/>
                <w:szCs w:val="16"/>
                <w:lang w:val="en" w:eastAsia="zh-Hans"/>
              </w:rPr>
              <w:t>Imprecision</w:t>
            </w:r>
          </w:p>
        </w:tc>
        <w:tc>
          <w:tcPr>
            <w:tcW w:w="141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18B80357" w14:textId="77777777" w:rsidR="00E31AB5" w:rsidRPr="00C1205B" w:rsidRDefault="00E31AB5" w:rsidP="00D72A12">
            <w:pPr>
              <w:rPr>
                <w:b/>
                <w:bCs/>
                <w:sz w:val="16"/>
                <w:szCs w:val="16"/>
              </w:rPr>
            </w:pPr>
            <w:r w:rsidRPr="00C1205B">
              <w:rPr>
                <w:rFonts w:cs="Segoe UI"/>
                <w:b/>
                <w:bCs/>
                <w:sz w:val="16"/>
                <w:szCs w:val="16"/>
                <w:lang w:val="en" w:eastAsia="zh-Hans"/>
              </w:rPr>
              <w:t>Publication bias</w:t>
            </w:r>
          </w:p>
        </w:tc>
        <w:tc>
          <w:tcPr>
            <w:tcW w:w="1129" w:type="dxa"/>
            <w:vMerge/>
            <w:tcBorders>
              <w:bottom w:val="single" w:sz="8" w:space="0" w:color="auto"/>
            </w:tcBorders>
            <w:shd w:val="clear" w:color="auto" w:fill="DBDBDB" w:themeFill="accent3" w:themeFillTint="66"/>
          </w:tcPr>
          <w:p w14:paraId="6664D7FA" w14:textId="77777777" w:rsidR="00E31AB5" w:rsidRDefault="00E31AB5" w:rsidP="00D72A12"/>
        </w:tc>
      </w:tr>
      <w:tr w:rsidR="00E31AB5" w:rsidRPr="00C1205B" w14:paraId="5CCDC910" w14:textId="77777777" w:rsidTr="00D72A12">
        <w:tc>
          <w:tcPr>
            <w:tcW w:w="1113" w:type="dxa"/>
            <w:tcBorders>
              <w:top w:val="single" w:sz="8" w:space="0" w:color="auto"/>
            </w:tcBorders>
          </w:tcPr>
          <w:p w14:paraId="368B14AD" w14:textId="030714A1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T</w:t>
            </w:r>
            <w:r w:rsidR="007A184F">
              <w:rPr>
                <w:sz w:val="16"/>
                <w:szCs w:val="16"/>
              </w:rPr>
              <w:t>P</w:t>
            </w:r>
          </w:p>
        </w:tc>
        <w:tc>
          <w:tcPr>
            <w:tcW w:w="2369" w:type="dxa"/>
            <w:vMerge w:val="restart"/>
            <w:tcBorders>
              <w:top w:val="single" w:sz="8" w:space="0" w:color="auto"/>
            </w:tcBorders>
          </w:tcPr>
          <w:p w14:paraId="10A5128F" w14:textId="77777777" w:rsidR="00E31AB5" w:rsidRPr="00C1205B" w:rsidRDefault="00E31AB5" w:rsidP="00D72A12">
            <w:pPr>
              <w:ind w:firstLineChars="300" w:firstLine="480"/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9</w:t>
            </w:r>
            <w:r w:rsidRPr="00C1205B">
              <w:rPr>
                <w:sz w:val="16"/>
                <w:szCs w:val="16"/>
              </w:rPr>
              <w:t>（</w:t>
            </w:r>
            <w:r w:rsidRPr="00C1205B">
              <w:rPr>
                <w:sz w:val="16"/>
                <w:szCs w:val="16"/>
              </w:rPr>
              <w:t>1491</w:t>
            </w:r>
            <w:r w:rsidRPr="00C1205B">
              <w:rPr>
                <w:sz w:val="16"/>
                <w:szCs w:val="16"/>
              </w:rPr>
              <w:t>）</w:t>
            </w:r>
          </w:p>
        </w:tc>
        <w:tc>
          <w:tcPr>
            <w:tcW w:w="1286" w:type="dxa"/>
            <w:vMerge w:val="restart"/>
            <w:tcBorders>
              <w:top w:val="single" w:sz="8" w:space="0" w:color="auto"/>
            </w:tcBorders>
          </w:tcPr>
          <w:p w14:paraId="27C5A608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color w:val="111111"/>
                <w:sz w:val="16"/>
                <w:szCs w:val="16"/>
                <w:shd w:val="clear" w:color="auto" w:fill="FFFFFF"/>
              </w:rPr>
              <w:t>Cross-sectional</w:t>
            </w:r>
            <w:r w:rsidRPr="00C1205B">
              <w:rPr>
                <w:rStyle w:val="a8"/>
                <w:color w:val="111111"/>
                <w:sz w:val="16"/>
                <w:szCs w:val="16"/>
                <w:shd w:val="clear" w:color="auto" w:fill="FFFFFF"/>
              </w:rPr>
              <w:t> study</w:t>
            </w:r>
          </w:p>
        </w:tc>
        <w:tc>
          <w:tcPr>
            <w:tcW w:w="1106" w:type="dxa"/>
            <w:vMerge w:val="restart"/>
            <w:tcBorders>
              <w:top w:val="single" w:sz="8" w:space="0" w:color="auto"/>
            </w:tcBorders>
          </w:tcPr>
          <w:p w14:paraId="647F4F94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138" w:type="dxa"/>
            <w:vMerge w:val="restart"/>
            <w:tcBorders>
              <w:top w:val="single" w:sz="8" w:space="0" w:color="auto"/>
            </w:tcBorders>
          </w:tcPr>
          <w:p w14:paraId="031CD655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245" w:type="dxa"/>
            <w:vMerge w:val="restart"/>
            <w:tcBorders>
              <w:top w:val="single" w:sz="8" w:space="0" w:color="auto"/>
            </w:tcBorders>
          </w:tcPr>
          <w:p w14:paraId="04572E22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110" w:type="dxa"/>
            <w:vMerge w:val="restart"/>
            <w:tcBorders>
              <w:top w:val="single" w:sz="8" w:space="0" w:color="auto"/>
            </w:tcBorders>
          </w:tcPr>
          <w:p w14:paraId="1F918B20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411" w:type="dxa"/>
            <w:vMerge w:val="restart"/>
            <w:tcBorders>
              <w:top w:val="single" w:sz="8" w:space="0" w:color="auto"/>
            </w:tcBorders>
          </w:tcPr>
          <w:p w14:paraId="2D92FAA5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129" w:type="dxa"/>
            <w:vMerge w:val="restart"/>
            <w:tcBorders>
              <w:top w:val="single" w:sz="8" w:space="0" w:color="auto"/>
            </w:tcBorders>
          </w:tcPr>
          <w:p w14:paraId="7AA66717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rFonts w:ascii="宋体" w:hAnsi="宋体" w:cs="宋体" w:hint="eastAsia"/>
                <w:color w:val="333333"/>
                <w:sz w:val="16"/>
                <w:szCs w:val="16"/>
                <w:shd w:val="clear" w:color="auto" w:fill="FFFFFF"/>
              </w:rPr>
              <w:t>⊕⊕⊕⊕</w:t>
            </w:r>
            <w:r w:rsidRPr="00C1205B">
              <w:rPr>
                <w:sz w:val="16"/>
                <w:szCs w:val="16"/>
              </w:rPr>
              <w:t>/A</w:t>
            </w:r>
          </w:p>
        </w:tc>
      </w:tr>
      <w:tr w:rsidR="00E31AB5" w:rsidRPr="00C1205B" w14:paraId="07F3D693" w14:textId="77777777" w:rsidTr="00D72A12">
        <w:tc>
          <w:tcPr>
            <w:tcW w:w="1113" w:type="dxa"/>
          </w:tcPr>
          <w:p w14:paraId="5DA75C07" w14:textId="31D524EA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F</w:t>
            </w:r>
            <w:r w:rsidR="007A184F">
              <w:rPr>
                <w:sz w:val="16"/>
                <w:szCs w:val="16"/>
              </w:rPr>
              <w:t>P</w:t>
            </w:r>
          </w:p>
        </w:tc>
        <w:tc>
          <w:tcPr>
            <w:tcW w:w="2369" w:type="dxa"/>
            <w:vMerge/>
          </w:tcPr>
          <w:p w14:paraId="788263FD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vMerge/>
          </w:tcPr>
          <w:p w14:paraId="3D42CCE2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vMerge/>
          </w:tcPr>
          <w:p w14:paraId="46BACA33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138" w:type="dxa"/>
            <w:vMerge/>
          </w:tcPr>
          <w:p w14:paraId="06EBE70A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245" w:type="dxa"/>
            <w:vMerge/>
          </w:tcPr>
          <w:p w14:paraId="230B1C50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110" w:type="dxa"/>
            <w:vMerge/>
          </w:tcPr>
          <w:p w14:paraId="7C49ECF2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411" w:type="dxa"/>
            <w:vMerge/>
          </w:tcPr>
          <w:p w14:paraId="3B13EF7C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6D72D5C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</w:tr>
      <w:tr w:rsidR="00E31AB5" w:rsidRPr="00C1205B" w14:paraId="5F0D793A" w14:textId="77777777" w:rsidTr="00D72A12">
        <w:tc>
          <w:tcPr>
            <w:tcW w:w="1113" w:type="dxa"/>
          </w:tcPr>
          <w:p w14:paraId="307B8910" w14:textId="0EFEED2C" w:rsidR="00E31AB5" w:rsidRPr="00C1205B" w:rsidRDefault="007A184F" w:rsidP="00D72A12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N</w:t>
            </w:r>
          </w:p>
        </w:tc>
        <w:tc>
          <w:tcPr>
            <w:tcW w:w="2369" w:type="dxa"/>
          </w:tcPr>
          <w:p w14:paraId="0E46057B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 xml:space="preserve">      9</w:t>
            </w:r>
            <w:r w:rsidRPr="00C1205B">
              <w:rPr>
                <w:sz w:val="16"/>
                <w:szCs w:val="16"/>
              </w:rPr>
              <w:t>（</w:t>
            </w:r>
            <w:r w:rsidRPr="00C1205B">
              <w:rPr>
                <w:sz w:val="16"/>
                <w:szCs w:val="16"/>
              </w:rPr>
              <w:t>509</w:t>
            </w:r>
            <w:r w:rsidRPr="00C1205B">
              <w:rPr>
                <w:sz w:val="16"/>
                <w:szCs w:val="16"/>
              </w:rPr>
              <w:t>）</w:t>
            </w:r>
          </w:p>
        </w:tc>
        <w:tc>
          <w:tcPr>
            <w:tcW w:w="1286" w:type="dxa"/>
            <w:vMerge w:val="restart"/>
          </w:tcPr>
          <w:p w14:paraId="2F4CEAEB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color w:val="111111"/>
                <w:sz w:val="16"/>
                <w:szCs w:val="16"/>
                <w:shd w:val="clear" w:color="auto" w:fill="FFFFFF"/>
              </w:rPr>
              <w:t>Cross-sectional</w:t>
            </w:r>
            <w:r w:rsidRPr="00C1205B">
              <w:rPr>
                <w:rStyle w:val="a8"/>
                <w:color w:val="111111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8"/>
                <w:color w:val="111111"/>
                <w:sz w:val="16"/>
                <w:szCs w:val="16"/>
                <w:shd w:val="clear" w:color="auto" w:fill="FFFFFF"/>
              </w:rPr>
              <w:t>study</w:t>
            </w:r>
          </w:p>
        </w:tc>
        <w:tc>
          <w:tcPr>
            <w:tcW w:w="1106" w:type="dxa"/>
            <w:vMerge w:val="restart"/>
          </w:tcPr>
          <w:p w14:paraId="34DD0BCB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138" w:type="dxa"/>
            <w:vMerge w:val="restart"/>
          </w:tcPr>
          <w:p w14:paraId="1F1A3D18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245" w:type="dxa"/>
            <w:vMerge w:val="restart"/>
          </w:tcPr>
          <w:p w14:paraId="4CA68D19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110" w:type="dxa"/>
            <w:vMerge w:val="restart"/>
          </w:tcPr>
          <w:p w14:paraId="2C7FC795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411" w:type="dxa"/>
            <w:vMerge w:val="restart"/>
          </w:tcPr>
          <w:p w14:paraId="3D186E41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sz w:val="16"/>
                <w:szCs w:val="16"/>
              </w:rPr>
              <w:t>Not serious</w:t>
            </w:r>
          </w:p>
        </w:tc>
        <w:tc>
          <w:tcPr>
            <w:tcW w:w="1129" w:type="dxa"/>
            <w:vMerge w:val="restart"/>
          </w:tcPr>
          <w:p w14:paraId="6D4A8642" w14:textId="77777777" w:rsidR="00E31AB5" w:rsidRPr="00C1205B" w:rsidRDefault="00E31AB5" w:rsidP="00D72A12">
            <w:pPr>
              <w:rPr>
                <w:sz w:val="16"/>
                <w:szCs w:val="16"/>
              </w:rPr>
            </w:pPr>
            <w:r w:rsidRPr="00C1205B">
              <w:rPr>
                <w:rFonts w:ascii="宋体" w:hAnsi="宋体" w:cs="宋体" w:hint="eastAsia"/>
                <w:color w:val="333333"/>
                <w:sz w:val="16"/>
                <w:szCs w:val="16"/>
                <w:shd w:val="clear" w:color="auto" w:fill="FFFFFF"/>
              </w:rPr>
              <w:t>⊕⊕⊕⊕</w:t>
            </w:r>
            <w:r w:rsidRPr="00C1205B">
              <w:rPr>
                <w:sz w:val="16"/>
                <w:szCs w:val="16"/>
              </w:rPr>
              <w:t>/A</w:t>
            </w:r>
          </w:p>
        </w:tc>
      </w:tr>
      <w:tr w:rsidR="00E31AB5" w14:paraId="2BF1FF27" w14:textId="77777777" w:rsidTr="00D72A12">
        <w:tc>
          <w:tcPr>
            <w:tcW w:w="1113" w:type="dxa"/>
          </w:tcPr>
          <w:p w14:paraId="22F08B9A" w14:textId="1CF9ED38" w:rsidR="00E31AB5" w:rsidRPr="00C1205B" w:rsidRDefault="007A184F" w:rsidP="00D72A1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FN</w:t>
            </w:r>
          </w:p>
        </w:tc>
        <w:tc>
          <w:tcPr>
            <w:tcW w:w="2369" w:type="dxa"/>
          </w:tcPr>
          <w:p w14:paraId="01284B25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vMerge/>
          </w:tcPr>
          <w:p w14:paraId="01D786C3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vMerge/>
          </w:tcPr>
          <w:p w14:paraId="4459A2C9" w14:textId="77777777" w:rsidR="00E31AB5" w:rsidRPr="00C1205B" w:rsidRDefault="00E31AB5" w:rsidP="00D72A12">
            <w:pPr>
              <w:rPr>
                <w:sz w:val="16"/>
                <w:szCs w:val="16"/>
              </w:rPr>
            </w:pPr>
          </w:p>
        </w:tc>
        <w:tc>
          <w:tcPr>
            <w:tcW w:w="1138" w:type="dxa"/>
            <w:vMerge/>
          </w:tcPr>
          <w:p w14:paraId="3DC6C3FC" w14:textId="77777777" w:rsidR="00E31AB5" w:rsidRDefault="00E31AB5" w:rsidP="00D72A12"/>
        </w:tc>
        <w:tc>
          <w:tcPr>
            <w:tcW w:w="1245" w:type="dxa"/>
            <w:vMerge/>
          </w:tcPr>
          <w:p w14:paraId="0D59664E" w14:textId="77777777" w:rsidR="00E31AB5" w:rsidRDefault="00E31AB5" w:rsidP="00D72A12"/>
        </w:tc>
        <w:tc>
          <w:tcPr>
            <w:tcW w:w="1110" w:type="dxa"/>
            <w:vMerge/>
          </w:tcPr>
          <w:p w14:paraId="39B663F3" w14:textId="77777777" w:rsidR="00E31AB5" w:rsidRDefault="00E31AB5" w:rsidP="00D72A12"/>
        </w:tc>
        <w:tc>
          <w:tcPr>
            <w:tcW w:w="1411" w:type="dxa"/>
            <w:vMerge/>
          </w:tcPr>
          <w:p w14:paraId="25254229" w14:textId="77777777" w:rsidR="00E31AB5" w:rsidRDefault="00E31AB5" w:rsidP="00D72A12"/>
        </w:tc>
        <w:tc>
          <w:tcPr>
            <w:tcW w:w="1129" w:type="dxa"/>
            <w:vMerge/>
          </w:tcPr>
          <w:p w14:paraId="2167F36A" w14:textId="77777777" w:rsidR="00E31AB5" w:rsidRDefault="00E31AB5" w:rsidP="00D72A12"/>
        </w:tc>
      </w:tr>
    </w:tbl>
    <w:bookmarkEnd w:id="1"/>
    <w:p w14:paraId="3EFDB132" w14:textId="1758E64C" w:rsidR="00E31AB5" w:rsidRDefault="007A184F">
      <w:r>
        <w:rPr>
          <w:rFonts w:hint="eastAsia"/>
        </w:rPr>
        <w:t>T</w:t>
      </w:r>
      <w:r>
        <w:t>P,</w:t>
      </w:r>
      <w:r w:rsidRPr="007A184F">
        <w:t xml:space="preserve"> </w:t>
      </w:r>
      <w:r w:rsidRPr="00535905">
        <w:t>true positive</w:t>
      </w:r>
      <w:r>
        <w:t>;FP,</w:t>
      </w:r>
      <w:r w:rsidRPr="00535905">
        <w:t>false positive</w:t>
      </w:r>
      <w:r>
        <w:t>;</w:t>
      </w:r>
      <w:r w:rsidRPr="007A184F">
        <w:t xml:space="preserve"> </w:t>
      </w:r>
      <w:r>
        <w:t>TN,</w:t>
      </w:r>
      <w:r w:rsidRPr="007A184F">
        <w:t xml:space="preserve"> </w:t>
      </w:r>
      <w:r w:rsidRPr="00535905">
        <w:t>true negative</w:t>
      </w:r>
      <w:r>
        <w:t xml:space="preserve"> ;FN,</w:t>
      </w:r>
      <w:r w:rsidRPr="007A184F">
        <w:t xml:space="preserve"> </w:t>
      </w:r>
      <w:r w:rsidRPr="00535905">
        <w:t xml:space="preserve">false negative </w:t>
      </w:r>
    </w:p>
    <w:p w14:paraId="46F3624F" w14:textId="77777777" w:rsidR="00E31AB5" w:rsidRDefault="00E31AB5"/>
    <w:p w14:paraId="2299AFFC" w14:textId="7D011555" w:rsidR="00E31AB5" w:rsidRDefault="00E31AB5"/>
    <w:p w14:paraId="2D9C6653" w14:textId="77777777" w:rsidR="00E31AB5" w:rsidRDefault="00E31AB5"/>
    <w:p w14:paraId="4FC3F0E1" w14:textId="77777777" w:rsidR="00E31AB5" w:rsidRDefault="00E31AB5"/>
    <w:sectPr w:rsidR="00E31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2F3FF" w14:textId="77777777" w:rsidR="00CD7A04" w:rsidRDefault="00CD7A04" w:rsidP="00E31AB5">
      <w:pPr>
        <w:spacing w:line="240" w:lineRule="auto"/>
      </w:pPr>
      <w:r>
        <w:separator/>
      </w:r>
    </w:p>
  </w:endnote>
  <w:endnote w:type="continuationSeparator" w:id="0">
    <w:p w14:paraId="61742D1E" w14:textId="77777777" w:rsidR="00CD7A04" w:rsidRDefault="00CD7A04" w:rsidP="00E31A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1F004" w14:textId="77777777" w:rsidR="00CD7A04" w:rsidRDefault="00CD7A04" w:rsidP="00E31AB5">
      <w:pPr>
        <w:spacing w:line="240" w:lineRule="auto"/>
      </w:pPr>
      <w:r>
        <w:separator/>
      </w:r>
    </w:p>
  </w:footnote>
  <w:footnote w:type="continuationSeparator" w:id="0">
    <w:p w14:paraId="7CA8A765" w14:textId="77777777" w:rsidR="00CD7A04" w:rsidRDefault="00CD7A04" w:rsidP="00E31A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940"/>
    <w:rsid w:val="0003170C"/>
    <w:rsid w:val="000354A5"/>
    <w:rsid w:val="000B4988"/>
    <w:rsid w:val="00266940"/>
    <w:rsid w:val="00353032"/>
    <w:rsid w:val="00362873"/>
    <w:rsid w:val="007A184F"/>
    <w:rsid w:val="00A54590"/>
    <w:rsid w:val="00BC5CFA"/>
    <w:rsid w:val="00CD7A04"/>
    <w:rsid w:val="00DE693C"/>
    <w:rsid w:val="00E31AB5"/>
    <w:rsid w:val="00E7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4C4C2"/>
  <w15:chartTrackingRefBased/>
  <w15:docId w15:val="{AEFA2A92-463C-4ED3-95BE-625C0E0A8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AB5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AB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noProof w:val="0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A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AB5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noProof w:val="0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AB5"/>
    <w:rPr>
      <w:sz w:val="18"/>
      <w:szCs w:val="18"/>
    </w:rPr>
  </w:style>
  <w:style w:type="table" w:styleId="a7">
    <w:name w:val="Table Grid"/>
    <w:basedOn w:val="a1"/>
    <w:uiPriority w:val="39"/>
    <w:rsid w:val="00E31AB5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E31A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2101612189@qq.com</dc:creator>
  <cp:keywords/>
  <dc:description/>
  <cp:lastModifiedBy>2101612189@qq.com</cp:lastModifiedBy>
  <cp:revision>7</cp:revision>
  <dcterms:created xsi:type="dcterms:W3CDTF">2022-05-11T01:44:00Z</dcterms:created>
  <dcterms:modified xsi:type="dcterms:W3CDTF">2022-10-23T02:48:00Z</dcterms:modified>
</cp:coreProperties>
</file>