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2A5EE7" w14:textId="2F74BAD4" w:rsidR="002C6C50" w:rsidRDefault="002C6C50" w:rsidP="00AC1E49">
      <w:pPr>
        <w:rPr>
          <w:rFonts w:ascii="Times New Roman" w:hAnsi="Times New Roman" w:cs="Times New Roman"/>
        </w:rPr>
        <w:sectPr w:rsidR="002C6C50" w:rsidSect="00BB701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pPr>
    </w:p>
    <w:p w14:paraId="527DF140" w14:textId="6B140C97" w:rsidR="000301E9" w:rsidRDefault="000301E9" w:rsidP="000301E9">
      <w:pPr>
        <w:pStyle w:val="Heading2"/>
        <w:rPr>
          <w:rFonts w:ascii="Times New Roman" w:hAnsi="Times New Roman" w:cs="Times New Roman"/>
        </w:rPr>
      </w:pPr>
      <w:r>
        <w:rPr>
          <w:rFonts w:ascii="Times New Roman" w:hAnsi="Times New Roman" w:cs="Times New Roman"/>
        </w:rPr>
        <w:lastRenderedPageBreak/>
        <w:t>Extended Data Tables</w:t>
      </w:r>
    </w:p>
    <w:p w14:paraId="17D9E54B" w14:textId="51CA0E42" w:rsidR="00EA5815" w:rsidRPr="00BF0EEF" w:rsidRDefault="00EA5815" w:rsidP="00EA5815">
      <w:pPr>
        <w:pStyle w:val="Heading2"/>
      </w:pPr>
      <w:r>
        <w:t xml:space="preserve">Extended Data Table </w:t>
      </w:r>
      <w:r w:rsidRPr="00BF0EEF">
        <w:t xml:space="preserve">1: Details of </w:t>
      </w:r>
      <w:r>
        <w:t xml:space="preserve">the </w:t>
      </w:r>
      <w:r w:rsidRPr="00BF0EEF">
        <w:t>Cochrane reviews</w:t>
      </w:r>
      <w:r>
        <w:t xml:space="preserve"> included in the study</w:t>
      </w:r>
    </w:p>
    <w:tbl>
      <w:tblPr>
        <w:tblStyle w:val="TableGrid"/>
        <w:tblW w:w="14986" w:type="dxa"/>
        <w:tblLook w:val="04A0" w:firstRow="1" w:lastRow="0" w:firstColumn="1" w:lastColumn="0" w:noHBand="0" w:noVBand="1"/>
      </w:tblPr>
      <w:tblGrid>
        <w:gridCol w:w="6253"/>
        <w:gridCol w:w="2741"/>
        <w:gridCol w:w="2876"/>
        <w:gridCol w:w="3116"/>
      </w:tblGrid>
      <w:tr w:rsidR="00EA5815" w:rsidRPr="006C57B4" w14:paraId="445EB031" w14:textId="77777777" w:rsidTr="001016AD">
        <w:trPr>
          <w:trHeight w:val="472"/>
        </w:trPr>
        <w:tc>
          <w:tcPr>
            <w:tcW w:w="6253" w:type="dxa"/>
          </w:tcPr>
          <w:p w14:paraId="1D3E29F7" w14:textId="77777777" w:rsidR="00EA5815" w:rsidRPr="006C57B4" w:rsidRDefault="00EA5815" w:rsidP="001016AD">
            <w:pPr>
              <w:rPr>
                <w:b/>
                <w:bCs/>
              </w:rPr>
            </w:pPr>
            <w:r w:rsidRPr="006C57B4">
              <w:rPr>
                <w:b/>
                <w:bCs/>
              </w:rPr>
              <w:t>Cochrane review title</w:t>
            </w:r>
          </w:p>
        </w:tc>
        <w:tc>
          <w:tcPr>
            <w:tcW w:w="2741" w:type="dxa"/>
          </w:tcPr>
          <w:p w14:paraId="74DCB9A6" w14:textId="77777777" w:rsidR="00EA5815" w:rsidRPr="006C57B4" w:rsidRDefault="00EA5815" w:rsidP="001016AD">
            <w:pPr>
              <w:rPr>
                <w:b/>
                <w:bCs/>
              </w:rPr>
            </w:pPr>
            <w:r w:rsidRPr="006C57B4">
              <w:rPr>
                <w:b/>
                <w:bCs/>
              </w:rPr>
              <w:t>Short title</w:t>
            </w:r>
          </w:p>
        </w:tc>
        <w:tc>
          <w:tcPr>
            <w:tcW w:w="2876" w:type="dxa"/>
          </w:tcPr>
          <w:p w14:paraId="52CB1C1A" w14:textId="77777777" w:rsidR="00EA5815" w:rsidRPr="006C57B4" w:rsidRDefault="00EA5815" w:rsidP="001016AD">
            <w:pPr>
              <w:rPr>
                <w:b/>
                <w:bCs/>
              </w:rPr>
            </w:pPr>
            <w:r w:rsidRPr="006C57B4">
              <w:rPr>
                <w:b/>
                <w:bCs/>
              </w:rPr>
              <w:t>Search date</w:t>
            </w:r>
          </w:p>
        </w:tc>
        <w:tc>
          <w:tcPr>
            <w:tcW w:w="3116" w:type="dxa"/>
          </w:tcPr>
          <w:p w14:paraId="5501E297" w14:textId="77777777" w:rsidR="00EA5815" w:rsidRPr="006C57B4" w:rsidRDefault="00EA5815" w:rsidP="001016AD">
            <w:pPr>
              <w:rPr>
                <w:b/>
                <w:bCs/>
              </w:rPr>
            </w:pPr>
            <w:r w:rsidRPr="006C57B4">
              <w:rPr>
                <w:b/>
                <w:bCs/>
              </w:rPr>
              <w:t>Findings</w:t>
            </w:r>
          </w:p>
        </w:tc>
      </w:tr>
      <w:tr w:rsidR="00EA5815" w:rsidRPr="00BF0EEF" w14:paraId="2BB44076" w14:textId="77777777" w:rsidTr="001016AD">
        <w:trPr>
          <w:trHeight w:val="472"/>
        </w:trPr>
        <w:tc>
          <w:tcPr>
            <w:tcW w:w="6253" w:type="dxa"/>
          </w:tcPr>
          <w:p w14:paraId="7F9A32DF" w14:textId="1D597890" w:rsidR="00EA5815" w:rsidRPr="00BF0EEF" w:rsidRDefault="00966BC0" w:rsidP="001016AD">
            <w:hyperlink r:id="rId14" w:tgtFrame="_blank" w:history="1">
              <w:r w:rsidR="00EA5815" w:rsidRPr="00BF0EEF">
                <w:rPr>
                  <w:rStyle w:val="Hyperlink"/>
                </w:rPr>
                <w:t>Treatment for ascites in adults with decompensated liver cirrhosis: a network meta‐analysis</w:t>
              </w:r>
            </w:hyperlink>
            <w:r w:rsidR="00EA5815" w:rsidRPr="00BF0EEF">
              <w:t xml:space="preserve"> </w:t>
            </w:r>
            <w:r w:rsidR="00EA5815" w:rsidRPr="00BF0EEF">
              <w:fldChar w:fldCharType="begin">
                <w:fldData xml:space="preserve">PEVuZE5vdGU+PENpdGU+PEF1dGhvcj5CZW5tYXNzYW91ZDwvQXV0aG9yPjxZZWFyPjIwMjA8L1ll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</w:fldData>
              </w:fldChar>
            </w:r>
            <w:r w:rsidR="00383EB7">
              <w:instrText xml:space="preserve"> ADDIN EN.CITE </w:instrText>
            </w:r>
            <w:r w:rsidR="00383EB7">
              <w:fldChar w:fldCharType="begin">
                <w:fldData xml:space="preserve">PEVuZE5vdGU+PENpdGU+PEF1dGhvcj5CZW5tYXNzYW91ZDwvQXV0aG9yPjxZZWFyPjIwMjA8L1ll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</w:fldData>
              </w:fldChar>
            </w:r>
            <w:r w:rsidR="00383EB7">
              <w:instrText xml:space="preserve"> ADDIN EN.CITE.DATA </w:instrText>
            </w:r>
            <w:r w:rsidR="00383EB7">
              <w:fldChar w:fldCharType="end"/>
            </w:r>
            <w:r w:rsidR="00EA5815" w:rsidRPr="00BF0EEF">
              <w:fldChar w:fldCharType="separate"/>
            </w:r>
            <w:r w:rsidR="00383EB7" w:rsidRPr="00383EB7">
              <w:rPr>
                <w:noProof/>
                <w:vertAlign w:val="superscript"/>
              </w:rPr>
              <w:t>14</w:t>
            </w:r>
            <w:r w:rsidR="00EA5815" w:rsidRPr="00BF0EEF">
              <w:fldChar w:fldCharType="end"/>
            </w:r>
          </w:p>
        </w:tc>
        <w:tc>
          <w:tcPr>
            <w:tcW w:w="2741" w:type="dxa"/>
          </w:tcPr>
          <w:p w14:paraId="599E8481" w14:textId="77777777" w:rsidR="00EA5815" w:rsidRPr="00BF0EEF" w:rsidRDefault="00EA5815" w:rsidP="001016AD">
            <w:r w:rsidRPr="00BF0EEF">
              <w:t>Cochrane: ascites</w:t>
            </w:r>
          </w:p>
        </w:tc>
        <w:tc>
          <w:tcPr>
            <w:tcW w:w="2876" w:type="dxa"/>
          </w:tcPr>
          <w:p w14:paraId="314E2D7E" w14:textId="77777777" w:rsidR="00EA5815" w:rsidRPr="00BF0EEF" w:rsidRDefault="00EA5815" w:rsidP="001016AD">
            <w:r w:rsidRPr="00BF0EEF">
              <w:t>May 2019</w:t>
            </w:r>
          </w:p>
        </w:tc>
        <w:tc>
          <w:tcPr>
            <w:tcW w:w="3116" w:type="dxa"/>
            <w:vAlign w:val="bottom"/>
          </w:tcPr>
          <w:p w14:paraId="1F341271" w14:textId="77777777" w:rsidR="00EA5815" w:rsidRPr="00BF0EEF" w:rsidRDefault="00EA5815" w:rsidP="001016AD">
            <w:r w:rsidRPr="00BF0EEF">
              <w:t xml:space="preserve">There was no evidence of differences in mortality, adverse events, or liver transplantation in people receiving different interventions compared to paracentesis plus fluid replacement (very low-certainty evidence). Resolution of ascites at maximal follow-up was higher with transjugular intrahepatic portosystemic shunt (HR 9.44; 95% CrI 1.93 to 62.68) and adding aldosterone </w:t>
            </w:r>
            <w:r w:rsidRPr="00BF0EEF">
              <w:lastRenderedPageBreak/>
              <w:t>antagonists to paracentesis plus fluid replacement (HR 30.63; 95% CrI 5.06 to 692.98) compared to paracentesis plus fluid replacement (very low-certainty evidence). Aldosterone antagonists plus loop diuretics had a higher rate of other decompensation events such as hepatic encephalopathy, hepatorenal syndrome, and variceal bleeding compared to paracentesis plus fluid replacement (rate ratio 2.04; 95% CrI 1.37 to 3.10) (very low-certainty evidence).</w:t>
            </w:r>
          </w:p>
        </w:tc>
      </w:tr>
      <w:tr w:rsidR="00EA5815" w:rsidRPr="00BF0EEF" w14:paraId="68DFD719" w14:textId="77777777" w:rsidTr="001016AD">
        <w:trPr>
          <w:trHeight w:val="680"/>
        </w:trPr>
        <w:tc>
          <w:tcPr>
            <w:tcW w:w="6253" w:type="dxa"/>
          </w:tcPr>
          <w:p w14:paraId="3D19A651" w14:textId="26B5302E" w:rsidR="00EA5815" w:rsidRPr="00BF0EEF" w:rsidRDefault="00966BC0" w:rsidP="001016AD">
            <w:hyperlink r:id="rId15" w:tgtFrame="_blank" w:history="1">
              <w:r w:rsidR="00EA5815" w:rsidRPr="00BF0EEF">
                <w:rPr>
                  <w:rStyle w:val="Hyperlink"/>
                </w:rPr>
                <w:t>Treatment for hepatorenal syndrome in people with decompensated liver cirrhosis: a network meta‐analysis</w:t>
              </w:r>
            </w:hyperlink>
            <w:r w:rsidR="00EA5815" w:rsidRPr="00BF0EEF">
              <w:t xml:space="preserve"> </w:t>
            </w:r>
            <w:r w:rsidR="00EA5815" w:rsidRPr="00BF0EEF">
              <w:fldChar w:fldCharType="begin">
                <w:fldData xml:space="preserve">PEVuZE5vdGU+PENpdGU+PEF1dGhvcj5CZXN0PC9BdXRob3I+PFllYXI+MjAxOTwvWWVhcj48UmVj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</w:fldData>
              </w:fldChar>
            </w:r>
            <w:r w:rsidR="00383EB7">
              <w:instrText xml:space="preserve"> ADDIN EN.CITE </w:instrText>
            </w:r>
            <w:r w:rsidR="00383EB7">
              <w:fldChar w:fldCharType="begin">
                <w:fldData xml:space="preserve">PEVuZE5vdGU+PENpdGU+PEF1dGhvcj5CZXN0PC9BdXRob3I+PFllYXI+MjAxOTwvWWVhcj48UmVj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</w:fldData>
              </w:fldChar>
            </w:r>
            <w:r w:rsidR="00383EB7">
              <w:instrText xml:space="preserve"> ADDIN EN.CITE.DATA </w:instrText>
            </w:r>
            <w:r w:rsidR="00383EB7">
              <w:fldChar w:fldCharType="end"/>
            </w:r>
            <w:r w:rsidR="00EA5815" w:rsidRPr="00BF0EEF">
              <w:fldChar w:fldCharType="separate"/>
            </w:r>
            <w:r w:rsidR="00383EB7" w:rsidRPr="00383EB7">
              <w:rPr>
                <w:noProof/>
                <w:vertAlign w:val="superscript"/>
              </w:rPr>
              <w:t>13</w:t>
            </w:r>
            <w:r w:rsidR="00EA5815" w:rsidRPr="00BF0EEF">
              <w:fldChar w:fldCharType="end"/>
            </w:r>
          </w:p>
        </w:tc>
        <w:tc>
          <w:tcPr>
            <w:tcW w:w="2741" w:type="dxa"/>
          </w:tcPr>
          <w:p w14:paraId="1C0E34CA" w14:textId="77777777" w:rsidR="00EA5815" w:rsidRPr="00BF0EEF" w:rsidRDefault="00EA5815" w:rsidP="001016AD">
            <w:r w:rsidRPr="00BF0EEF">
              <w:t>Cochrane: hepatorenal syndrome</w:t>
            </w:r>
          </w:p>
        </w:tc>
        <w:tc>
          <w:tcPr>
            <w:tcW w:w="2876" w:type="dxa"/>
          </w:tcPr>
          <w:p w14:paraId="680BE82C" w14:textId="77777777" w:rsidR="00EA5815" w:rsidRPr="00BF0EEF" w:rsidRDefault="00EA5815" w:rsidP="001016AD">
            <w:r w:rsidRPr="00BF0EEF">
              <w:t>December 2018</w:t>
            </w:r>
          </w:p>
        </w:tc>
        <w:tc>
          <w:tcPr>
            <w:tcW w:w="3116" w:type="dxa"/>
            <w:vAlign w:val="bottom"/>
          </w:tcPr>
          <w:p w14:paraId="2BD6C211" w14:textId="77777777" w:rsidR="00EA5815" w:rsidRPr="00BF0EEF" w:rsidRDefault="00EA5815" w:rsidP="001016AD">
            <w:r w:rsidRPr="00BF0EEF">
              <w:t xml:space="preserve">There was no evidence of a difference in mortality (22 trials; 1153 participants) at maximal follow-up between the different interventions. None of the trials reported health-related quality of life. There was no evidence of differences in the proportion of people with serious adverse events (three trials; 428 participants), number of participants with serious adverse events per participant (two trials; 166 participants), proportion of participants with any adverse events (four trials; </w:t>
            </w:r>
            <w:r w:rsidRPr="00BF0EEF">
              <w:lastRenderedPageBreak/>
              <w:t xml:space="preserve">402 participants), the proportion of people who underwent liver transplantation at maximal follow-up (four trials; 342 participants), or other features of decompensation at maximal follow-up (one trial; 466 participants). Five trials (293 participants) reported number of any adverse events, and five trials (219 participants) reported treatment costs. Albumin plus noradrenaline had fewer numbers of adverse events per participant (rate </w:t>
            </w:r>
            <w:r w:rsidRPr="00BF0EEF">
              <w:lastRenderedPageBreak/>
              <w:t xml:space="preserve">ratio 0.51, 95% CrI 0.28 to 0.87). Eighteen trials (1047 participants) reported recovery from hepatorenal syndrome (as per definition of hepatorenal syndrome). In terms of recovery from hepatorenal syndrome, in the direct comparisons, albumin plus midodrine plus octreotide and albumin plus octreotide had lower recovery from hepatorenal syndrome than albumin plus terlipressin (HR 0.04; 95% CrI 0.00 to 0.25 and HR 0.26, 95% CrI 0.07 to 0.80 respectively). There was no </w:t>
            </w:r>
            <w:r w:rsidRPr="00BF0EEF">
              <w:lastRenderedPageBreak/>
              <w:t>evidence of differences between the groups in any of the other direct comparisons. In the network meta-analysis, albumin and albumin plus midodrine plus octreotide had lower recovery from hepatorenal syndrome compared with albumin plus terlipressin.</w:t>
            </w:r>
          </w:p>
        </w:tc>
      </w:tr>
      <w:tr w:rsidR="00EA5815" w:rsidRPr="00BF0EEF" w14:paraId="58DD029F" w14:textId="77777777" w:rsidTr="001016AD">
        <w:trPr>
          <w:trHeight w:val="680"/>
        </w:trPr>
        <w:tc>
          <w:tcPr>
            <w:tcW w:w="6253" w:type="dxa"/>
          </w:tcPr>
          <w:p w14:paraId="6E4BBA83" w14:textId="0569F581" w:rsidR="00EA5815" w:rsidRPr="00BF0EEF" w:rsidRDefault="00966BC0" w:rsidP="001016AD">
            <w:hyperlink r:id="rId16" w:tgtFrame="_blank" w:history="1">
              <w:r w:rsidR="00EA5815" w:rsidRPr="00BF0EEF">
                <w:rPr>
                  <w:rStyle w:val="Hyperlink"/>
                </w:rPr>
                <w:t>Antibiotic prophylaxis to prevent spontaneous bacterial peritonitis in people with liver cirrhosis: a network meta‐analysis</w:t>
              </w:r>
            </w:hyperlink>
            <w:r w:rsidR="00EA5815" w:rsidRPr="00BF0EEF">
              <w:t xml:space="preserve"> </w:t>
            </w:r>
            <w:r w:rsidR="00EA5815" w:rsidRPr="00BF0EEF">
              <w:fldChar w:fldCharType="begin">
                <w:fldData xml:space="preserve">PEVuZE5vdGU+PENpdGU+PEF1dGhvcj5Lb21vbGFmZTwvQXV0aG9yPjxZZWFyPjIwMjA8L1llYXI+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</w:fldData>
              </w:fldChar>
            </w:r>
            <w:r w:rsidR="00383EB7">
              <w:instrText xml:space="preserve"> ADDIN EN.CITE </w:instrText>
            </w:r>
            <w:r w:rsidR="00383EB7">
              <w:fldChar w:fldCharType="begin">
                <w:fldData xml:space="preserve">PEVuZE5vdGU+PENpdGU+PEF1dGhvcj5Lb21vbGFmZTwvQXV0aG9yPjxZZWFyPjIwMjA8L1llYXI+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</w:fldData>
              </w:fldChar>
            </w:r>
            <w:r w:rsidR="00383EB7">
              <w:instrText xml:space="preserve"> ADDIN EN.CITE.DATA </w:instrText>
            </w:r>
            <w:r w:rsidR="00383EB7">
              <w:fldChar w:fldCharType="end"/>
            </w:r>
            <w:r w:rsidR="00EA5815" w:rsidRPr="00BF0EEF">
              <w:fldChar w:fldCharType="separate"/>
            </w:r>
            <w:r w:rsidR="00383EB7" w:rsidRPr="00383EB7">
              <w:rPr>
                <w:noProof/>
                <w:vertAlign w:val="superscript"/>
              </w:rPr>
              <w:t>12</w:t>
            </w:r>
            <w:r w:rsidR="00EA5815" w:rsidRPr="00BF0EEF">
              <w:fldChar w:fldCharType="end"/>
            </w:r>
          </w:p>
        </w:tc>
        <w:tc>
          <w:tcPr>
            <w:tcW w:w="2741" w:type="dxa"/>
          </w:tcPr>
          <w:p w14:paraId="6A3F2B06" w14:textId="77777777" w:rsidR="00EA5815" w:rsidRPr="00BF0EEF" w:rsidRDefault="00EA5815" w:rsidP="001016AD">
            <w:r w:rsidRPr="00BF0EEF">
              <w:t>Cochrane SBP prophylaxis</w:t>
            </w:r>
          </w:p>
        </w:tc>
        <w:tc>
          <w:tcPr>
            <w:tcW w:w="2876" w:type="dxa"/>
          </w:tcPr>
          <w:p w14:paraId="146273B4" w14:textId="77777777" w:rsidR="00EA5815" w:rsidRPr="00BF0EEF" w:rsidRDefault="00EA5815" w:rsidP="001016AD">
            <w:r w:rsidRPr="00BF0EEF">
              <w:t>10 November 2018</w:t>
            </w:r>
          </w:p>
        </w:tc>
        <w:tc>
          <w:tcPr>
            <w:tcW w:w="3116" w:type="dxa"/>
            <w:vAlign w:val="bottom"/>
          </w:tcPr>
          <w:p w14:paraId="1FFD70CC" w14:textId="77777777" w:rsidR="00EA5815" w:rsidRPr="00BF0EEF" w:rsidRDefault="00EA5815" w:rsidP="001016AD">
            <w:r w:rsidRPr="00BF0EEF">
              <w:t xml:space="preserve">Based on very low-certainty evidence, there is considerable uncertainty about whether antibiotic prophylaxis is beneficial, and if beneficial, which antibiotic prophylaxis is </w:t>
            </w:r>
            <w:r w:rsidRPr="00BF0EEF">
              <w:lastRenderedPageBreak/>
              <w:t>most beneficial in people with cirrhosis and ascites with low protein or history of spontaneous bacterial peritonitis.</w:t>
            </w:r>
          </w:p>
        </w:tc>
      </w:tr>
      <w:tr w:rsidR="00EA5815" w:rsidRPr="00BF0EEF" w14:paraId="1DBAF298" w14:textId="77777777" w:rsidTr="001016AD">
        <w:trPr>
          <w:trHeight w:val="680"/>
        </w:trPr>
        <w:tc>
          <w:tcPr>
            <w:tcW w:w="6253" w:type="dxa"/>
          </w:tcPr>
          <w:p w14:paraId="31BA76AA" w14:textId="347F50EA" w:rsidR="00EA5815" w:rsidRPr="00BF0EEF" w:rsidRDefault="00966BC0" w:rsidP="001016AD">
            <w:hyperlink r:id="rId17" w:tgtFrame="_blank" w:history="1">
              <w:r w:rsidR="00EA5815" w:rsidRPr="00BF0EEF">
                <w:rPr>
                  <w:rStyle w:val="Hyperlink"/>
                </w:rPr>
                <w:t>Antibiotic treatment for spontaneous bacterial peritonitis in people with decompensated liver cirrhosis: a network meta‐analysis</w:t>
              </w:r>
            </w:hyperlink>
            <w:r w:rsidR="00EA5815" w:rsidRPr="00BF0EEF">
              <w:t xml:space="preserve"> </w:t>
            </w:r>
            <w:r w:rsidR="00EA5815" w:rsidRPr="00BF0EEF">
              <w:fldChar w:fldCharType="begin">
                <w:fldData xml:space="preserve">PEVuZE5vdGU+PENpdGU+PEF1dGhvcj5Jb2duYSBQcmF0PC9BdXRob3I+PFllYXI+MjAxOTwvWWVh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</w:fldData>
              </w:fldChar>
            </w:r>
            <w:r w:rsidR="00383EB7">
              <w:instrText xml:space="preserve"> ADDIN EN.CITE </w:instrText>
            </w:r>
            <w:r w:rsidR="00383EB7">
              <w:fldChar w:fldCharType="begin">
                <w:fldData xml:space="preserve">PEVuZE5vdGU+PENpdGU+PEF1dGhvcj5Jb2duYSBQcmF0PC9BdXRob3I+PFllYXI+MjAxOTwvWWVh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</w:fldData>
              </w:fldChar>
            </w:r>
            <w:r w:rsidR="00383EB7">
              <w:instrText xml:space="preserve"> ADDIN EN.CITE.DATA </w:instrText>
            </w:r>
            <w:r w:rsidR="00383EB7">
              <w:fldChar w:fldCharType="end"/>
            </w:r>
            <w:r w:rsidR="00EA5815" w:rsidRPr="00BF0EEF">
              <w:fldChar w:fldCharType="separate"/>
            </w:r>
            <w:r w:rsidR="00383EB7" w:rsidRPr="00383EB7">
              <w:rPr>
                <w:noProof/>
                <w:vertAlign w:val="superscript"/>
              </w:rPr>
              <w:t>11</w:t>
            </w:r>
            <w:r w:rsidR="00EA5815" w:rsidRPr="00BF0EEF">
              <w:fldChar w:fldCharType="end"/>
            </w:r>
          </w:p>
        </w:tc>
        <w:tc>
          <w:tcPr>
            <w:tcW w:w="2741" w:type="dxa"/>
          </w:tcPr>
          <w:p w14:paraId="5967169F" w14:textId="77777777" w:rsidR="00EA5815" w:rsidRPr="00BF0EEF" w:rsidRDefault="00EA5815" w:rsidP="001016AD">
            <w:r w:rsidRPr="00BF0EEF">
              <w:t>Cochrane: SBP treatment</w:t>
            </w:r>
          </w:p>
        </w:tc>
        <w:tc>
          <w:tcPr>
            <w:tcW w:w="2876" w:type="dxa"/>
          </w:tcPr>
          <w:p w14:paraId="62DBBACF" w14:textId="77777777" w:rsidR="00EA5815" w:rsidRPr="00BF0EEF" w:rsidRDefault="00EA5815" w:rsidP="001016AD">
            <w:r w:rsidRPr="00BF0EEF">
              <w:t>10 November 2018</w:t>
            </w:r>
          </w:p>
        </w:tc>
        <w:tc>
          <w:tcPr>
            <w:tcW w:w="3116" w:type="dxa"/>
            <w:vAlign w:val="bottom"/>
          </w:tcPr>
          <w:p w14:paraId="229A8A5E" w14:textId="77777777" w:rsidR="00EA5815" w:rsidRPr="00BF0EEF" w:rsidRDefault="00EA5815" w:rsidP="001016AD">
            <w:r w:rsidRPr="00BF0EEF">
              <w:t xml:space="preserve">There was no evidence of difference in any of the outcomes for which network meta-analysis was possible: mortality (9 trials; 653 participants), proportion of people with any adverse events (5 trials; 297 participants), resolution of SBP (as per standard definition, 9 trials; 873 participants), or other features </w:t>
            </w:r>
            <w:r w:rsidRPr="00BF0EEF">
              <w:lastRenderedPageBreak/>
              <w:t xml:space="preserve">of decompensation (6 trials; 535 participants). The effect estimates in the direct comparisons (when available) were very similar to those of network meta-analysis. For the comparisons where network meta-analysis was not possible, there was no evidence of difference in any of the outcomes (proportion of participants with serious adverse events, number of adverse events, and proportion of participants requiring liver transplantation). Due to the </w:t>
            </w:r>
            <w:r w:rsidRPr="00BF0EEF">
              <w:lastRenderedPageBreak/>
              <w:t>wide CrIs and the very low-certainty evidence for all the outcomes, significant benefits or harms of antibiotics are possible.</w:t>
            </w:r>
          </w:p>
        </w:tc>
      </w:tr>
      <w:tr w:rsidR="00EA5815" w:rsidRPr="00BF0EEF" w14:paraId="3C57E66E" w14:textId="77777777" w:rsidTr="001016AD">
        <w:trPr>
          <w:trHeight w:val="680"/>
        </w:trPr>
        <w:tc>
          <w:tcPr>
            <w:tcW w:w="6253" w:type="dxa"/>
          </w:tcPr>
          <w:p w14:paraId="27F97EC5" w14:textId="36521F37" w:rsidR="00EA5815" w:rsidRPr="00BF0EEF" w:rsidRDefault="00966BC0" w:rsidP="001016AD">
            <w:hyperlink r:id="rId18" w:tgtFrame="_blank" w:history="1">
              <w:r w:rsidR="00EA5815" w:rsidRPr="00BF0EEF">
                <w:rPr>
                  <w:rStyle w:val="Hyperlink"/>
                </w:rPr>
                <w:t>Primary prevention of variceal bleeding in people with oesophageal varices due to liver cirrhosis: a network meta‐analysis</w:t>
              </w:r>
            </w:hyperlink>
            <w:r w:rsidR="00EA5815" w:rsidRPr="00BF0EEF">
              <w:t xml:space="preserve"> </w:t>
            </w:r>
            <w:r w:rsidR="00EA5815" w:rsidRPr="00BF0EEF">
              <w:fldChar w:fldCharType="begin">
                <w:fldData xml:space="preserve">PEVuZE5vdGU+PENpdGU+PEF1dGhvcj5Sb2NjYXJpbmE8L0F1dGhvcj48WWVhcj4yMDIxPC9ZZWFy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</w:fldData>
              </w:fldChar>
            </w:r>
            <w:r w:rsidR="00383EB7">
              <w:instrText xml:space="preserve"> ADDIN EN.CITE </w:instrText>
            </w:r>
            <w:r w:rsidR="00383EB7">
              <w:fldChar w:fldCharType="begin">
                <w:fldData xml:space="preserve">PEVuZE5vdGU+PENpdGU+PEF1dGhvcj5Sb2NjYXJpbmE8L0F1dGhvcj48WWVhcj4yMDIxPC9ZZWFy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</w:fldData>
              </w:fldChar>
            </w:r>
            <w:r w:rsidR="00383EB7">
              <w:instrText xml:space="preserve"> ADDIN EN.CITE.DATA </w:instrText>
            </w:r>
            <w:r w:rsidR="00383EB7">
              <w:fldChar w:fldCharType="end"/>
            </w:r>
            <w:r w:rsidR="00EA5815" w:rsidRPr="00BF0EEF">
              <w:fldChar w:fldCharType="separate"/>
            </w:r>
            <w:r w:rsidR="00383EB7" w:rsidRPr="00383EB7">
              <w:rPr>
                <w:noProof/>
                <w:vertAlign w:val="superscript"/>
              </w:rPr>
              <w:t>8</w:t>
            </w:r>
            <w:r w:rsidR="00EA5815" w:rsidRPr="00BF0EEF">
              <w:fldChar w:fldCharType="end"/>
            </w:r>
          </w:p>
        </w:tc>
        <w:tc>
          <w:tcPr>
            <w:tcW w:w="2741" w:type="dxa"/>
          </w:tcPr>
          <w:p w14:paraId="29812555" w14:textId="77777777" w:rsidR="00EA5815" w:rsidRPr="00BF0EEF" w:rsidRDefault="00EA5815" w:rsidP="001016AD">
            <w:r w:rsidRPr="00BF0EEF">
              <w:t>Cochrane: primary prevention variceal bleeding</w:t>
            </w:r>
          </w:p>
        </w:tc>
        <w:tc>
          <w:tcPr>
            <w:tcW w:w="2876" w:type="dxa"/>
          </w:tcPr>
          <w:p w14:paraId="5A81F895" w14:textId="77777777" w:rsidR="00EA5815" w:rsidRPr="00BF0EEF" w:rsidRDefault="00EA5815" w:rsidP="001016AD">
            <w:r w:rsidRPr="00BF0EEF">
              <w:t>17 December 2019</w:t>
            </w:r>
          </w:p>
        </w:tc>
        <w:tc>
          <w:tcPr>
            <w:tcW w:w="3116" w:type="dxa"/>
            <w:vAlign w:val="bottom"/>
          </w:tcPr>
          <w:p w14:paraId="472A49A4" w14:textId="77777777" w:rsidR="00EA5815" w:rsidRPr="00BF0EEF" w:rsidRDefault="00EA5815" w:rsidP="001016AD">
            <w:r w:rsidRPr="00BF0EEF">
              <w:t xml:space="preserve">Based on low-certainty evidence, beta-blockers, variceal band ligation, sclerotherapy, and beta-blockers plus nitrates all had lower mortality versus no active intervention (beta-blockers: HR 0.49, 95% CrI 0.36 to 0.67; direct comparison HR: 0.59, 95% CrI 0.42 to 0.83; 10 trials, 1200 participants; variceal band </w:t>
            </w:r>
            <w:r w:rsidRPr="00BF0EEF">
              <w:lastRenderedPageBreak/>
              <w:t xml:space="preserve">ligation: HR 0.51, 95% CrI 0.35 to 0.74; direct comparison HR 0.49, 95% CrI 0.12 to 2.14; 3 trials, 355 participants; sclerotherapy: HR 0.66, 95% CrI 0.51 to 0.85; direct comparison HR 0.61, 95% CrI 0.41 to 0.90; 18 trials, 1666 participants; beta-blockers plus nitrates: HR 0.41, 95% CrI 0.20 to 0.85; no direct comparison). No trials reported health-related quality of life. Based on low-certainty evidence, variceal band ligation had a higher number of serious adverse events (number of </w:t>
            </w:r>
            <w:r w:rsidRPr="00BF0EEF">
              <w:lastRenderedPageBreak/>
              <w:t xml:space="preserve">events) than beta-blockers (rate ratio 10.49, 95% CrI 2.83 to 60.64; 1 trial, 168 participants). Based on low-certainty evidence, beta-blockers plus nitrates had a higher number of 'any adverse events (number of participants)' than beta-blockers alone (OR 3.41, 95% CrI 1.11 to 11.28; 1 trial, 57 participants). Based on low-certainty evidence, adverse events (number of events) were higher in sclerotherapy than in beta-blockers (rate ratio 2.49, 95% CrI 1.53 to 4.22; direct </w:t>
            </w:r>
            <w:r w:rsidRPr="00BF0EEF">
              <w:lastRenderedPageBreak/>
              <w:t xml:space="preserve">comparison rate ratio 2.47, 95% CrI 1.27 to 5.06; 2 trials, 90 participants), and in beta-blockers plus variceal band ligation than in beta-blockers (direct comparison rate ratio 1.72, 95% CrI 1.08 to 2.76; 1 trial, 140 participants). Based on low-certainty evidence, any variceal bleed was lower in beta-blockers plus variceal band ligation than in beta-blockers (direct comparison HR 0.21, 95% CrI 0.04 to 0.71; 1 trial, 173 participants). Based on low-certainty evidence, any variceal </w:t>
            </w:r>
            <w:r w:rsidRPr="00BF0EEF">
              <w:lastRenderedPageBreak/>
              <w:t>bleed was higher in nitrates than beta-blockers (direct comparison HR 6.40, 95% CrI 1.58 to 47.42; 1 trial, 52 participants). The evidence indicates considerable uncertainty about the effect of the interventions in the remaining comparisons.</w:t>
            </w:r>
          </w:p>
        </w:tc>
      </w:tr>
      <w:tr w:rsidR="00EA5815" w:rsidRPr="00BF0EEF" w14:paraId="009E251D" w14:textId="77777777" w:rsidTr="001016AD">
        <w:trPr>
          <w:trHeight w:val="680"/>
        </w:trPr>
        <w:tc>
          <w:tcPr>
            <w:tcW w:w="6253" w:type="dxa"/>
          </w:tcPr>
          <w:p w14:paraId="132FD93D" w14:textId="702986BF" w:rsidR="00EA5815" w:rsidRPr="00BF0EEF" w:rsidRDefault="00966BC0" w:rsidP="001016AD">
            <w:hyperlink r:id="rId19" w:tgtFrame="_blank" w:history="1">
              <w:r w:rsidR="00EA5815" w:rsidRPr="00BF0EEF">
                <w:rPr>
                  <w:rStyle w:val="Hyperlink"/>
                </w:rPr>
                <w:t>Treatment for bleeding oesophageal varices in people with decompensated liver cirrhosis: a network meta‐analysis</w:t>
              </w:r>
            </w:hyperlink>
            <w:r w:rsidR="00EA5815" w:rsidRPr="00BF0EEF">
              <w:t xml:space="preserve"> </w:t>
            </w:r>
            <w:r w:rsidR="00EA5815" w:rsidRPr="00BF0EEF">
              <w:fldChar w:fldCharType="begin">
                <w:fldData xml:space="preserve">PEVuZE5vdGU+PENpdGU+PEF1dGhvcj5Sb2JlcnRzPC9BdXRob3I+PFllYXI+MjAyMTwvWWVhcj48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</w:fldData>
              </w:fldChar>
            </w:r>
            <w:r w:rsidR="00383EB7">
              <w:instrText xml:space="preserve"> ADDIN EN.CITE </w:instrText>
            </w:r>
            <w:r w:rsidR="00383EB7">
              <w:fldChar w:fldCharType="begin">
                <w:fldData xml:space="preserve">PEVuZE5vdGU+PENpdGU+PEF1dGhvcj5Sb2JlcnRzPC9BdXRob3I+PFllYXI+MjAyMTwvWWVhcj48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</w:fldData>
              </w:fldChar>
            </w:r>
            <w:r w:rsidR="00383EB7">
              <w:instrText xml:space="preserve"> ADDIN EN.CITE.DATA </w:instrText>
            </w:r>
            <w:r w:rsidR="00383EB7">
              <w:fldChar w:fldCharType="end"/>
            </w:r>
            <w:r w:rsidR="00EA5815" w:rsidRPr="00BF0EEF">
              <w:fldChar w:fldCharType="separate"/>
            </w:r>
            <w:r w:rsidR="00383EB7" w:rsidRPr="00383EB7">
              <w:rPr>
                <w:noProof/>
                <w:vertAlign w:val="superscript"/>
              </w:rPr>
              <w:t>10</w:t>
            </w:r>
            <w:r w:rsidR="00EA5815" w:rsidRPr="00BF0EEF">
              <w:fldChar w:fldCharType="end"/>
            </w:r>
          </w:p>
        </w:tc>
        <w:tc>
          <w:tcPr>
            <w:tcW w:w="2741" w:type="dxa"/>
          </w:tcPr>
          <w:p w14:paraId="2DADB362" w14:textId="77777777" w:rsidR="00EA5815" w:rsidRPr="00BF0EEF" w:rsidRDefault="00EA5815" w:rsidP="001016AD">
            <w:r w:rsidRPr="00BF0EEF">
              <w:t>Cochrane: treatment variceal bleeding</w:t>
            </w:r>
          </w:p>
        </w:tc>
        <w:tc>
          <w:tcPr>
            <w:tcW w:w="2876" w:type="dxa"/>
          </w:tcPr>
          <w:p w14:paraId="7BC76F3E" w14:textId="77777777" w:rsidR="00EA5815" w:rsidRPr="00BF0EEF" w:rsidRDefault="00EA5815" w:rsidP="001016AD">
            <w:r w:rsidRPr="00BF0EEF">
              <w:t>17 December 2019</w:t>
            </w:r>
          </w:p>
        </w:tc>
        <w:tc>
          <w:tcPr>
            <w:tcW w:w="3116" w:type="dxa"/>
            <w:vAlign w:val="bottom"/>
          </w:tcPr>
          <w:p w14:paraId="2D03AA04" w14:textId="77777777" w:rsidR="00EA5815" w:rsidRPr="00BF0EEF" w:rsidRDefault="00EA5815" w:rsidP="001016AD">
            <w:r w:rsidRPr="00BF0EEF">
              <w:t xml:space="preserve">Based on moderate-certainty evidence, somatostatin analogues alone had higher mortality than sclerotherapy (OR 1.57, 95% CrI 1.04 to 2.41; network estimate; direct comparison: 4 trials; 353 </w:t>
            </w:r>
            <w:r w:rsidRPr="00BF0EEF">
              <w:lastRenderedPageBreak/>
              <w:t xml:space="preserve">participants) and vasopressin analogues alone had higher mortality than sclerotherapy (OR 1.70, 95% CrI 1.13 to 2.62; network estimate; direct comparison: 2 trials; 438 participants). None of the trials reported health-related quality of life. Based on low-certainty evidence, a higher proportion of people receiving balloon tamponade plus sclerotherapy had more serious adverse events than those receiving only sclerotherapy (OR 4.23, 95% CrI 1.22 to 17.80; direct estimate; 1 </w:t>
            </w:r>
            <w:r w:rsidRPr="00BF0EEF">
              <w:lastRenderedPageBreak/>
              <w:t xml:space="preserve">RCT; 60 participants). Based on moderate-certainty evidence, people receiving vasopressin analogues alone and those receiving variceal band ligation had fewer adverse events than those receiving only sclerotherapy (rate ratio 0.59, 95% CrI 0.35 to 0.96; network estimate; direct comparison: 1 RCT; 219 participants; and rate ratio 0.40, 95% CrI 0.21 to 0.74; network estimate; direct comparison: 1 RCT; 77 participants; respectively). Based on low-certainty </w:t>
            </w:r>
            <w:r w:rsidRPr="00BF0EEF">
              <w:lastRenderedPageBreak/>
              <w:t>evidence, the proportion of people who developed symptomatic rebleed was smaller in people who received sclerotherapy plus somatostatin analogues than those receiving only sclerotherapy (OR 0.21, 95% CrI 0.03 to 0.94; direct estimate; 1 RCT; 105 participants)</w:t>
            </w:r>
          </w:p>
        </w:tc>
      </w:tr>
      <w:tr w:rsidR="00EA5815" w:rsidRPr="00BF0EEF" w14:paraId="34BD34EB" w14:textId="77777777" w:rsidTr="001016AD">
        <w:trPr>
          <w:trHeight w:val="903"/>
        </w:trPr>
        <w:tc>
          <w:tcPr>
            <w:tcW w:w="6253" w:type="dxa"/>
          </w:tcPr>
          <w:p w14:paraId="4E026BDA" w14:textId="1B47A1C2" w:rsidR="00EA5815" w:rsidRPr="00BF0EEF" w:rsidRDefault="00EA5815" w:rsidP="001016AD">
            <w:r w:rsidRPr="00BF0EEF">
              <w:lastRenderedPageBreak/>
              <w:t xml:space="preserve">Secondary prevention of variceal bleeding in adults with previous oesophageal variceal bleeding due to decompensated liver cirrhosis: a network meta‐analysis </w:t>
            </w:r>
            <w:r w:rsidRPr="00BF0EEF">
              <w:fldChar w:fldCharType="begin">
                <w:fldData xml:space="preserve">PEVuZE5vdGU+PENpdGU+PEF1dGhvcj5QbGF6IFRvcnJlczwvQXV0aG9yPjxZZWFyPjIwMjE8L1ll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</w:fldData>
              </w:fldChar>
            </w:r>
            <w:r w:rsidR="00383EB7">
              <w:instrText xml:space="preserve"> ADDIN EN.CITE </w:instrText>
            </w:r>
            <w:r w:rsidR="00383EB7">
              <w:fldChar w:fldCharType="begin">
                <w:fldData xml:space="preserve">PEVuZE5vdGU+PENpdGU+PEF1dGhvcj5QbGF6IFRvcnJlczwvQXV0aG9yPjxZZWFyPjIwMjE8L1ll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</w:fldData>
              </w:fldChar>
            </w:r>
            <w:r w:rsidR="00383EB7">
              <w:instrText xml:space="preserve"> ADDIN EN.CITE.DATA </w:instrText>
            </w:r>
            <w:r w:rsidR="00383EB7">
              <w:fldChar w:fldCharType="end"/>
            </w:r>
            <w:r w:rsidRPr="00BF0EEF">
              <w:fldChar w:fldCharType="separate"/>
            </w:r>
            <w:r w:rsidR="00383EB7" w:rsidRPr="00383EB7">
              <w:rPr>
                <w:noProof/>
                <w:vertAlign w:val="superscript"/>
              </w:rPr>
              <w:t>9</w:t>
            </w:r>
            <w:r w:rsidRPr="00BF0EEF">
              <w:fldChar w:fldCharType="end"/>
            </w:r>
          </w:p>
        </w:tc>
        <w:tc>
          <w:tcPr>
            <w:tcW w:w="2741" w:type="dxa"/>
          </w:tcPr>
          <w:p w14:paraId="4DF06B61" w14:textId="77777777" w:rsidR="00EA5815" w:rsidRPr="00BF0EEF" w:rsidRDefault="00EA5815" w:rsidP="001016AD">
            <w:r w:rsidRPr="00BF0EEF">
              <w:t>Cochrane:  secondary prevention variceal bleeding</w:t>
            </w:r>
          </w:p>
        </w:tc>
        <w:tc>
          <w:tcPr>
            <w:tcW w:w="2876" w:type="dxa"/>
          </w:tcPr>
          <w:p w14:paraId="1B543DBC" w14:textId="77777777" w:rsidR="00EA5815" w:rsidRPr="00BF0EEF" w:rsidRDefault="00EA5815" w:rsidP="001016AD">
            <w:r w:rsidRPr="00BF0EEF">
              <w:t>17 December 2019</w:t>
            </w:r>
          </w:p>
        </w:tc>
        <w:tc>
          <w:tcPr>
            <w:tcW w:w="3116" w:type="dxa"/>
            <w:vAlign w:val="bottom"/>
          </w:tcPr>
          <w:p w14:paraId="09D11271" w14:textId="77777777" w:rsidR="00EA5815" w:rsidRPr="00BF0EEF" w:rsidRDefault="00EA5815" w:rsidP="001016AD">
            <w:r w:rsidRPr="00BF0EEF">
              <w:t xml:space="preserve">There was considerable uncertainty in the effects of interventions on mortality. Accordingly, none of the interventions showed superiority over another. None </w:t>
            </w:r>
            <w:r w:rsidRPr="00BF0EEF">
              <w:lastRenderedPageBreak/>
              <w:t xml:space="preserve">of the trials reported health-related quality of life. Based on low-certainty evidence, variceal band ligation may result in fewer serious adverse events (number of people) than sclerotherapy (OR 0.19; 95% CrI 0.06 to 0.54; 1 trial; 100 participants). Based on low or very low-certainty evidence, the adverse events (number of participants) and adverse events (number of events) may be different across many comparisons; however, these differences are due to very </w:t>
            </w:r>
            <w:r w:rsidRPr="00BF0EEF">
              <w:lastRenderedPageBreak/>
              <w:t xml:space="preserve">small trials at high risk of bias showing large differences in some comparisons leading to many differences despite absence of direct evidence. Based on low-certainty evidence, TIPS may result in large decrease in symptomatic rebleed than variceal band ligation (HR 0.12; 95% CrI 0.03 to 0.41; 1 trial; 58 participants). Based on moderate-certainty evidence, any variceal rebleed was probably lower in sclerotherapy than in no active intervention (HR 0.62; 95% CrI </w:t>
            </w:r>
            <w:r w:rsidRPr="00BF0EEF">
              <w:lastRenderedPageBreak/>
              <w:t xml:space="preserve">0.35 to 0.99, direct comparison HR 0.66; 95% CrI 0.11 to 3.13; 3 trials; 296 participants), beta-blockers plus sclerotherapy than sclerotherapy alone (HR 0.60; 95% CrI 0.37 to 0.95; direct comparison HR 0.50; 95% CrI 0.07 to 2.96; 4 trials; 231 participants); TIPS than sclerotherapy (HR 0.18; 95% CrI 0.08 to 0.38; direct comparison HR 0.22; 95% CrI 0.01 to 7.51; 2 trials; 109 participants), and in portocaval shunt than sclerotherapy (HR 0.21; 95% CrI 0.05 to 0.77; no direct </w:t>
            </w:r>
            <w:r w:rsidRPr="00BF0EEF">
              <w:lastRenderedPageBreak/>
              <w:t xml:space="preserve">comparison) groups. Based on low-certainty evidence, beta-blockers alone and TIPS might result in more, other compensation, events than sclerotherapy (rate ratio 2.37; 95% CrI 1.35 to 4.67; 1 trial; 65 participants and rate ratio 2.30; 95% CrI 1.20 to 4.65; 2 trials; 109 participants; low-certainty evidence). The evidence indicates considerable uncertainty about the effect of the interventions including those related to beta-blockers </w:t>
            </w:r>
            <w:r w:rsidRPr="00BF0EEF">
              <w:lastRenderedPageBreak/>
              <w:t>plus variceal band ligation in the remaining comparisons.</w:t>
            </w:r>
          </w:p>
        </w:tc>
      </w:tr>
    </w:tbl>
    <w:p w14:paraId="59A3FA3B" w14:textId="77777777" w:rsidR="00EA5815" w:rsidRPr="00BF0EEF" w:rsidRDefault="00EA5815" w:rsidP="00EA5815">
      <w:pPr>
        <w:spacing w:before="120"/>
      </w:pPr>
      <w:r w:rsidRPr="00BF0EEF">
        <w:lastRenderedPageBreak/>
        <w:t xml:space="preserve">Abbreviations: </w:t>
      </w:r>
    </w:p>
    <w:p w14:paraId="02C381A1" w14:textId="77777777" w:rsidR="00EA5815" w:rsidRPr="00BF0EEF" w:rsidRDefault="00EA5815" w:rsidP="00EA5815">
      <w:r w:rsidRPr="00BF0EEF">
        <w:t>RCT = randomised c</w:t>
      </w:r>
      <w:r>
        <w:t>linical</w:t>
      </w:r>
      <w:r w:rsidRPr="00BF0EEF">
        <w:t xml:space="preserve"> trial</w:t>
      </w:r>
    </w:p>
    <w:p w14:paraId="2150A8F3" w14:textId="77777777" w:rsidR="00EA5815" w:rsidRPr="00BF0EEF" w:rsidRDefault="00EA5815" w:rsidP="00EA5815">
      <w:r w:rsidRPr="00BF0EEF">
        <w:t>CrI = credible intervals</w:t>
      </w:r>
    </w:p>
    <w:p w14:paraId="2E6E333E" w14:textId="77777777" w:rsidR="00EA5815" w:rsidRPr="00BF0EEF" w:rsidRDefault="00EA5815" w:rsidP="00EA5815">
      <w:r w:rsidRPr="00BF0EEF">
        <w:t>HR = hazard ratio</w:t>
      </w:r>
    </w:p>
    <w:p w14:paraId="54B0AE82" w14:textId="77777777" w:rsidR="00EA5815" w:rsidRDefault="00EA5815" w:rsidP="00EA5815">
      <w:r w:rsidRPr="00BF0EEF">
        <w:t>OR = odds ratio</w:t>
      </w:r>
    </w:p>
    <w:p w14:paraId="19239B07" w14:textId="77777777" w:rsidR="00EA5815" w:rsidRPr="00BF0EEF" w:rsidRDefault="00EA5815" w:rsidP="00EA5815">
      <w:r>
        <w:t>SBP = spontaneous bacterial peritonitis</w:t>
      </w:r>
    </w:p>
    <w:p w14:paraId="05FF214E" w14:textId="77777777" w:rsidR="00EA5815" w:rsidRDefault="00EA5815" w:rsidP="00EA5815">
      <w:pPr>
        <w:pStyle w:val="Heading2"/>
      </w:pPr>
      <w:r>
        <w:br w:type="page"/>
      </w:r>
    </w:p>
    <w:p w14:paraId="150164F5" w14:textId="41F6A7F9" w:rsidR="00EA5815" w:rsidRPr="00BF0EEF" w:rsidRDefault="00EA5815" w:rsidP="00EA5815">
      <w:pPr>
        <w:pStyle w:val="Heading2"/>
      </w:pPr>
      <w:bookmarkStart w:id="0" w:name="_Hlk117008953"/>
      <w:r>
        <w:lastRenderedPageBreak/>
        <w:t xml:space="preserve">Extended Data </w:t>
      </w:r>
      <w:r w:rsidRPr="00BF0EEF">
        <w:t xml:space="preserve">Table </w:t>
      </w:r>
      <w:r>
        <w:t>2</w:t>
      </w:r>
      <w:r w:rsidRPr="00BF0EEF">
        <w:t>: Recommendation systems used</w:t>
      </w:r>
    </w:p>
    <w:tbl>
      <w:tblPr>
        <w:tblStyle w:val="TableGrid1"/>
        <w:tblW w:w="14677" w:type="dxa"/>
        <w:tblLook w:val="04A0" w:firstRow="1" w:lastRow="0" w:firstColumn="1" w:lastColumn="0" w:noHBand="0" w:noVBand="1"/>
      </w:tblPr>
      <w:tblGrid>
        <w:gridCol w:w="2092"/>
        <w:gridCol w:w="6143"/>
        <w:gridCol w:w="6442"/>
      </w:tblGrid>
      <w:tr w:rsidR="00EA5815" w:rsidRPr="003E78C7" w14:paraId="5437DD25" w14:textId="77777777" w:rsidTr="001016AD">
        <w:trPr>
          <w:trHeight w:val="242"/>
        </w:trPr>
        <w:tc>
          <w:tcPr>
            <w:tcW w:w="2092" w:type="dxa"/>
          </w:tcPr>
          <w:p w14:paraId="718AD09C" w14:textId="77777777" w:rsidR="00EA5815" w:rsidRPr="003E78C7" w:rsidRDefault="00EA5815" w:rsidP="001016AD">
            <w:pPr>
              <w:rPr>
                <w:b/>
                <w:bCs/>
              </w:rPr>
            </w:pPr>
            <w:r w:rsidRPr="003E78C7">
              <w:rPr>
                <w:b/>
                <w:bCs/>
              </w:rPr>
              <w:t>Guideline</w:t>
            </w:r>
          </w:p>
        </w:tc>
        <w:tc>
          <w:tcPr>
            <w:tcW w:w="6143" w:type="dxa"/>
          </w:tcPr>
          <w:p w14:paraId="7571E70E" w14:textId="77777777" w:rsidR="00EA5815" w:rsidRPr="003E78C7" w:rsidRDefault="00EA5815" w:rsidP="001016AD">
            <w:pPr>
              <w:rPr>
                <w:b/>
                <w:bCs/>
              </w:rPr>
            </w:pPr>
            <w:r w:rsidRPr="003E78C7">
              <w:rPr>
                <w:b/>
                <w:bCs/>
              </w:rPr>
              <w:t>Recommendation system used</w:t>
            </w:r>
          </w:p>
        </w:tc>
        <w:tc>
          <w:tcPr>
            <w:tcW w:w="6442" w:type="dxa"/>
          </w:tcPr>
          <w:p w14:paraId="2DBA03FD" w14:textId="77777777" w:rsidR="00EA5815" w:rsidRPr="003E78C7" w:rsidRDefault="00EA5815" w:rsidP="001016AD">
            <w:pPr>
              <w:rPr>
                <w:b/>
                <w:bCs/>
              </w:rPr>
            </w:pPr>
            <w:r w:rsidRPr="003E78C7">
              <w:rPr>
                <w:b/>
                <w:bCs/>
              </w:rPr>
              <w:t>Determining strong vs weak recommendation</w:t>
            </w:r>
          </w:p>
        </w:tc>
      </w:tr>
      <w:tr w:rsidR="00EA5815" w:rsidRPr="00BF0EEF" w14:paraId="670EF133" w14:textId="77777777" w:rsidTr="001016AD">
        <w:trPr>
          <w:trHeight w:val="242"/>
        </w:trPr>
        <w:tc>
          <w:tcPr>
            <w:tcW w:w="2092" w:type="dxa"/>
          </w:tcPr>
          <w:p w14:paraId="7E2BC548" w14:textId="77777777" w:rsidR="00EA5815" w:rsidRPr="00BF0EEF" w:rsidRDefault="00EA5815" w:rsidP="001016AD">
            <w:r w:rsidRPr="00BF0EEF">
              <w:t>Cochrane reviews</w:t>
            </w:r>
          </w:p>
        </w:tc>
        <w:tc>
          <w:tcPr>
            <w:tcW w:w="6143" w:type="dxa"/>
          </w:tcPr>
          <w:p w14:paraId="703C4A1F" w14:textId="2B9643E8" w:rsidR="00EA5815" w:rsidRPr="00BF0EEF" w:rsidRDefault="00EA5815" w:rsidP="001016AD">
            <w:r w:rsidRPr="00BF0EEF">
              <w:t xml:space="preserve">GRADE system </w:t>
            </w:r>
            <w:r w:rsidRPr="00BF0EEF">
              <w:fldChar w:fldCharType="begin"/>
            </w:r>
            <w:r w:rsidR="00C87030">
              <w:instrText xml:space="preserve"> ADDIN EN.CITE &lt;EndNote&gt;&lt;Cite&gt;&lt;Author&gt;The GRADE Working Group&lt;/Author&gt;&lt;Year&gt;2013&lt;/Year&gt;&lt;RecNum&gt;14&lt;/RecNum&gt;&lt;IDText&gt;GRADE handbook for grading quality of evidence and strength of recommendations&lt;/IDText&gt;&lt;DisplayText&gt;&lt;style face="superscript"&gt;17&lt;/style&gt;&lt;/DisplayText&gt;&lt;record&gt;&lt;rec-number&gt;14&lt;/rec-number&gt;&lt;foreign-keys&gt;&lt;key app="EN" db-id="wazs0twzmprs2bex5davz2ryz0av0zd9tefd" timestamp="1661325771"&gt;14&lt;/key&gt;&lt;/foreign-keys&gt;&lt;ref-type name="Book"&gt;6&lt;/ref-type&gt;&lt;contributors&gt;&lt;authors&gt;&lt;author&gt;The GRADE Working Group,&lt;/author&gt;&lt;/authors&gt;&lt;secondary-authors&gt;&lt;author&gt;Brożek, Jan&lt;/author&gt;&lt;author&gt;Guyatt, Gordon&lt;/author&gt;&lt;author&gt;Oxman, Andrew&lt;/author&gt;&lt;/secondary-authors&gt;&lt;tertiary-authors&gt;&lt;author&gt;Schünemann, Holger&lt;/author&gt;&lt;/tertiary-authors&gt;&lt;/contributors&gt;&lt;titles&gt;&lt;title&gt;GRADE handbook for grading quality of evidence and strength of recommendations&lt;/title&gt;&lt;short-title&gt;GRADE handbook&lt;/short-title&gt;&lt;/titles&gt;&lt;dates&gt;&lt;year&gt;2013&lt;/year&gt;&lt;pub-dates&gt;&lt;date&gt;October 2013&lt;/date&gt;&lt;/pub-dates&gt;&lt;/dates&gt;&lt;urls&gt;&lt;related-urls&gt;&lt;url&gt;https://gdt.gradepro.org/app/handbook/handbook.html&lt;/url&gt;&lt;/related-urls&gt;&lt;/urls&gt;&lt;electronic-resource-num&gt;guidelinedevelopment.org/handbook&lt;/electronic-resource-num&gt;&lt;/record&gt;&lt;/Cite&gt;&lt;/EndNote&gt;</w:instrText>
            </w:r>
            <w:r w:rsidRPr="00BF0EEF">
              <w:fldChar w:fldCharType="separate"/>
            </w:r>
            <w:r w:rsidR="00C87030" w:rsidRPr="00C87030">
              <w:rPr>
                <w:noProof/>
                <w:vertAlign w:val="superscript"/>
              </w:rPr>
              <w:t>17</w:t>
            </w:r>
            <w:r w:rsidRPr="00BF0EEF">
              <w:fldChar w:fldCharType="end"/>
            </w:r>
          </w:p>
        </w:tc>
        <w:tc>
          <w:tcPr>
            <w:tcW w:w="6442" w:type="dxa"/>
          </w:tcPr>
          <w:p w14:paraId="53F487EA" w14:textId="1A3D602E" w:rsidR="00EA5815" w:rsidRPr="00BF0EEF" w:rsidRDefault="00EA5815" w:rsidP="001016AD">
            <w:r w:rsidRPr="00BF0EEF">
              <w:t xml:space="preserve">DR and KG converted GRADE to strength of recommendation </w:t>
            </w:r>
            <w:r w:rsidRPr="00BF0EEF">
              <w:fldChar w:fldCharType="begin"/>
            </w:r>
            <w:r w:rsidR="00C87030">
              <w:instrText xml:space="preserve"> ADDIN EN.CITE &lt;EndNote&gt;&lt;Cite&gt;&lt;Author&gt;Guyatt&lt;/Author&gt;&lt;Year&gt;2008&lt;/Year&gt;&lt;RecNum&gt;15&lt;/RecNum&gt;&lt;IDText&gt;Going from evidence to recommendations&lt;/IDText&gt;&lt;DisplayText&gt;&lt;style face="superscript"&gt;18&lt;/style&gt;&lt;/DisplayText&gt;&lt;record&gt;&lt;rec-number&gt;15&lt;/rec-number&gt;&lt;foreign-keys&gt;&lt;key app="EN" db-id="wazs0twzmprs2bex5davz2ryz0av0zd9tefd" timestamp="1661325771"&gt;15&lt;/key&gt;&lt;/foreign-keys&gt;&lt;ref-type name="Journal Article"&gt;17&lt;/ref-type&gt;&lt;contributors&gt;&lt;authors&gt;&lt;author&gt;Guyatt, G. H.&lt;/author&gt;&lt;author&gt;Oxman, A. D.&lt;/author&gt;&lt;author&gt;Kunz, R.&lt;/author&gt;&lt;author&gt;Falck-Ytter, Y.&lt;/author&gt;&lt;author&gt;Vist, G. E.&lt;/author&gt;&lt;author&gt;Liberati, A.&lt;/author&gt;&lt;author&gt;Schünemann, H. J.&lt;/author&gt;&lt;author&gt;GRADE Working Group&lt;/author&gt;&lt;/authors&gt;&lt;/contributors&gt;&lt;titles&gt;&lt;title&gt;Going from evidence to recommendations&lt;/title&gt;&lt;secondary-title&gt;BMJ (Clinical research ed.)&lt;/secondary-title&gt;&lt;short-title&gt;Going from evidence to recommendations&lt;/short-title&gt;&lt;/titles&gt;&lt;periodical&gt;&lt;full-title&gt;BMJ (Clinical research ed.)&lt;/full-title&gt;&lt;/periodical&gt;&lt;pages&gt;1049-51&lt;/pages&gt;&lt;volume&gt;336&lt;/volume&gt;&lt;number&gt;7652&lt;/number&gt;&lt;keywords&gt;&lt;keyword&gt;pmid:18467413, PMC2376019, doi:10.1136/bmj.39493.646875.AE, Gordon H Guyatt, Andrew D Oxman, CollabAuthor(name=&amp;apos;GRADE Working Group&amp;apos;, investigators=[Author(firstnames=&amp;apos;Phil&amp;apos;, lastname=&amp;apos;Alderson&amp;apos;, initials=&amp;apos;P&amp;apos;, affs=[], is_editor=False, suffix=None, equa&lt;/keyword&gt;&lt;keyword&gt;irstnames=&amp;apos;Jane&amp;apos;, lastname=&amp;apos;Thomas&amp;apos;, initials=&amp;apos;J&amp;apos;, affs=[], is_editor=False, suffix=None, equal_contrib=False), Author(firstnames=&amp;apos;Tessa&amp;apos;, lastname=&amp;apos;Tan Torres&amp;apos;, initials=&amp;apos;T&amp;apos;, affs=[], is_editor=False, suffix=None, equal_contrib=False), Author(firstname&lt;/keyword&gt;&lt;/keywords&gt;&lt;dates&gt;&lt;year&gt;2008&lt;/year&gt;&lt;pub-dates&gt;&lt;date&gt;05/10/2008&lt;/date&gt;&lt;/pub-dates&gt;&lt;/dates&gt;&lt;isbn&gt;1756-1833&lt;/isbn&gt;&lt;accession-num&gt;18467413&lt;/accession-num&gt;&lt;urls&gt;&lt;related-urls&gt;&lt;url&gt;https://www.ncbi.nlm.nih.gov/pubmed/18467413&lt;/url&gt;&lt;/related-urls&gt;&lt;/urls&gt;&lt;electronic-resource-num&gt;10.1136/bmj.39493.646875.AE&lt;/electronic-resource-num&gt;&lt;/record&gt;&lt;/Cite&gt;&lt;/EndNote&gt;</w:instrText>
            </w:r>
            <w:r w:rsidRPr="00BF0EEF">
              <w:fldChar w:fldCharType="separate"/>
            </w:r>
            <w:r w:rsidR="00C87030" w:rsidRPr="00C87030">
              <w:rPr>
                <w:noProof/>
                <w:vertAlign w:val="superscript"/>
              </w:rPr>
              <w:t>18</w:t>
            </w:r>
            <w:r w:rsidRPr="00BF0EEF">
              <w:fldChar w:fldCharType="end"/>
            </w:r>
          </w:p>
        </w:tc>
      </w:tr>
      <w:tr w:rsidR="00EA5815" w:rsidRPr="00BF0EEF" w14:paraId="6C7AB6B3" w14:textId="77777777" w:rsidTr="001016AD">
        <w:trPr>
          <w:trHeight w:val="495"/>
        </w:trPr>
        <w:tc>
          <w:tcPr>
            <w:tcW w:w="2092" w:type="dxa"/>
          </w:tcPr>
          <w:p w14:paraId="43481F86" w14:textId="1B91B833" w:rsidR="00EA5815" w:rsidRPr="00BF0EEF" w:rsidRDefault="00EA5815" w:rsidP="001016AD">
            <w:r w:rsidRPr="00BF0EEF">
              <w:t xml:space="preserve">AASLD 2017 </w:t>
            </w:r>
            <w:r w:rsidRPr="00BF0EEF">
              <w:fldChar w:fldCharType="begin"/>
            </w:r>
            <w:r w:rsidR="00C87030">
              <w:instrText xml:space="preserve"> ADDIN EN.CITE &lt;EndNote&gt;&lt;Cite&gt;&lt;Author&gt;Garcia-Tsao&lt;/Author&gt;&lt;Year&gt;2017&lt;/Year&gt;&lt;RecNum&gt;17&lt;/RecNum&gt;&lt;IDText&gt;Portal hypertensive bleeding in cirrhosis: Risk stratification, diagnosis, and management: 2016 practice guidance by the American Association for the study of liver diseases&lt;/IDText&gt;&lt;DisplayText&gt;&lt;style face="superscript"&gt;20&lt;/style&gt;&lt;/DisplayText&gt;&lt;record&gt;&lt;rec-number&gt;17&lt;/rec-number&gt;&lt;foreign-keys&gt;&lt;key app="EN" db-id="wazs0twzmprs2bex5davz2ryz0av0zd9tefd" timestamp="1661325771"&gt;17&lt;/key&gt;&lt;/foreign-keys&gt;&lt;ref-type name="Journal Article"&gt;17&lt;/ref-type&gt;&lt;contributors&gt;&lt;authors&gt;&lt;author&gt;Garcia-Tsao, G.&lt;/author&gt;&lt;author&gt;Abraldes, J. G.&lt;/author&gt;&lt;author&gt;Berzigotti, A.&lt;/author&gt;&lt;author&gt;Bosch, J.&lt;/author&gt;&lt;/authors&gt;&lt;/contributors&gt;&lt;titles&gt;&lt;title&gt;Portal hypertensive bleeding in cirrhosis: Risk stratification, diagnosis, and management: 2016 practice guidance by the American Association for the study of liver diseases&lt;/title&gt;&lt;secondary-title&gt;Hepatology (Baltimore, Md.)&lt;/secondary-title&gt;&lt;short-title&gt;Portal hypertensive bleeding in cirrhosis: Risk stratification, diagnosis, and management: 2016 practice guidance by the American Association for the study of liver diseases&lt;/short-title&gt;&lt;/titles&gt;&lt;periodical&gt;&lt;full-title&gt;Hepatology (Baltimore, Md.)&lt;/full-title&gt;&lt;/periodical&gt;&lt;pages&gt;310-335&lt;/pages&gt;&lt;volume&gt;65&lt;/volume&gt;&lt;number&gt;1&lt;/number&gt;&lt;keywords&gt;&lt;keyword&gt;pmid:27786365, doi:10.1002/hep.28906, Practice Guideline, Research Support, Non-U.S. Gov&amp;apos;t, Guadalupe Garcia-Tsao, Juan G Abraldes, Jaime Bosch, Esophageal and Gastric Varices / diagnosis*, Esophageal and Gastric Varices / therapy, Humans, Hypertension&lt;/keyword&gt;&lt;/keywords&gt;&lt;dates&gt;&lt;year&gt;2017&lt;/year&gt;&lt;pub-dates&gt;&lt;date&gt;2017 Jan&lt;/date&gt;&lt;/pub-dates&gt;&lt;/dates&gt;&lt;isbn&gt;1527-3350&lt;/isbn&gt;&lt;accession-num&gt;27786365&lt;/accession-num&gt;&lt;urls&gt;&lt;related-urls&gt;&lt;url&gt;https://www.ncbi.nlm.nih.gov/pubmed/27786365&lt;/url&gt;&lt;/related-urls&gt;&lt;/urls&gt;&lt;electronic-resource-num&gt;10.1002/hep.28906&lt;/electronic-resource-num&gt;&lt;/record&gt;&lt;/Cite&gt;&lt;/EndNote&gt;</w:instrText>
            </w:r>
            <w:r w:rsidRPr="00BF0EEF">
              <w:fldChar w:fldCharType="separate"/>
            </w:r>
            <w:r w:rsidR="00C87030" w:rsidRPr="00C87030">
              <w:rPr>
                <w:noProof/>
                <w:vertAlign w:val="superscript"/>
              </w:rPr>
              <w:t>20</w:t>
            </w:r>
            <w:r w:rsidRPr="00BF0EEF">
              <w:fldChar w:fldCharType="end"/>
            </w:r>
          </w:p>
        </w:tc>
        <w:tc>
          <w:tcPr>
            <w:tcW w:w="6143" w:type="dxa"/>
          </w:tcPr>
          <w:p w14:paraId="40EE2408" w14:textId="77777777" w:rsidR="00EA5815" w:rsidRPr="00BF0EEF" w:rsidRDefault="00EA5815" w:rsidP="001016AD">
            <w:r w:rsidRPr="00BF0EEF">
              <w:t>No system indicated</w:t>
            </w:r>
            <w:r w:rsidRPr="005872FF">
              <w:rPr>
                <w:vertAlign w:val="superscript"/>
              </w:rPr>
              <w:t>a</w:t>
            </w:r>
          </w:p>
          <w:p w14:paraId="0AE92445" w14:textId="77777777" w:rsidR="00EA5815" w:rsidRPr="00BF0EEF" w:rsidRDefault="00EA5815" w:rsidP="001016AD"/>
        </w:tc>
        <w:tc>
          <w:tcPr>
            <w:tcW w:w="6442" w:type="dxa"/>
          </w:tcPr>
          <w:p w14:paraId="2D212AFB" w14:textId="309C2995" w:rsidR="00EA5815" w:rsidRPr="00BF0EEF" w:rsidRDefault="00EA5815" w:rsidP="001016AD">
            <w:r w:rsidRPr="00BF0EEF">
              <w:t xml:space="preserve">DR and KG assigned a strength of recommendation based on the strength of wording used in the guidance statements </w:t>
            </w:r>
            <w:r w:rsidRPr="00BF0EEF">
              <w:fldChar w:fldCharType="begin"/>
            </w:r>
            <w:r w:rsidR="00C87030">
              <w:instrText xml:space="preserve"> ADDIN EN.CITE &lt;EndNote&gt;&lt;Cite&gt;&lt;Author&gt;The GRADE Working Group&lt;/Author&gt;&lt;Year&gt;2013&lt;/Year&gt;&lt;RecNum&gt;14&lt;/RecNum&gt;&lt;IDText&gt;GRADE handbook for grading quality of evidence and strength of recommendations&lt;/IDText&gt;&lt;DisplayText&gt;&lt;style face="superscript"&gt;17&lt;/style&gt;&lt;/DisplayText&gt;&lt;record&gt;&lt;rec-number&gt;14&lt;/rec-number&gt;&lt;foreign-keys&gt;&lt;key app="EN" db-id="wazs0twzmprs2bex5davz2ryz0av0zd9tefd" timestamp="1661325771"&gt;14&lt;/key&gt;&lt;/foreign-keys&gt;&lt;ref-type name="Book"&gt;6&lt;/ref-type&gt;&lt;contributors&gt;&lt;authors&gt;&lt;author&gt;The GRADE Working Group,&lt;/author&gt;&lt;/authors&gt;&lt;secondary-authors&gt;&lt;author&gt;Brożek, Jan&lt;/author&gt;&lt;author&gt;Guyatt, Gordon&lt;/author&gt;&lt;author&gt;Oxman, Andrew&lt;/author&gt;&lt;/secondary-authors&gt;&lt;tertiary-authors&gt;&lt;author&gt;Schünemann, Holger&lt;/author&gt;&lt;/tertiary-authors&gt;&lt;/contributors&gt;&lt;titles&gt;&lt;title&gt;GRADE handbook for grading quality of evidence and strength of recommendations&lt;/title&gt;&lt;short-title&gt;GRADE handbook&lt;/short-title&gt;&lt;/titles&gt;&lt;dates&gt;&lt;year&gt;2013&lt;/year&gt;&lt;pub-dates&gt;&lt;date&gt;October 2013&lt;/date&gt;&lt;/pub-dates&gt;&lt;/dates&gt;&lt;urls&gt;&lt;related-urls&gt;&lt;url&gt;https://gdt.gradepro.org/app/handbook/handbook.html&lt;/url&gt;&lt;/related-urls&gt;&lt;/urls&gt;&lt;electronic-resource-num&gt;guidelinedevelopment.org/handbook&lt;/electronic-resource-num&gt;&lt;/record&gt;&lt;/Cite&gt;&lt;/EndNote&gt;</w:instrText>
            </w:r>
            <w:r w:rsidRPr="00BF0EEF">
              <w:fldChar w:fldCharType="separate"/>
            </w:r>
            <w:r w:rsidR="00C87030" w:rsidRPr="00C87030">
              <w:rPr>
                <w:noProof/>
                <w:vertAlign w:val="superscript"/>
              </w:rPr>
              <w:t>17</w:t>
            </w:r>
            <w:r w:rsidRPr="00BF0EEF">
              <w:fldChar w:fldCharType="end"/>
            </w:r>
          </w:p>
        </w:tc>
      </w:tr>
      <w:tr w:rsidR="00EA5815" w:rsidRPr="00BF0EEF" w14:paraId="65831C32" w14:textId="77777777" w:rsidTr="001016AD">
        <w:trPr>
          <w:trHeight w:val="495"/>
        </w:trPr>
        <w:tc>
          <w:tcPr>
            <w:tcW w:w="2092" w:type="dxa"/>
          </w:tcPr>
          <w:p w14:paraId="3ABFD0DC" w14:textId="43CE2A62" w:rsidR="00EA5815" w:rsidRPr="00BF0EEF" w:rsidRDefault="00EA5815" w:rsidP="001016AD">
            <w:r w:rsidRPr="00BF0EEF">
              <w:t xml:space="preserve">AASLD 2021 </w:t>
            </w:r>
            <w:r w:rsidRPr="00BF0EEF">
              <w:fldChar w:fldCharType="begin">
                <w:fldData xml:space="preserve">PEVuZE5vdGU+PENpdGU+PEF1dGhvcj5CaWdnaW5zPC9BdXRob3I+PFllYXI+MjAyMTwvWWVhcj48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</w:fldData>
              </w:fldChar>
            </w:r>
            <w:r w:rsidR="00C87030">
              <w:instrText xml:space="preserve"> ADDIN EN.CITE </w:instrText>
            </w:r>
            <w:r w:rsidR="00C87030">
              <w:fldChar w:fldCharType="begin">
                <w:fldData xml:space="preserve">PEVuZE5vdGU+PENpdGU+PEF1dGhvcj5CaWdnaW5zPC9BdXRob3I+PFllYXI+MjAyMTwvWWVhcj48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</w:fldData>
              </w:fldChar>
            </w:r>
            <w:r w:rsidR="00C87030">
              <w:instrText xml:space="preserve"> ADDIN EN.CITE.DATA </w:instrText>
            </w:r>
            <w:r w:rsidR="00C87030">
              <w:fldChar w:fldCharType="end"/>
            </w:r>
            <w:r w:rsidRPr="00BF0EEF">
              <w:fldChar w:fldCharType="separate"/>
            </w:r>
            <w:r w:rsidR="00C87030" w:rsidRPr="00C87030">
              <w:rPr>
                <w:noProof/>
                <w:vertAlign w:val="superscript"/>
              </w:rPr>
              <w:t>21</w:t>
            </w:r>
            <w:r w:rsidRPr="00BF0EEF">
              <w:fldChar w:fldCharType="end"/>
            </w:r>
          </w:p>
        </w:tc>
        <w:tc>
          <w:tcPr>
            <w:tcW w:w="6143" w:type="dxa"/>
          </w:tcPr>
          <w:p w14:paraId="6BBC6E0C" w14:textId="77777777" w:rsidR="00EA5815" w:rsidRPr="00BF0EEF" w:rsidRDefault="00EA5815" w:rsidP="001016AD">
            <w:r w:rsidRPr="00BF0EEF">
              <w:t>No system indicated</w:t>
            </w:r>
            <w:r w:rsidRPr="005872FF">
              <w:rPr>
                <w:vertAlign w:val="superscript"/>
              </w:rPr>
              <w:t>b</w:t>
            </w:r>
          </w:p>
        </w:tc>
        <w:tc>
          <w:tcPr>
            <w:tcW w:w="6442" w:type="dxa"/>
          </w:tcPr>
          <w:p w14:paraId="36D6B24E" w14:textId="40343E84" w:rsidR="00EA5815" w:rsidRPr="00BF0EEF" w:rsidRDefault="00EA5815" w:rsidP="001016AD">
            <w:r w:rsidRPr="00BF0EEF">
              <w:t xml:space="preserve">DR and KG assigned a strength of recommendation based on the strength of wording used in the guidance statements </w:t>
            </w:r>
            <w:r w:rsidRPr="00BF0EEF">
              <w:fldChar w:fldCharType="begin"/>
            </w:r>
            <w:r w:rsidR="00C87030">
              <w:instrText xml:space="preserve"> ADDIN EN.CITE &lt;EndNote&gt;&lt;Cite&gt;&lt;Author&gt;The GRADE Working Group&lt;/Author&gt;&lt;Year&gt;2013&lt;/Year&gt;&lt;RecNum&gt;14&lt;/RecNum&gt;&lt;IDText&gt;GRADE handbook for grading quality of evidence and strength of recommendations&lt;/IDText&gt;&lt;DisplayText&gt;&lt;style face="superscript"&gt;17&lt;/style&gt;&lt;/DisplayText&gt;&lt;record&gt;&lt;rec-number&gt;14&lt;/rec-number&gt;&lt;foreign-keys&gt;&lt;key app="EN" db-id="wazs0twzmprs2bex5davz2ryz0av0zd9tefd" timestamp="1661325771"&gt;14&lt;/key&gt;&lt;/foreign-keys&gt;&lt;ref-type name="Book"&gt;6&lt;/ref-type&gt;&lt;contributors&gt;&lt;authors&gt;&lt;author&gt;The GRADE Working Group,&lt;/author&gt;&lt;/authors&gt;&lt;secondary-authors&gt;&lt;author&gt;Brożek, Jan&lt;/author&gt;&lt;author&gt;Guyatt, Gordon&lt;/author&gt;&lt;author&gt;Oxman, Andrew&lt;/author&gt;&lt;/secondary-authors&gt;&lt;tertiary-authors&gt;&lt;author&gt;Schünemann, Holger&lt;/author&gt;&lt;/tertiary-authors&gt;&lt;/contributors&gt;&lt;titles&gt;&lt;title&gt;GRADE handbook for grading quality of evidence and strength of recommendations&lt;/title&gt;&lt;short-title&gt;GRADE handbook&lt;/short-title&gt;&lt;/titles&gt;&lt;dates&gt;&lt;year&gt;2013&lt;/year&gt;&lt;pub-dates&gt;&lt;date&gt;October 2013&lt;/date&gt;&lt;/pub-dates&gt;&lt;/dates&gt;&lt;urls&gt;&lt;related-urls&gt;&lt;url&gt;https://gdt.gradepro.org/app/handbook/handbook.html&lt;/url&gt;&lt;/related-urls&gt;&lt;/urls&gt;&lt;electronic-resource-num&gt;guidelinedevelopment.org/handbook&lt;/electronic-resource-num&gt;&lt;/record&gt;&lt;/Cite&gt;&lt;/EndNote&gt;</w:instrText>
            </w:r>
            <w:r w:rsidRPr="00BF0EEF">
              <w:fldChar w:fldCharType="separate"/>
            </w:r>
            <w:r w:rsidR="00C87030" w:rsidRPr="00C87030">
              <w:rPr>
                <w:noProof/>
                <w:vertAlign w:val="superscript"/>
              </w:rPr>
              <w:t>17</w:t>
            </w:r>
            <w:r w:rsidRPr="00BF0EEF">
              <w:fldChar w:fldCharType="end"/>
            </w:r>
          </w:p>
        </w:tc>
      </w:tr>
      <w:tr w:rsidR="00EA5815" w:rsidRPr="00BF0EEF" w14:paraId="5585AC3A" w14:textId="77777777" w:rsidTr="001016AD">
        <w:trPr>
          <w:trHeight w:val="495"/>
        </w:trPr>
        <w:tc>
          <w:tcPr>
            <w:tcW w:w="2092" w:type="dxa"/>
          </w:tcPr>
          <w:p w14:paraId="71DD9D67" w14:textId="2503B5A1" w:rsidR="00EA5815" w:rsidRPr="00BF0EEF" w:rsidRDefault="00EA5815" w:rsidP="001016AD">
            <w:r w:rsidRPr="00BF0EEF">
              <w:t xml:space="preserve">BSG 2015 </w:t>
            </w:r>
            <w:r w:rsidRPr="00BF0EEF">
              <w:fldChar w:fldCharType="begin"/>
            </w:r>
            <w:r w:rsidR="00C87030">
              <w:instrText xml:space="preserve"> ADDIN EN.CITE &lt;EndNote&gt;&lt;Cite&gt;&lt;Author&gt;Tripathi&lt;/Author&gt;&lt;Year&gt;2015&lt;/Year&gt;&lt;RecNum&gt;19&lt;/RecNum&gt;&lt;IDText&gt;U.K. guidelines on the management of variceal haemorrhage in cirrhotic patients&lt;/IDText&gt;&lt;DisplayText&gt;&lt;style face="superscript"&gt;22&lt;/style&gt;&lt;/DisplayText&gt;&lt;record&gt;&lt;rec-number&gt;19&lt;/rec-number&gt;&lt;foreign-keys&gt;&lt;key app="EN" db-id="wazs0twzmprs2bex5davz2ryz0av0zd9tefd" timestamp="1661325771"&gt;19&lt;/key&gt;&lt;/foreign-keys&gt;&lt;ref-type name="Journal Article"&gt;17&lt;/ref-type&gt;&lt;contributors&gt;&lt;authors&gt;&lt;author&gt;Tripathi, D.&lt;/author&gt;&lt;author&gt;Stanley, A. J.&lt;/author&gt;&lt;author&gt;Hayes, P. C.&lt;/author&gt;&lt;author&gt;Patch, D.&lt;/author&gt;&lt;author&gt;Millson, C.&lt;/author&gt;&lt;author&gt;Mehrzad, H.&lt;/author&gt;&lt;author&gt;Austin, A.&lt;/author&gt;&lt;author&gt;Ferguson, J. W.&lt;/author&gt;&lt;author&gt;Olliff, S. P.&lt;/author&gt;&lt;author&gt;Hudson, M.&lt;/author&gt;&lt;author&gt;Christie, J. M.&lt;/author&gt;&lt;author&gt;Clinical Services and Standards Committee of the British Society of Gastroenterology&lt;/author&gt;&lt;/authors&gt;&lt;/contributors&gt;&lt;titles&gt;&lt;title&gt;U.K. guidelines on the management of variceal haemorrhage in cirrhotic patients&lt;/title&gt;&lt;secondary-title&gt;Gut&lt;/secondary-title&gt;&lt;short-title&gt;U.K. guidelines on the management of variceal haemorrhage in cirrhotic patients&lt;/short-title&gt;&lt;/titles&gt;&lt;periodical&gt;&lt;full-title&gt;Gut&lt;/full-title&gt;&lt;/periodical&gt;&lt;pages&gt;1680-704&lt;/pages&gt;&lt;volume&gt;64&lt;/volume&gt;&lt;number&gt;11&lt;/number&gt;&lt;keywords&gt;&lt;keyword&gt;pmid:25887380, PMC4680175, doi:10.1136/gutjnl-2015-309262, Research Support, Non-U.S. Gov&amp;apos;t, Dhiraj Tripathi, Adrian J Stanley, CollabAuthor(name=&amp;apos;Clinical Services and Standards Committee of the British Society of Gastroenterology&amp;apos;, investigators=[], a&lt;/keyword&gt;&lt;/keywords&gt;&lt;dates&gt;&lt;year&gt;2015&lt;/year&gt;&lt;pub-dates&gt;&lt;date&gt;2015 Nov&lt;/date&gt;&lt;/pub-dates&gt;&lt;/dates&gt;&lt;isbn&gt;1468-3288&lt;/isbn&gt;&lt;accession-num&gt;25887380&lt;/accession-num&gt;&lt;urls&gt;&lt;related-urls&gt;&lt;url&gt;https://www.ncbi.nlm.nih.gov/pubmed/25887380&lt;/url&gt;&lt;/related-urls&gt;&lt;/urls&gt;&lt;electronic-resource-num&gt;10.1136/gutjnl-2015-309262&lt;/electronic-resource-num&gt;&lt;/record&gt;&lt;/Cite&gt;&lt;/EndNote&gt;</w:instrText>
            </w:r>
            <w:r w:rsidRPr="00BF0EEF">
              <w:fldChar w:fldCharType="separate"/>
            </w:r>
            <w:r w:rsidR="00C87030" w:rsidRPr="00C87030">
              <w:rPr>
                <w:noProof/>
                <w:vertAlign w:val="superscript"/>
              </w:rPr>
              <w:t>22</w:t>
            </w:r>
            <w:r w:rsidRPr="00BF0EEF">
              <w:fldChar w:fldCharType="end"/>
            </w:r>
          </w:p>
        </w:tc>
        <w:tc>
          <w:tcPr>
            <w:tcW w:w="6143" w:type="dxa"/>
          </w:tcPr>
          <w:p w14:paraId="5DEC6031" w14:textId="74D9472E" w:rsidR="00EA5815" w:rsidRPr="00BF0EEF" w:rsidRDefault="00EA5815" w:rsidP="001016AD">
            <w:r w:rsidRPr="00BF0EEF">
              <w:t xml:space="preserve">Oxford Centre For Evidence Based Medicine (Table 1 in ref </w:t>
            </w:r>
            <w:r w:rsidRPr="00BF0EEF">
              <w:fldChar w:fldCharType="begin"/>
            </w:r>
            <w:r w:rsidR="00C87030">
              <w:instrText xml:space="preserve"> ADDIN EN.CITE &lt;EndNote&gt;&lt;Cite&gt;&lt;Author&gt;Tripathi&lt;/Author&gt;&lt;Year&gt;2015&lt;/Year&gt;&lt;RecNum&gt;19&lt;/RecNum&gt;&lt;IDText&gt;U.K. guidelines on the management of variceal haemorrhage in cirrhotic patients&lt;/IDText&gt;&lt;DisplayText&gt;&lt;style face="superscript"&gt;22&lt;/style&gt;&lt;/DisplayText&gt;&lt;record&gt;&lt;rec-number&gt;19&lt;/rec-number&gt;&lt;foreign-keys&gt;&lt;key app="EN" db-id="wazs0twzmprs2bex5davz2ryz0av0zd9tefd" timestamp="1661325771"&gt;19&lt;/key&gt;&lt;/foreign-keys&gt;&lt;ref-type name="Journal Article"&gt;17&lt;/ref-type&gt;&lt;contributors&gt;&lt;authors&gt;&lt;author&gt;Tripathi, D.&lt;/author&gt;&lt;author&gt;Stanley, A. J.&lt;/author&gt;&lt;author&gt;Hayes, P. C.&lt;/author&gt;&lt;author&gt;Patch, D.&lt;/author&gt;&lt;author&gt;Millson, C.&lt;/author&gt;&lt;author&gt;Mehrzad, H.&lt;/author&gt;&lt;author&gt;Austin, A.&lt;/author&gt;&lt;author&gt;Ferguson, J. W.&lt;/author&gt;&lt;author&gt;Olliff, S. P.&lt;/author&gt;&lt;author&gt;Hudson, M.&lt;/author&gt;&lt;author&gt;Christie, J. M.&lt;/author&gt;&lt;author&gt;Clinical Services and Standards Committee of the British Society of Gastroenterology&lt;/author&gt;&lt;/authors&gt;&lt;/contributors&gt;&lt;titles&gt;&lt;title&gt;U.K. guidelines on the management of variceal haemorrhage in cirrhotic patients&lt;/title&gt;&lt;secondary-title&gt;Gut&lt;/secondary-title&gt;&lt;short-title&gt;U.K. guidelines on the management of variceal haemorrhage in cirrhotic patients&lt;/short-title&gt;&lt;/titles&gt;&lt;periodical&gt;&lt;full-title&gt;Gut&lt;/full-title&gt;&lt;/periodical&gt;&lt;pages&gt;1680-704&lt;/pages&gt;&lt;volume&gt;64&lt;/volume&gt;&lt;number&gt;11&lt;/number&gt;&lt;keywords&gt;&lt;keyword&gt;pmid:25887380, PMC4680175, doi:10.1136/gutjnl-2015-309262, Research Support, Non-U.S. Gov&amp;apos;t, Dhiraj Tripathi, Adrian J Stanley, CollabAuthor(name=&amp;apos;Clinical Services and Standards Committee of the British Society of Gastroenterology&amp;apos;, investigators=[], a&lt;/keyword&gt;&lt;/keywords&gt;&lt;dates&gt;&lt;year&gt;2015&lt;/year&gt;&lt;pub-dates&gt;&lt;date&gt;2015 Nov&lt;/date&gt;&lt;/pub-dates&gt;&lt;/dates&gt;&lt;isbn&gt;1468-3288&lt;/isbn&gt;&lt;accession-num&gt;25887380&lt;/accession-num&gt;&lt;urls&gt;&lt;related-urls&gt;&lt;url&gt;https://www.ncbi.nlm.nih.gov/pubmed/25887380&lt;/url&gt;&lt;/related-urls&gt;&lt;/urls&gt;&lt;electronic-resource-num&gt;10.1136/gutjnl-2015-309262&lt;/electronic-resource-num&gt;&lt;/record&gt;&lt;/Cite&gt;&lt;/EndNote&gt;</w:instrText>
            </w:r>
            <w:r w:rsidRPr="00BF0EEF">
              <w:fldChar w:fldCharType="separate"/>
            </w:r>
            <w:r w:rsidR="00C87030" w:rsidRPr="00C87030">
              <w:rPr>
                <w:noProof/>
                <w:vertAlign w:val="superscript"/>
              </w:rPr>
              <w:t>22</w:t>
            </w:r>
            <w:r w:rsidRPr="00BF0EEF">
              <w:fldChar w:fldCharType="end"/>
            </w:r>
            <w:r w:rsidRPr="00BF0EEF">
              <w:t>)</w:t>
            </w:r>
          </w:p>
        </w:tc>
        <w:tc>
          <w:tcPr>
            <w:tcW w:w="6442" w:type="dxa"/>
          </w:tcPr>
          <w:p w14:paraId="503327AB" w14:textId="77777777" w:rsidR="00EA5815" w:rsidRPr="00BF0EEF" w:rsidRDefault="00EA5815" w:rsidP="001016AD">
            <w:r w:rsidRPr="00BF0EEF">
              <w:t>DR and KG converted the grade (A/B/C/D) assigned by the guideline authors to strength of recommendation</w:t>
            </w:r>
            <w:r w:rsidRPr="00957D39">
              <w:rPr>
                <w:vertAlign w:val="superscript"/>
              </w:rPr>
              <w:t>e</w:t>
            </w:r>
          </w:p>
        </w:tc>
      </w:tr>
      <w:tr w:rsidR="00EA5815" w:rsidRPr="00BF0EEF" w14:paraId="64809053" w14:textId="77777777" w:rsidTr="001016AD">
        <w:trPr>
          <w:trHeight w:val="738"/>
        </w:trPr>
        <w:tc>
          <w:tcPr>
            <w:tcW w:w="2092" w:type="dxa"/>
          </w:tcPr>
          <w:p w14:paraId="042D1680" w14:textId="05E6F157" w:rsidR="00EA5815" w:rsidRPr="00BF0EEF" w:rsidRDefault="00EA5815" w:rsidP="001016AD">
            <w:r w:rsidRPr="00BF0EEF">
              <w:t xml:space="preserve">BSG 2020 </w:t>
            </w:r>
            <w:r w:rsidRPr="00BF0EEF">
              <w:fldChar w:fldCharType="begin"/>
            </w:r>
            <w:r w:rsidR="00C87030">
              <w:instrText xml:space="preserve"> ADDIN EN.CITE &lt;EndNote&gt;&lt;Cite&gt;&lt;Author&gt;Tripathi&lt;/Author&gt;&lt;Year&gt;2020&lt;/Year&gt;&lt;RecNum&gt;20&lt;/RecNum&gt;&lt;IDText&gt;Transjugular intrahepatic portosystemic stent-shunt in the management of portal hypertension&lt;/IDText&gt;&lt;DisplayText&gt;&lt;style face="superscript"&gt;23&lt;/style&gt;&lt;/DisplayText&gt;&lt;record&gt;&lt;rec-number&gt;20&lt;/rec-number&gt;&lt;foreign-keys&gt;&lt;key app="EN" db-id="wazs0twzmprs2bex5davz2ryz0av0zd9tefd" timestamp="1661325771"&gt;20&lt;/key&gt;&lt;/foreign-keys&gt;&lt;ref-type name="Journal Article"&gt;17&lt;/ref-type&gt;&lt;contributors&gt;&lt;authors&gt;&lt;author&gt;Tripathi, D.&lt;/author&gt;&lt;author&gt;Stanley, A. J.&lt;/author&gt;&lt;author&gt;Hayes, P. C.&lt;/author&gt;&lt;author&gt;Travis, S.&lt;/author&gt;&lt;author&gt;Armstrong, M. J.&lt;/author&gt;&lt;author&gt;Tsochatzis, E. A.&lt;/author&gt;&lt;author&gt;Rowe, I. A.&lt;/author&gt;&lt;author&gt;Roslund, N.&lt;/author&gt;&lt;author&gt;Ireland, H.&lt;/author&gt;&lt;author&gt;Lomax, M.&lt;/author&gt;&lt;author&gt;Leithead, J. A.&lt;/author&gt;&lt;author&gt;Mehrzad, H.&lt;/author&gt;&lt;author&gt;Aspinall, R. J.&lt;/author&gt;&lt;author&gt;McDonagh, J.&lt;/author&gt;&lt;author&gt;Patch, D.&lt;/author&gt;&lt;/authors&gt;&lt;/contributors&gt;&lt;titles&gt;&lt;title&gt;Transjugular intrahepatic portosystemic stent-shunt in the management of portal hypertension&lt;/title&gt;&lt;secondary-title&gt;Gut&lt;/secondary-title&gt;&lt;short-title&gt;Transjugular intrahepatic portosystemic stent-shunt in the management of portal hypertension&lt;/short-title&gt;&lt;/titles&gt;&lt;periodical&gt;&lt;full-title&gt;Gut&lt;/full-title&gt;&lt;/periodical&gt;&lt;pages&gt;1173-1192&lt;/pages&gt;&lt;volume&gt;69&lt;/volume&gt;&lt;number&gt;7&lt;/number&gt;&lt;keywords&gt;&lt;keyword&gt;pmid:32114503, PMC7306985, doi:10.1136/gutjnl-2019-320221, Practice Guideline, Dhiraj Tripathi, Adrian J Stanley, David Patch, Blood Vessel Prosthesis Implantation / methods*, Blood Vessel Prosthesis Implantation / standards, Blood Vessel Prosthesis*, E&lt;/keyword&gt;&lt;/keywords&gt;&lt;dates&gt;&lt;year&gt;2020&lt;/year&gt;&lt;pub-dates&gt;&lt;date&gt;2020 Jul&lt;/date&gt;&lt;/pub-dates&gt;&lt;/dates&gt;&lt;isbn&gt;1468-3288&lt;/isbn&gt;&lt;accession-num&gt;32114503&lt;/accession-num&gt;&lt;urls&gt;&lt;related-urls&gt;&lt;url&gt;https://www.ncbi.nlm.nih.gov/pubmed/32114503&lt;/url&gt;&lt;/related-urls&gt;&lt;/urls&gt;&lt;electronic-resource-num&gt;10.1136/gutjnl-2019-320221&lt;/electronic-resource-num&gt;&lt;/record&gt;&lt;/Cite&gt;&lt;/EndNote&gt;</w:instrText>
            </w:r>
            <w:r w:rsidRPr="00BF0EEF">
              <w:fldChar w:fldCharType="separate"/>
            </w:r>
            <w:r w:rsidR="00C87030" w:rsidRPr="00C87030">
              <w:rPr>
                <w:noProof/>
                <w:vertAlign w:val="superscript"/>
              </w:rPr>
              <w:t>23</w:t>
            </w:r>
            <w:r w:rsidRPr="00BF0EEF">
              <w:fldChar w:fldCharType="end"/>
            </w:r>
          </w:p>
        </w:tc>
        <w:tc>
          <w:tcPr>
            <w:tcW w:w="6143" w:type="dxa"/>
          </w:tcPr>
          <w:p w14:paraId="50C4CF6A" w14:textId="6A26331A" w:rsidR="00EA5815" w:rsidRPr="00BF0EEF" w:rsidRDefault="00EA5815" w:rsidP="001016AD">
            <w:r w:rsidRPr="00BF0EEF">
              <w:t xml:space="preserve">GRADE system </w:t>
            </w:r>
            <w:r w:rsidRPr="00BF0EEF">
              <w:fldChar w:fldCharType="begin"/>
            </w:r>
            <w:r w:rsidR="00C87030">
              <w:instrText xml:space="preserve"> ADDIN EN.CITE &lt;EndNote&gt;&lt;Cite&gt;&lt;Author&gt;The GRADE Working Group&lt;/Author&gt;&lt;Year&gt;2013&lt;/Year&gt;&lt;RecNum&gt;14&lt;/RecNum&gt;&lt;IDText&gt;GRADE handbook for grading quality of evidence and strength of recommendations&lt;/IDText&gt;&lt;DisplayText&gt;&lt;style face="superscript"&gt;17&lt;/style&gt;&lt;/DisplayText&gt;&lt;record&gt;&lt;rec-number&gt;14&lt;/rec-number&gt;&lt;foreign-keys&gt;&lt;key app="EN" db-id="wazs0twzmprs2bex5davz2ryz0av0zd9tefd" timestamp="1661325771"&gt;14&lt;/key&gt;&lt;/foreign-keys&gt;&lt;ref-type name="Book"&gt;6&lt;/ref-type&gt;&lt;contributors&gt;&lt;authors&gt;&lt;author&gt;The GRADE Working Group,&lt;/author&gt;&lt;/authors&gt;&lt;secondary-authors&gt;&lt;author&gt;Brożek, Jan&lt;/author&gt;&lt;author&gt;Guyatt, Gordon&lt;/author&gt;&lt;author&gt;Oxman, Andrew&lt;/author&gt;&lt;/secondary-authors&gt;&lt;tertiary-authors&gt;&lt;author&gt;Schünemann, Holger&lt;/author&gt;&lt;/tertiary-authors&gt;&lt;/contributors&gt;&lt;titles&gt;&lt;title&gt;GRADE handbook for grading quality of evidence and strength of recommendations&lt;/title&gt;&lt;short-title&gt;GRADE handbook&lt;/short-title&gt;&lt;/titles&gt;&lt;dates&gt;&lt;year&gt;2013&lt;/year&gt;&lt;pub-dates&gt;&lt;date&gt;October 2013&lt;/date&gt;&lt;/pub-dates&gt;&lt;/dates&gt;&lt;urls&gt;&lt;related-urls&gt;&lt;url&gt;https://gdt.gradepro.org/app/handbook/handbook.html&lt;/url&gt;&lt;/related-urls&gt;&lt;/urls&gt;&lt;electronic-resource-num&gt;guidelinedevelopment.org/handbook&lt;/electronic-resource-num&gt;&lt;/record&gt;&lt;/Cite&gt;&lt;/EndNote&gt;</w:instrText>
            </w:r>
            <w:r w:rsidRPr="00BF0EEF">
              <w:fldChar w:fldCharType="separate"/>
            </w:r>
            <w:r w:rsidR="00C87030" w:rsidRPr="00C87030">
              <w:rPr>
                <w:noProof/>
                <w:vertAlign w:val="superscript"/>
              </w:rPr>
              <w:t>17</w:t>
            </w:r>
            <w:r w:rsidRPr="00BF0EEF">
              <w:fldChar w:fldCharType="end"/>
            </w:r>
          </w:p>
        </w:tc>
        <w:tc>
          <w:tcPr>
            <w:tcW w:w="6442" w:type="dxa"/>
          </w:tcPr>
          <w:p w14:paraId="29560813" w14:textId="140C5525" w:rsidR="00EA5815" w:rsidRPr="00BF0EEF" w:rsidRDefault="00EA5815" w:rsidP="001016AD">
            <w:r w:rsidRPr="00BF0EEF">
              <w:t xml:space="preserve">For each recommendation statement, guideline authors assigned a rating for </w:t>
            </w:r>
            <w:r>
              <w:t>q</w:t>
            </w:r>
            <w:r w:rsidRPr="00BF0EEF">
              <w:t xml:space="preserve">uality of evidence (low/moderate/high) and </w:t>
            </w:r>
            <w:r>
              <w:t>s</w:t>
            </w:r>
            <w:r w:rsidRPr="00BF0EEF">
              <w:t xml:space="preserve">trength of recommendation (weak/strong) </w:t>
            </w:r>
            <w:r w:rsidRPr="00BF0EEF">
              <w:fldChar w:fldCharType="begin"/>
            </w:r>
            <w:r w:rsidR="00C87030">
              <w:instrText xml:space="preserve"> ADDIN EN.CITE &lt;EndNote&gt;&lt;Cite&gt;&lt;Author&gt;Aithal&lt;/Author&gt;&lt;Year&gt;2021&lt;/Year&gt;&lt;RecNum&gt;21&lt;/RecNum&gt;&lt;IDText&gt;Guidelines on the management of ascites in cirrhosis&lt;/IDText&gt;&lt;DisplayText&gt;&lt;style face="superscript"&gt;24&lt;/style&gt;&lt;/DisplayText&gt;&lt;record&gt;&lt;rec-number&gt;21&lt;/rec-number&gt;&lt;foreign-keys&gt;&lt;key app="EN" db-id="wazs0twzmprs2bex5davz2ryz0av0zd9tefd" timestamp="1661325771"&gt;21&lt;/key&gt;&lt;/foreign-keys&gt;&lt;ref-type name="Journal Article"&gt;17&lt;/ref-type&gt;&lt;contributors&gt;&lt;authors&gt;&lt;author&gt;Aithal, G. P.&lt;/author&gt;&lt;author&gt;Palaniyappan, N.&lt;/author&gt;&lt;author&gt;China, L.&lt;/author&gt;&lt;author&gt;Härmälä, S.&lt;/author&gt;&lt;author&gt;Macken, L.&lt;/author&gt;&lt;author&gt;Ryan, J. M.&lt;/author&gt;&lt;author&gt;Wilkes, E. A.&lt;/author&gt;&lt;author&gt;Moore, K.&lt;/author&gt;&lt;author&gt;Leithead, J. A.&lt;/author&gt;&lt;author&gt;Hayes, P. C.&lt;/author&gt;&lt;author&gt;O&amp;apos;Brien, A. J.&lt;/author&gt;&lt;author&gt;Verma, S.&lt;/author&gt;&lt;/authors&gt;&lt;/contributors&gt;&lt;titles&gt;&lt;title&gt;Guidelines on the management of ascites in cirrhosis&lt;/title&gt;&lt;secondary-title&gt;Gut&lt;/secondary-title&gt;&lt;short-title&gt;Guidelines on the management of ascites in cirrhosis&lt;/short-title&gt;&lt;/titles&gt;&lt;periodical&gt;&lt;full-title&gt;Gut&lt;/full-title&gt;&lt;/periodical&gt;&lt;pages&gt;9-29&lt;/pages&gt;&lt;volume&gt;70&lt;/volume&gt;&lt;number&gt;1&lt;/number&gt;&lt;keywords&gt;&lt;keyword&gt;pmid:33067334, PMC7788190, doi:10.1136/gutjnl-2020-321790, Practice Guideline, Research Support, Non-U.S. Gov&amp;apos;t, Guruprasad P Aithal, Naaventhan Palaniyappan, Sumita Verma, Ascites / diagnosis*, Ascites / etiology, Ascites / therapy*, Humans, Liver Cirr&lt;/keyword&gt;&lt;/keywords&gt;&lt;dates&gt;&lt;year&gt;2021&lt;/year&gt;&lt;pub-dates&gt;&lt;date&gt;2021 Jan&lt;/date&gt;&lt;/pub-dates&gt;&lt;/dates&gt;&lt;isbn&gt;1468-3288&lt;/isbn&gt;&lt;accession-num&gt;33067334&lt;/accession-num&gt;&lt;urls&gt;&lt;related-urls&gt;&lt;url&gt;https://www.ncbi.nlm.nih.gov/pubmed/33067334&lt;/url&gt;&lt;/related-urls&gt;&lt;/urls&gt;&lt;electronic-resource-num&gt;10.1136/gutjnl-2020-321790&lt;/electronic-resource-num&gt;&lt;/record&gt;&lt;/Cite&gt;&lt;/EndNote&gt;</w:instrText>
            </w:r>
            <w:r w:rsidRPr="00BF0EEF">
              <w:fldChar w:fldCharType="separate"/>
            </w:r>
            <w:r w:rsidR="00C87030" w:rsidRPr="00C87030">
              <w:rPr>
                <w:noProof/>
                <w:vertAlign w:val="superscript"/>
              </w:rPr>
              <w:t>24</w:t>
            </w:r>
            <w:r w:rsidRPr="00BF0EEF">
              <w:fldChar w:fldCharType="end"/>
            </w:r>
          </w:p>
        </w:tc>
      </w:tr>
      <w:tr w:rsidR="00EA5815" w:rsidRPr="00BF0EEF" w14:paraId="59002599" w14:textId="77777777" w:rsidTr="001016AD">
        <w:trPr>
          <w:trHeight w:val="727"/>
        </w:trPr>
        <w:tc>
          <w:tcPr>
            <w:tcW w:w="2092" w:type="dxa"/>
          </w:tcPr>
          <w:p w14:paraId="332DAEAC" w14:textId="39D9A129" w:rsidR="00EA5815" w:rsidRPr="00BF0EEF" w:rsidRDefault="00EA5815" w:rsidP="001016AD">
            <w:r w:rsidRPr="00BF0EEF">
              <w:t xml:space="preserve">BSG 2019 </w:t>
            </w:r>
            <w:r w:rsidRPr="00BF0EEF">
              <w:fldChar w:fldCharType="begin"/>
            </w:r>
            <w:r w:rsidR="00C87030">
              <w:instrText xml:space="preserve"> ADDIN EN.CITE &lt;EndNote&gt;&lt;Cite&gt;&lt;Author&gt;Aithal&lt;/Author&gt;&lt;Year&gt;2021&lt;/Year&gt;&lt;RecNum&gt;21&lt;/RecNum&gt;&lt;IDText&gt;Guidelines on the management of ascites in cirrhosis&lt;/IDText&gt;&lt;DisplayText&gt;&lt;style face="superscript"&gt;24&lt;/style&gt;&lt;/DisplayText&gt;&lt;record&gt;&lt;rec-number&gt;21&lt;/rec-number&gt;&lt;foreign-keys&gt;&lt;key app="EN" db-id="wazs0twzmprs2bex5davz2ryz0av0zd9tefd" timestamp="1661325771"&gt;21&lt;/key&gt;&lt;/foreign-keys&gt;&lt;ref-type name="Journal Article"&gt;17&lt;/ref-type&gt;&lt;contributors&gt;&lt;authors&gt;&lt;author&gt;Aithal, G. P.&lt;/author&gt;&lt;author&gt;Palaniyappan, N.&lt;/author&gt;&lt;author&gt;China, L.&lt;/author&gt;&lt;author&gt;Härmälä, S.&lt;/author&gt;&lt;author&gt;Macken, L.&lt;/author&gt;&lt;author&gt;Ryan, J. M.&lt;/author&gt;&lt;author&gt;Wilkes, E. A.&lt;/author&gt;&lt;author&gt;Moore, K.&lt;/author&gt;&lt;author&gt;Leithead, J. A.&lt;/author&gt;&lt;author&gt;Hayes, P. C.&lt;/author&gt;&lt;author&gt;O&amp;apos;Brien, A. J.&lt;/author&gt;&lt;author&gt;Verma, S.&lt;/author&gt;&lt;/authors&gt;&lt;/contributors&gt;&lt;titles&gt;&lt;title&gt;Guidelines on the management of ascites in cirrhosis&lt;/title&gt;&lt;secondary-title&gt;Gut&lt;/secondary-title&gt;&lt;short-title&gt;Guidelines on the management of ascites in cirrhosis&lt;/short-title&gt;&lt;/titles&gt;&lt;periodical&gt;&lt;full-title&gt;Gut&lt;/full-title&gt;&lt;/periodical&gt;&lt;pages&gt;9-29&lt;/pages&gt;&lt;volume&gt;70&lt;/volume&gt;&lt;number&gt;1&lt;/number&gt;&lt;keywords&gt;&lt;keyword&gt;pmid:33067334, PMC7788190, doi:10.1136/gutjnl-2020-321790, Practice Guideline, Research Support, Non-U.S. Gov&amp;apos;t, Guruprasad P Aithal, Naaventhan Palaniyappan, Sumita Verma, Ascites / diagnosis*, Ascites / etiology, Ascites / therapy*, Humans, Liver Cirr&lt;/keyword&gt;&lt;/keywords&gt;&lt;dates&gt;&lt;year&gt;2021&lt;/year&gt;&lt;pub-dates&gt;&lt;date&gt;2021 Jan&lt;/date&gt;&lt;/pub-dates&gt;&lt;/dates&gt;&lt;isbn&gt;1468-3288&lt;/isbn&gt;&lt;accession-num&gt;33067334&lt;/accession-num&gt;&lt;urls&gt;&lt;related-urls&gt;&lt;url&gt;https://www.ncbi.nlm.nih.gov/pubmed/33067334&lt;/url&gt;&lt;/related-urls&gt;&lt;/urls&gt;&lt;electronic-resource-num&gt;10.1136/gutjnl-2020-321790&lt;/electronic-resource-num&gt;&lt;/record&gt;&lt;/Cite&gt;&lt;/EndNote&gt;</w:instrText>
            </w:r>
            <w:r w:rsidRPr="00BF0EEF">
              <w:fldChar w:fldCharType="separate"/>
            </w:r>
            <w:r w:rsidR="00C87030" w:rsidRPr="00C87030">
              <w:rPr>
                <w:noProof/>
                <w:vertAlign w:val="superscript"/>
              </w:rPr>
              <w:t>24</w:t>
            </w:r>
            <w:r w:rsidRPr="00BF0EEF">
              <w:fldChar w:fldCharType="end"/>
            </w:r>
          </w:p>
        </w:tc>
        <w:tc>
          <w:tcPr>
            <w:tcW w:w="6143" w:type="dxa"/>
          </w:tcPr>
          <w:p w14:paraId="7A92D340" w14:textId="0CB9661C" w:rsidR="00EA5815" w:rsidRPr="00BF0EEF" w:rsidRDefault="00EA5815" w:rsidP="001016AD">
            <w:r w:rsidRPr="00BF0EEF">
              <w:t xml:space="preserve">GRADE system </w:t>
            </w:r>
            <w:r w:rsidRPr="00BF0EEF">
              <w:fldChar w:fldCharType="begin"/>
            </w:r>
            <w:r w:rsidR="00C87030">
              <w:instrText xml:space="preserve"> ADDIN EN.CITE &lt;EndNote&gt;&lt;Cite&gt;&lt;Author&gt;The GRADE Working Group&lt;/Author&gt;&lt;Year&gt;2013&lt;/Year&gt;&lt;RecNum&gt;14&lt;/RecNum&gt;&lt;IDText&gt;GRADE handbook for grading quality of evidence and strength of recommendations&lt;/IDText&gt;&lt;DisplayText&gt;&lt;style face="superscript"&gt;17&lt;/style&gt;&lt;/DisplayText&gt;&lt;record&gt;&lt;rec-number&gt;14&lt;/rec-number&gt;&lt;foreign-keys&gt;&lt;key app="EN" db-id="wazs0twzmprs2bex5davz2ryz0av0zd9tefd" timestamp="1661325771"&gt;14&lt;/key&gt;&lt;/foreign-keys&gt;&lt;ref-type name="Book"&gt;6&lt;/ref-type&gt;&lt;contributors&gt;&lt;authors&gt;&lt;author&gt;The GRADE Working Group,&lt;/author&gt;&lt;/authors&gt;&lt;secondary-authors&gt;&lt;author&gt;Brożek, Jan&lt;/author&gt;&lt;author&gt;Guyatt, Gordon&lt;/author&gt;&lt;author&gt;Oxman, Andrew&lt;/author&gt;&lt;/secondary-authors&gt;&lt;tertiary-authors&gt;&lt;author&gt;Schünemann, Holger&lt;/author&gt;&lt;/tertiary-authors&gt;&lt;/contributors&gt;&lt;titles&gt;&lt;title&gt;GRADE handbook for grading quality of evidence and strength of recommendations&lt;/title&gt;&lt;short-title&gt;GRADE handbook&lt;/short-title&gt;&lt;/titles&gt;&lt;dates&gt;&lt;year&gt;2013&lt;/year&gt;&lt;pub-dates&gt;&lt;date&gt;October 2013&lt;/date&gt;&lt;/pub-dates&gt;&lt;/dates&gt;&lt;urls&gt;&lt;related-urls&gt;&lt;url&gt;https://gdt.gradepro.org/app/handbook/handbook.html&lt;/url&gt;&lt;/related-urls&gt;&lt;/urls&gt;&lt;electronic-resource-num&gt;guidelinedevelopment.org/handbook&lt;/electronic-resource-num&gt;&lt;/record&gt;&lt;/Cite&gt;&lt;/EndNote&gt;</w:instrText>
            </w:r>
            <w:r w:rsidRPr="00BF0EEF">
              <w:fldChar w:fldCharType="separate"/>
            </w:r>
            <w:r w:rsidR="00C87030" w:rsidRPr="00C87030">
              <w:rPr>
                <w:noProof/>
                <w:vertAlign w:val="superscript"/>
              </w:rPr>
              <w:t>17</w:t>
            </w:r>
            <w:r w:rsidRPr="00BF0EEF">
              <w:fldChar w:fldCharType="end"/>
            </w:r>
          </w:p>
        </w:tc>
        <w:tc>
          <w:tcPr>
            <w:tcW w:w="6442" w:type="dxa"/>
          </w:tcPr>
          <w:p w14:paraId="6DBF2520" w14:textId="75A55DA7" w:rsidR="00EA5815" w:rsidRPr="00BF0EEF" w:rsidRDefault="00EA5815" w:rsidP="001016AD">
            <w:r w:rsidRPr="00BF0EEF">
              <w:t xml:space="preserve">For each recommendation statement, guideline authors assigned a rating for Quality of evidence (low/moderate/high) and Strength of recommendation (weak/strong) </w:t>
            </w:r>
            <w:r w:rsidRPr="00BF0EEF">
              <w:fldChar w:fldCharType="begin"/>
            </w:r>
            <w:r w:rsidR="00C87030">
              <w:instrText xml:space="preserve"> ADDIN EN.CITE &lt;EndNote&gt;&lt;Cite&gt;&lt;Author&gt;Tripathi&lt;/Author&gt;&lt;Year&gt;2020&lt;/Year&gt;&lt;RecNum&gt;20&lt;/RecNum&gt;&lt;IDText&gt;Transjugular intrahepatic portosystemic stent-shunt in the management of portal hypertension&lt;/IDText&gt;&lt;DisplayText&gt;&lt;style face="superscript"&gt;23&lt;/style&gt;&lt;/DisplayText&gt;&lt;record&gt;&lt;rec-number&gt;20&lt;/rec-number&gt;&lt;foreign-keys&gt;&lt;key app="EN" db-id="wazs0twzmprs2bex5davz2ryz0av0zd9tefd" timestamp="1661325771"&gt;20&lt;/key&gt;&lt;/foreign-keys&gt;&lt;ref-type name="Journal Article"&gt;17&lt;/ref-type&gt;&lt;contributors&gt;&lt;authors&gt;&lt;author&gt;Tripathi, D.&lt;/author&gt;&lt;author&gt;Stanley, A. J.&lt;/author&gt;&lt;author&gt;Hayes, P. C.&lt;/author&gt;&lt;author&gt;Travis, S.&lt;/author&gt;&lt;author&gt;Armstrong, M. J.&lt;/author&gt;&lt;author&gt;Tsochatzis, E. A.&lt;/author&gt;&lt;author&gt;Rowe, I. A.&lt;/author&gt;&lt;author&gt;Roslund, N.&lt;/author&gt;&lt;author&gt;Ireland, H.&lt;/author&gt;&lt;author&gt;Lomax, M.&lt;/author&gt;&lt;author&gt;Leithead, J. A.&lt;/author&gt;&lt;author&gt;Mehrzad, H.&lt;/author&gt;&lt;author&gt;Aspinall, R. J.&lt;/author&gt;&lt;author&gt;McDonagh, J.&lt;/author&gt;&lt;author&gt;Patch, D.&lt;/author&gt;&lt;/authors&gt;&lt;/contributors&gt;&lt;titles&gt;&lt;title&gt;Transjugular intrahepatic portosystemic stent-shunt in the management of portal hypertension&lt;/title&gt;&lt;secondary-title&gt;Gut&lt;/secondary-title&gt;&lt;short-title&gt;Transjugular intrahepatic portosystemic stent-shunt in the management of portal hypertension&lt;/short-title&gt;&lt;/titles&gt;&lt;periodical&gt;&lt;full-title&gt;Gut&lt;/full-title&gt;&lt;/periodical&gt;&lt;pages&gt;1173-1192&lt;/pages&gt;&lt;volume&gt;69&lt;/volume&gt;&lt;number&gt;7&lt;/number&gt;&lt;keywords&gt;&lt;keyword&gt;pmid:32114503, PMC7306985, doi:10.1136/gutjnl-2019-320221, Practice Guideline, Dhiraj Tripathi, Adrian J Stanley, David Patch, Blood Vessel Prosthesis Implantation / methods*, Blood Vessel Prosthesis Implantation / standards, Blood Vessel Prosthesis*, E&lt;/keyword&gt;&lt;/keywords&gt;&lt;dates&gt;&lt;year&gt;2020&lt;/year&gt;&lt;pub-dates&gt;&lt;date&gt;2020 Jul&lt;/date&gt;&lt;/pub-dates&gt;&lt;/dates&gt;&lt;isbn&gt;1468-3288&lt;/isbn&gt;&lt;accession-num&gt;32114503&lt;/accession-num&gt;&lt;urls&gt;&lt;related-urls&gt;&lt;url&gt;https://www.ncbi.nlm.nih.gov/pubmed/32114503&lt;/url&gt;&lt;/related-urls&gt;&lt;/urls&gt;&lt;electronic-resource-num&gt;10.1136/gutjnl-2019-320221&lt;/electronic-resource-num&gt;&lt;/record&gt;&lt;/Cite&gt;&lt;/EndNote&gt;</w:instrText>
            </w:r>
            <w:r w:rsidRPr="00BF0EEF">
              <w:fldChar w:fldCharType="separate"/>
            </w:r>
            <w:r w:rsidR="00C87030" w:rsidRPr="00C87030">
              <w:rPr>
                <w:noProof/>
                <w:vertAlign w:val="superscript"/>
              </w:rPr>
              <w:t>23</w:t>
            </w:r>
            <w:r w:rsidRPr="00BF0EEF">
              <w:fldChar w:fldCharType="end"/>
            </w:r>
          </w:p>
        </w:tc>
      </w:tr>
      <w:tr w:rsidR="00EA5815" w:rsidRPr="00BF0EEF" w14:paraId="4306C797" w14:textId="77777777" w:rsidTr="001016AD">
        <w:trPr>
          <w:trHeight w:val="495"/>
        </w:trPr>
        <w:tc>
          <w:tcPr>
            <w:tcW w:w="2092" w:type="dxa"/>
          </w:tcPr>
          <w:p w14:paraId="75AF4ADA" w14:textId="5F5D5546" w:rsidR="00EA5815" w:rsidRPr="00BF0EEF" w:rsidRDefault="00EA5815" w:rsidP="001016AD">
            <w:r w:rsidRPr="00BF0EEF">
              <w:t xml:space="preserve">EASL 2018 </w:t>
            </w:r>
            <w:r w:rsidRPr="00BF0EEF">
              <w:fldChar w:fldCharType="begin"/>
            </w:r>
            <w:r w:rsidR="00C87030">
              <w:instrText xml:space="preserve"> ADDIN EN.CITE &lt;EndNote&gt;&lt;Cite&gt;&lt;Author&gt;European Association for the Study of the Liver&lt;/Author&gt;&lt;Year&gt;2018&lt;/Year&gt;&lt;RecNum&gt;22&lt;/RecNum&gt;&lt;IDText&gt;EASL Clinical Practice Guidelines for the management of patients with decompensated cirrhosis&lt;/IDText&gt;&lt;DisplayText&gt;&lt;style face="superscript"&gt;25&lt;/style&gt;&lt;/DisplayText&gt;&lt;record&gt;&lt;rec-number&gt;22&lt;/rec-number&gt;&lt;foreign-keys&gt;&lt;key app="EN" db-id="wazs0twzmprs2bex5davz2ryz0av0zd9tefd" timestamp="1661325771"&gt;22&lt;/key&gt;&lt;/foreign-keys&gt;&lt;ref-type name="Journal Article"&gt;17&lt;/ref-type&gt;&lt;contributors&gt;&lt;authors&gt;&lt;author&gt;European Association for the Study of the Liver,&lt;/author&gt;&lt;/authors&gt;&lt;/contributors&gt;&lt;titles&gt;&lt;title&gt;EASL Clinical Practice Guidelines for the management of patients with decompensated cirrhosis&lt;/title&gt;&lt;secondary-title&gt;Journal of hepatology&lt;/secondary-title&gt;&lt;short-title&gt;EASL Clinical Practice Guidelines for the management of patients with decompensated cirrhosis&lt;/short-title&gt;&lt;/titles&gt;&lt;periodical&gt;&lt;full-title&gt;Journal of hepatology&lt;/full-title&gt;&lt;/periodical&gt;&lt;pages&gt;406-460&lt;/pages&gt;&lt;volume&gt;69&lt;/volume&gt;&lt;number&gt;2&lt;/number&gt;&lt;keywords&gt;&lt;keyword&gt;pmid:29653741, doi:10.1016/j.jhep.2018.03.024, Practice Guideline, CollabAuthor(name=&amp;apos;European Association for the Study of the Liver. Electronic address: easloffice@easloffice.eu&amp;apos;, investigators=[], affs=[]), CollabAuthor(name=&amp;apos;European Association for&lt;/keyword&gt;&lt;/keywords&gt;&lt;dates&gt;&lt;year&gt;2018&lt;/year&gt;&lt;pub-dates&gt;&lt;date&gt;2018 Aug&lt;/date&gt;&lt;/pub-dates&gt;&lt;/dates&gt;&lt;isbn&gt;1600-0641&lt;/isbn&gt;&lt;accession-num&gt;29653741&lt;/accession-num&gt;&lt;urls&gt;&lt;related-urls&gt;&lt;url&gt;https://www.ncbi.nlm.nih.gov/pubmed/29653741&lt;/url&gt;&lt;/related-urls&gt;&lt;/urls&gt;&lt;electronic-resource-num&gt;10.1016/j.jhep.2018.03.024&lt;/electronic-resource-num&gt;&lt;/record&gt;&lt;/Cite&gt;&lt;/EndNote&gt;</w:instrText>
            </w:r>
            <w:r w:rsidRPr="00BF0EEF">
              <w:fldChar w:fldCharType="separate"/>
            </w:r>
            <w:r w:rsidR="00C87030" w:rsidRPr="00C87030">
              <w:rPr>
                <w:noProof/>
                <w:vertAlign w:val="superscript"/>
              </w:rPr>
              <w:t>25</w:t>
            </w:r>
            <w:r w:rsidRPr="00BF0EEF">
              <w:fldChar w:fldCharType="end"/>
            </w:r>
          </w:p>
        </w:tc>
        <w:tc>
          <w:tcPr>
            <w:tcW w:w="6143" w:type="dxa"/>
          </w:tcPr>
          <w:p w14:paraId="60D77917" w14:textId="26AB18E0" w:rsidR="00EA5815" w:rsidRPr="00BF0EEF" w:rsidRDefault="00EA5815" w:rsidP="001016AD">
            <w:r w:rsidRPr="00BF0EEF">
              <w:t xml:space="preserve">Own bespoke system, adapted from GRADE (Table 1 in ref </w:t>
            </w:r>
            <w:r w:rsidRPr="00BF0EEF">
              <w:fldChar w:fldCharType="begin"/>
            </w:r>
            <w:r w:rsidR="00C87030">
              <w:instrText xml:space="preserve"> ADDIN EN.CITE &lt;EndNote&gt;&lt;Cite&gt;&lt;Author&gt;European Association for the Study of the Liver&lt;/Author&gt;&lt;Year&gt;2018&lt;/Year&gt;&lt;RecNum&gt;22&lt;/RecNum&gt;&lt;IDText&gt;EASL Clinical Practice Guidelines for the management of patients with decompensated cirrhosis&lt;/IDText&gt;&lt;DisplayText&gt;&lt;style face="superscript"&gt;25&lt;/style&gt;&lt;/DisplayText&gt;&lt;record&gt;&lt;rec-number&gt;22&lt;/rec-number&gt;&lt;foreign-keys&gt;&lt;key app="EN" db-id="wazs0twzmprs2bex5davz2ryz0av0zd9tefd" timestamp="1661325771"&gt;22&lt;/key&gt;&lt;/foreign-keys&gt;&lt;ref-type name="Journal Article"&gt;17&lt;/ref-type&gt;&lt;contributors&gt;&lt;authors&gt;&lt;author&gt;European Association for the Study of the Liver,&lt;/author&gt;&lt;/authors&gt;&lt;/contributors&gt;&lt;titles&gt;&lt;title&gt;EASL Clinical Practice Guidelines for the management of patients with decompensated cirrhosis&lt;/title&gt;&lt;secondary-title&gt;Journal of hepatology&lt;/secondary-title&gt;&lt;short-title&gt;EASL Clinical Practice Guidelines for the management of patients with decompensated cirrhosis&lt;/short-title&gt;&lt;/titles&gt;&lt;periodical&gt;&lt;full-title&gt;Journal of hepatology&lt;/full-title&gt;&lt;/periodical&gt;&lt;pages&gt;406-460&lt;/pages&gt;&lt;volume&gt;69&lt;/volume&gt;&lt;number&gt;2&lt;/number&gt;&lt;keywords&gt;&lt;keyword&gt;pmid:29653741, doi:10.1016/j.jhep.2018.03.024, Practice Guideline, CollabAuthor(name=&amp;apos;European Association for the Study of the Liver. Electronic address: easloffice@easloffice.eu&amp;apos;, investigators=[], affs=[]), CollabAuthor(name=&amp;apos;European Association for&lt;/keyword&gt;&lt;/keywords&gt;&lt;dates&gt;&lt;year&gt;2018&lt;/year&gt;&lt;pub-dates&gt;&lt;date&gt;2018 Aug&lt;/date&gt;&lt;/pub-dates&gt;&lt;/dates&gt;&lt;isbn&gt;1600-0641&lt;/isbn&gt;&lt;accession-num&gt;29653741&lt;/accession-num&gt;&lt;urls&gt;&lt;related-urls&gt;&lt;url&gt;https://www.ncbi.nlm.nih.gov/pubmed/29653741&lt;/url&gt;&lt;/related-urls&gt;&lt;/urls&gt;&lt;electronic-resource-num&gt;10.1016/j.jhep.2018.03.024&lt;/electronic-resource-num&gt;&lt;/record&gt;&lt;/Cite&gt;&lt;/EndNote&gt;</w:instrText>
            </w:r>
            <w:r w:rsidRPr="00BF0EEF">
              <w:fldChar w:fldCharType="separate"/>
            </w:r>
            <w:r w:rsidR="00C87030" w:rsidRPr="00C87030">
              <w:rPr>
                <w:noProof/>
                <w:vertAlign w:val="superscript"/>
              </w:rPr>
              <w:t>25</w:t>
            </w:r>
            <w:r w:rsidRPr="00BF0EEF">
              <w:fldChar w:fldCharType="end"/>
            </w:r>
            <w:r w:rsidRPr="00BF0EEF">
              <w:t>)</w:t>
            </w:r>
          </w:p>
        </w:tc>
        <w:tc>
          <w:tcPr>
            <w:tcW w:w="6442" w:type="dxa"/>
          </w:tcPr>
          <w:p w14:paraId="454D56C6" w14:textId="5DD268F9" w:rsidR="00EA5815" w:rsidRPr="00BF0EEF" w:rsidRDefault="00EA5815" w:rsidP="001016AD">
            <w:r w:rsidRPr="00BF0EEF">
              <w:t xml:space="preserve">Assigned by guideline authors (1= strong; 2= weak) (Table 1 in ref </w:t>
            </w:r>
            <w:r w:rsidRPr="00BF0EEF">
              <w:fldChar w:fldCharType="begin"/>
            </w:r>
            <w:r w:rsidR="00C87030">
              <w:instrText xml:space="preserve"> ADDIN EN.CITE &lt;EndNote&gt;&lt;Cite&gt;&lt;Author&gt;European Association for the Study of the Liver&lt;/Author&gt;&lt;Year&gt;2018&lt;/Year&gt;&lt;RecNum&gt;22&lt;/RecNum&gt;&lt;IDText&gt;EASL Clinical Practice Guidelines for the management of patients with decompensated cirrhosis&lt;/IDText&gt;&lt;DisplayText&gt;&lt;style face="superscript"&gt;25&lt;/style&gt;&lt;/DisplayText&gt;&lt;record&gt;&lt;rec-number&gt;22&lt;/rec-number&gt;&lt;foreign-keys&gt;&lt;key app="EN" db-id="wazs0twzmprs2bex5davz2ryz0av0zd9tefd" timestamp="1661325771"&gt;22&lt;/key&gt;&lt;/foreign-keys&gt;&lt;ref-type name="Journal Article"&gt;17&lt;/ref-type&gt;&lt;contributors&gt;&lt;authors&gt;&lt;author&gt;European Association for the Study of the Liver,&lt;/author&gt;&lt;/authors&gt;&lt;/contributors&gt;&lt;titles&gt;&lt;title&gt;EASL Clinical Practice Guidelines for the management of patients with decompensated cirrhosis&lt;/title&gt;&lt;secondary-title&gt;Journal of hepatology&lt;/secondary-title&gt;&lt;short-title&gt;EASL Clinical Practice Guidelines for the management of patients with decompensated cirrhosis&lt;/short-title&gt;&lt;/titles&gt;&lt;periodical&gt;&lt;full-title&gt;Journal of hepatology&lt;/full-title&gt;&lt;/periodical&gt;&lt;pages&gt;406-460&lt;/pages&gt;&lt;volume&gt;69&lt;/volume&gt;&lt;number&gt;2&lt;/number&gt;&lt;keywords&gt;&lt;keyword&gt;pmid:29653741, doi:10.1016/j.jhep.2018.03.024, Practice Guideline, CollabAuthor(name=&amp;apos;European Association for the Study of the Liver. Electronic address: easloffice@easloffice.eu&amp;apos;, investigators=[], affs=[]), CollabAuthor(name=&amp;apos;European Association for&lt;/keyword&gt;&lt;/keywords&gt;&lt;dates&gt;&lt;year&gt;2018&lt;/year&gt;&lt;pub-dates&gt;&lt;date&gt;2018 Aug&lt;/date&gt;&lt;/pub-dates&gt;&lt;/dates&gt;&lt;isbn&gt;1600-0641&lt;/isbn&gt;&lt;accession-num&gt;29653741&lt;/accession-num&gt;&lt;urls&gt;&lt;related-urls&gt;&lt;url&gt;https://www.ncbi.nlm.nih.gov/pubmed/29653741&lt;/url&gt;&lt;/related-urls&gt;&lt;/urls&gt;&lt;electronic-resource-num&gt;10.1016/j.jhep.2018.03.024&lt;/electronic-resource-num&gt;&lt;/record&gt;&lt;/Cite&gt;&lt;/EndNote&gt;</w:instrText>
            </w:r>
            <w:r w:rsidRPr="00BF0EEF">
              <w:fldChar w:fldCharType="separate"/>
            </w:r>
            <w:r w:rsidR="00C87030" w:rsidRPr="00C87030">
              <w:rPr>
                <w:noProof/>
                <w:vertAlign w:val="superscript"/>
              </w:rPr>
              <w:t>25</w:t>
            </w:r>
            <w:r w:rsidRPr="00BF0EEF">
              <w:fldChar w:fldCharType="end"/>
            </w:r>
            <w:r w:rsidRPr="00BF0EEF">
              <w:t>)</w:t>
            </w:r>
          </w:p>
        </w:tc>
      </w:tr>
      <w:tr w:rsidR="00EA5815" w:rsidRPr="00BF0EEF" w14:paraId="36C94D59" w14:textId="77777777" w:rsidTr="001016AD">
        <w:trPr>
          <w:trHeight w:val="495"/>
        </w:trPr>
        <w:tc>
          <w:tcPr>
            <w:tcW w:w="2092" w:type="dxa"/>
          </w:tcPr>
          <w:p w14:paraId="7623C7A4" w14:textId="5A4734EA" w:rsidR="00EA5815" w:rsidRPr="00BF0EEF" w:rsidRDefault="00EA5815" w:rsidP="001016AD">
            <w:r w:rsidRPr="00BF0EEF">
              <w:lastRenderedPageBreak/>
              <w:t xml:space="preserve">NICE CG141 </w:t>
            </w:r>
            <w:r w:rsidRPr="00BF0EEF">
              <w:fldChar w:fldCharType="begin"/>
            </w:r>
            <w:r w:rsidR="00C87030">
              <w:instrText xml:space="preserve"> ADDIN EN.CITE &lt;EndNote&gt;&lt;Cite&gt;&lt;Author&gt;National Institute for Health and Care Excellence&lt;/Author&gt;&lt;Year&gt;2016&lt;/Year&gt;&lt;RecNum&gt;23&lt;/RecNum&gt;&lt;IDText&gt;Acute upper gastrointestinal bleeding in over 16s: management (Clinical guideline CG141)&lt;/IDText&gt;&lt;DisplayText&gt;&lt;style face="superscript"&gt;26&lt;/style&gt;&lt;/DisplayText&gt;&lt;record&gt;&lt;rec-number&gt;23&lt;/rec-number&gt;&lt;foreign-keys&gt;&lt;key app="EN" db-id="wazs0twzmprs2bex5davz2ryz0av0zd9tefd" timestamp="1661325771"&gt;23&lt;/key&gt;&lt;/foreign-keys&gt;&lt;ref-type name="Web Page"&gt;12&lt;/ref-type&gt;&lt;contributors&gt;&lt;authors&gt;&lt;author&gt;National Institute for Health and Care Excellence,&lt;/author&gt;&lt;/authors&gt;&lt;/contributors&gt;&lt;titles&gt;&lt;title&gt;Acute upper gastrointestinal bleeding in over 16s: management (Clinical guideline CG141)&lt;/title&gt;&lt;short-title&gt;Acute upper gastrointestinal bleeding in over 16s: management (Clinical guideline CG141)&lt;/short-title&gt;&lt;/titles&gt;&lt;volume&gt;2022&lt;/volume&gt;&lt;number&gt;01 July&lt;/number&gt;&lt;dates&gt;&lt;year&gt;2016&lt;/year&gt;&lt;/dates&gt;&lt;urls&gt;&lt;related-urls&gt;&lt;url&gt;https://www.nice.org.uk/guidance/cg141&lt;/url&gt;&lt;/related-urls&gt;&lt;/urls&gt;&lt;/record&gt;&lt;/Cite&gt;&lt;/EndNote&gt;</w:instrText>
            </w:r>
            <w:r w:rsidRPr="00BF0EEF">
              <w:fldChar w:fldCharType="separate"/>
            </w:r>
            <w:r w:rsidR="00C87030" w:rsidRPr="00C87030">
              <w:rPr>
                <w:noProof/>
                <w:vertAlign w:val="superscript"/>
              </w:rPr>
              <w:t>26</w:t>
            </w:r>
            <w:r w:rsidRPr="00BF0EEF">
              <w:fldChar w:fldCharType="end"/>
            </w:r>
          </w:p>
        </w:tc>
        <w:tc>
          <w:tcPr>
            <w:tcW w:w="6143" w:type="dxa"/>
          </w:tcPr>
          <w:p w14:paraId="55AECBF9" w14:textId="77777777" w:rsidR="00EA5815" w:rsidRPr="00BF0EEF" w:rsidRDefault="00EA5815" w:rsidP="001016AD">
            <w:r w:rsidRPr="00BF0EEF">
              <w:t>NICE recommendations based on GRADE, cost-effectiveness and clinical experience</w:t>
            </w:r>
            <w:r w:rsidRPr="005872FF">
              <w:rPr>
                <w:vertAlign w:val="superscript"/>
              </w:rPr>
              <w:t>c</w:t>
            </w:r>
          </w:p>
        </w:tc>
        <w:tc>
          <w:tcPr>
            <w:tcW w:w="6442" w:type="dxa"/>
          </w:tcPr>
          <w:p w14:paraId="2DD3F0CA" w14:textId="76834A0E" w:rsidR="00EA5815" w:rsidRPr="00BF0EEF" w:rsidRDefault="00EA5815" w:rsidP="001016AD">
            <w:r w:rsidRPr="00BF0EEF">
              <w:t xml:space="preserve">DR and KG assigned a strength of recommendation based on the strength of wording used in the guidance statements </w:t>
            </w:r>
            <w:r w:rsidRPr="00BF0EEF">
              <w:fldChar w:fldCharType="begin"/>
            </w:r>
            <w:r w:rsidR="00C87030">
              <w:instrText xml:space="preserve"> ADDIN EN.CITE &lt;EndNote&gt;&lt;Cite&gt;&lt;Author&gt;The GRADE Working Group&lt;/Author&gt;&lt;Year&gt;2013&lt;/Year&gt;&lt;RecNum&gt;14&lt;/RecNum&gt;&lt;IDText&gt;GRADE handbook for grading quality of evidence and strength of recommendations&lt;/IDText&gt;&lt;DisplayText&gt;&lt;style face="superscript"&gt;17&lt;/style&gt;&lt;/DisplayText&gt;&lt;record&gt;&lt;rec-number&gt;14&lt;/rec-number&gt;&lt;foreign-keys&gt;&lt;key app="EN" db-id="wazs0twzmprs2bex5davz2ryz0av0zd9tefd" timestamp="1661325771"&gt;14&lt;/key&gt;&lt;/foreign-keys&gt;&lt;ref-type name="Book"&gt;6&lt;/ref-type&gt;&lt;contributors&gt;&lt;authors&gt;&lt;author&gt;The GRADE Working Group,&lt;/author&gt;&lt;/authors&gt;&lt;secondary-authors&gt;&lt;author&gt;Brożek, Jan&lt;/author&gt;&lt;author&gt;Guyatt, Gordon&lt;/author&gt;&lt;author&gt;Oxman, Andrew&lt;/author&gt;&lt;/secondary-authors&gt;&lt;tertiary-authors&gt;&lt;author&gt;Schünemann, Holger&lt;/author&gt;&lt;/tertiary-authors&gt;&lt;/contributors&gt;&lt;titles&gt;&lt;title&gt;GRADE handbook for grading quality of evidence and strength of recommendations&lt;/title&gt;&lt;short-title&gt;GRADE handbook&lt;/short-title&gt;&lt;/titles&gt;&lt;dates&gt;&lt;year&gt;2013&lt;/year&gt;&lt;pub-dates&gt;&lt;date&gt;October 2013&lt;/date&gt;&lt;/pub-dates&gt;&lt;/dates&gt;&lt;urls&gt;&lt;related-urls&gt;&lt;url&gt;https://gdt.gradepro.org/app/handbook/handbook.html&lt;/url&gt;&lt;/related-urls&gt;&lt;/urls&gt;&lt;electronic-resource-num&gt;guidelinedevelopment.org/handbook&lt;/electronic-resource-num&gt;&lt;/record&gt;&lt;/Cite&gt;&lt;/EndNote&gt;</w:instrText>
            </w:r>
            <w:r w:rsidRPr="00BF0EEF">
              <w:fldChar w:fldCharType="separate"/>
            </w:r>
            <w:r w:rsidR="00C87030" w:rsidRPr="00C87030">
              <w:rPr>
                <w:noProof/>
                <w:vertAlign w:val="superscript"/>
              </w:rPr>
              <w:t>17</w:t>
            </w:r>
            <w:r w:rsidRPr="00BF0EEF">
              <w:fldChar w:fldCharType="end"/>
            </w:r>
          </w:p>
        </w:tc>
      </w:tr>
      <w:tr w:rsidR="00EA5815" w:rsidRPr="00BF0EEF" w14:paraId="0F78E316" w14:textId="77777777" w:rsidTr="001016AD">
        <w:trPr>
          <w:trHeight w:val="484"/>
        </w:trPr>
        <w:tc>
          <w:tcPr>
            <w:tcW w:w="2092" w:type="dxa"/>
          </w:tcPr>
          <w:p w14:paraId="63A9329C" w14:textId="587E8877" w:rsidR="00EA5815" w:rsidRPr="00BF0EEF" w:rsidRDefault="00EA5815" w:rsidP="001016AD">
            <w:r w:rsidRPr="00BF0EEF">
              <w:t xml:space="preserve">NICE IPG631 </w:t>
            </w:r>
            <w:r w:rsidRPr="00BF0EEF">
              <w:fldChar w:fldCharType="begin"/>
            </w:r>
            <w:r w:rsidR="00C87030">
              <w:instrText xml:space="preserve"> ADDIN EN.CITE &lt;EndNote&gt;&lt;Cite&gt;&lt;Author&gt;National Institute for Health and Care Excellence&lt;/Author&gt;&lt;Year&gt;2018&lt;/Year&gt;&lt;RecNum&gt;24&lt;/RecNum&gt;&lt;IDText&gt;Subcutaneous automated low-flow pump implantation for refractory ascites caused by cirrhosis (Interventional procedures guidance IPG631)&lt;/IDText&gt;&lt;DisplayText&gt;&lt;style face="superscript"&gt;27&lt;/style&gt;&lt;/DisplayText&gt;&lt;record&gt;&lt;rec-number&gt;24&lt;/rec-number&gt;&lt;foreign-keys&gt;&lt;key app="EN" db-id="wazs0twzmprs2bex5davz2ryz0av0zd9tefd" timestamp="1661325771"&gt;24&lt;/key&gt;&lt;/foreign-keys&gt;&lt;ref-type name="Web Page"&gt;12&lt;/ref-type&gt;&lt;contributors&gt;&lt;authors&gt;&lt;author&gt;National Institute for Health and Care Excellence,&lt;/author&gt;&lt;/authors&gt;&lt;/contributors&gt;&lt;titles&gt;&lt;title&gt;Subcutaneous automated low-flow pump implantation for refractory ascites caused by cirrhosis (Interventional procedures guidance IPG631)&lt;/title&gt;&lt;short-title&gt;Subcutaneous automated low-flow pump implantation for refractory ascites caused by cirrhosis (Interventional procedures guidance IPG631)&lt;/short-title&gt;&lt;/titles&gt;&lt;volume&gt;2022&lt;/volume&gt;&lt;number&gt;01 July&lt;/number&gt;&lt;dates&gt;&lt;year&gt;2018&lt;/year&gt;&lt;/dates&gt;&lt;urls&gt;&lt;related-urls&gt;&lt;url&gt;https://www.nice.org.uk/guidance/ipg631&lt;/url&gt;&lt;/related-urls&gt;&lt;/urls&gt;&lt;/record&gt;&lt;/Cite&gt;&lt;/EndNote&gt;</w:instrText>
            </w:r>
            <w:r w:rsidRPr="00BF0EEF">
              <w:fldChar w:fldCharType="separate"/>
            </w:r>
            <w:r w:rsidR="00C87030" w:rsidRPr="00C87030">
              <w:rPr>
                <w:noProof/>
                <w:vertAlign w:val="superscript"/>
              </w:rPr>
              <w:t>27</w:t>
            </w:r>
            <w:r w:rsidRPr="00BF0EEF">
              <w:fldChar w:fldCharType="end"/>
            </w:r>
          </w:p>
        </w:tc>
        <w:tc>
          <w:tcPr>
            <w:tcW w:w="6143" w:type="dxa"/>
          </w:tcPr>
          <w:p w14:paraId="6D077E5C" w14:textId="3955175D" w:rsidR="00EA5815" w:rsidRPr="00BF0EEF" w:rsidRDefault="00EA5815" w:rsidP="001016AD">
            <w:r w:rsidRPr="00BF0EEF">
              <w:t xml:space="preserve">Own set categories of recommendations </w:t>
            </w:r>
            <w:r w:rsidRPr="00BF0EEF">
              <w:fldChar w:fldCharType="begin"/>
            </w:r>
            <w:r w:rsidR="00383EB7">
              <w:instrText xml:space="preserve"> ADDIN EN.CITE &lt;EndNote&gt;&lt;Cite&gt;&lt;Author&gt;National Institute for Health and Care Excellence&lt;/Author&gt;&lt;Year&gt;2022&lt;/Year&gt;&lt;RecNum&gt;43&lt;/RecNum&gt;&lt;IDText&gt;Interventional procedures recommendations&lt;/IDText&gt;&lt;DisplayText&gt;&lt;style face="superscript"&gt;43&lt;/style&gt;&lt;/DisplayText&gt;&lt;record&gt;&lt;rec-number&gt;43&lt;/rec-number&gt;&lt;foreign-keys&gt;&lt;key app="EN" db-id="wazs0twzmprs2bex5davz2ryz0av0zd9tefd" timestamp="1661325772"&gt;43&lt;/key&gt;&lt;/foreign-keys&gt;&lt;ref-type name="Web Page"&gt;12&lt;/ref-type&gt;&lt;contributors&gt;&lt;authors&gt;&lt;author&gt;National Institute for Health and Care Excellence,&lt;/author&gt;&lt;/authors&gt;&lt;/contributors&gt;&lt;titles&gt;&lt;title&gt;Interventional procedures recommendations&lt;/title&gt;&lt;short-title&gt;Interventional procedures recommendations&lt;/short-title&gt;&lt;/titles&gt;&lt;volume&gt;2022&lt;/volume&gt;&lt;number&gt;01 July&lt;/number&gt;&lt;dates&gt;&lt;year&gt;2022&lt;/year&gt;&lt;/dates&gt;&lt;urls&gt;&lt;related-urls&gt;&lt;url&gt;https://www.nice.org.uk/about/what-we-do/our-programmes/nice-guidance/interventional-procedures-guidance/recommendations&lt;/url&gt;&lt;/related-urls&gt;&lt;/urls&gt;&lt;/record&gt;&lt;/Cite&gt;&lt;/EndNote&gt;</w:instrText>
            </w:r>
            <w:r w:rsidRPr="00BF0EEF">
              <w:fldChar w:fldCharType="separate"/>
            </w:r>
            <w:r w:rsidR="00383EB7" w:rsidRPr="00383EB7">
              <w:rPr>
                <w:noProof/>
                <w:vertAlign w:val="superscript"/>
              </w:rPr>
              <w:t>43</w:t>
            </w:r>
            <w:r w:rsidRPr="00BF0EEF">
              <w:fldChar w:fldCharType="end"/>
            </w:r>
          </w:p>
        </w:tc>
        <w:tc>
          <w:tcPr>
            <w:tcW w:w="6442" w:type="dxa"/>
          </w:tcPr>
          <w:p w14:paraId="53877AA5" w14:textId="77777777" w:rsidR="00EA5815" w:rsidRPr="00BF0EEF" w:rsidRDefault="00EA5815" w:rsidP="001016AD">
            <w:r w:rsidRPr="00BF0EEF">
              <w:t>DR and KG converted the recommendation category assigned by the guideline authors to strength of recommendation</w:t>
            </w:r>
            <w:r w:rsidRPr="005872FF">
              <w:rPr>
                <w:vertAlign w:val="superscript"/>
              </w:rPr>
              <w:t>f</w:t>
            </w:r>
          </w:p>
        </w:tc>
      </w:tr>
      <w:tr w:rsidR="00EA5815" w:rsidRPr="00BF0EEF" w14:paraId="54DD15B2" w14:textId="77777777" w:rsidTr="001016AD">
        <w:trPr>
          <w:trHeight w:val="484"/>
        </w:trPr>
        <w:tc>
          <w:tcPr>
            <w:tcW w:w="2092" w:type="dxa"/>
          </w:tcPr>
          <w:p w14:paraId="2BAC7FFC" w14:textId="433ED1EF" w:rsidR="00EA5815" w:rsidRPr="00BF0EEF" w:rsidRDefault="00EA5815" w:rsidP="001016AD">
            <w:r w:rsidRPr="00BF0EEF">
              <w:t xml:space="preserve">NICE NG50 </w:t>
            </w:r>
            <w:r w:rsidRPr="00BF0EEF">
              <w:fldChar w:fldCharType="begin"/>
            </w:r>
            <w:r w:rsidR="00C87030">
              <w:instrText xml:space="preserve"> ADDIN EN.CITE &lt;EndNote&gt;&lt;Cite&gt;&lt;Author&gt;National Institute for Health and Care Excellence&lt;/Author&gt;&lt;Year&gt;2016&lt;/Year&gt;&lt;RecNum&gt;25&lt;/RecNum&gt;&lt;IDText&gt;Cirrhosis in over 16s: assessment and management (NICE guideline NG50)&lt;/IDText&gt;&lt;DisplayText&gt;&lt;style face="superscript"&gt;28&lt;/style&gt;&lt;/DisplayText&gt;&lt;record&gt;&lt;rec-number&gt;25&lt;/rec-number&gt;&lt;foreign-keys&gt;&lt;key app="EN" db-id="wazs0twzmprs2bex5davz2ryz0av0zd9tefd" timestamp="1661325771"&gt;25&lt;/key&gt;&lt;/foreign-keys&gt;&lt;ref-type name="Web Page"&gt;12&lt;/ref-type&gt;&lt;contributors&gt;&lt;authors&gt;&lt;author&gt;National Institute for Health and Care Excellence,&lt;/author&gt;&lt;/authors&gt;&lt;/contributors&gt;&lt;titles&gt;&lt;title&gt;Cirrhosis in over 16s: assessment and management (NICE guideline NG50)&lt;/title&gt;&lt;short-title&gt;Cirrhosis in over 16s: assessment and management (NICE guideline NG50)&lt;/short-title&gt;&lt;/titles&gt;&lt;volume&gt;2022&lt;/volume&gt;&lt;number&gt;01 July&lt;/number&gt;&lt;dates&gt;&lt;year&gt;2016&lt;/year&gt;&lt;/dates&gt;&lt;urls&gt;&lt;related-urls&gt;&lt;url&gt;https://www.nice.org.uk/guidance/ng50&lt;/url&gt;&lt;/related-urls&gt;&lt;/urls&gt;&lt;/record&gt;&lt;/Cite&gt;&lt;/EndNote&gt;</w:instrText>
            </w:r>
            <w:r w:rsidRPr="00BF0EEF">
              <w:fldChar w:fldCharType="separate"/>
            </w:r>
            <w:r w:rsidR="00C87030" w:rsidRPr="00C87030">
              <w:rPr>
                <w:noProof/>
                <w:vertAlign w:val="superscript"/>
              </w:rPr>
              <w:t>28</w:t>
            </w:r>
            <w:r w:rsidRPr="00BF0EEF">
              <w:fldChar w:fldCharType="end"/>
            </w:r>
          </w:p>
        </w:tc>
        <w:tc>
          <w:tcPr>
            <w:tcW w:w="6143" w:type="dxa"/>
          </w:tcPr>
          <w:p w14:paraId="13B6BAD8" w14:textId="77777777" w:rsidR="00EA5815" w:rsidRPr="00BF0EEF" w:rsidRDefault="00EA5815" w:rsidP="001016AD">
            <w:bookmarkStart w:id="1" w:name="_Hlk92709791"/>
            <w:r w:rsidRPr="00BF0EEF">
              <w:t>NICE recommendations based on GRADE, cost-effectiveness and clinical experience</w:t>
            </w:r>
            <w:bookmarkEnd w:id="1"/>
            <w:r w:rsidRPr="005872FF">
              <w:rPr>
                <w:vertAlign w:val="superscript"/>
              </w:rPr>
              <w:t>d</w:t>
            </w:r>
          </w:p>
        </w:tc>
        <w:tc>
          <w:tcPr>
            <w:tcW w:w="6442" w:type="dxa"/>
          </w:tcPr>
          <w:p w14:paraId="642AB134" w14:textId="35ABD4E4" w:rsidR="00EA5815" w:rsidRPr="00BF0EEF" w:rsidRDefault="00EA5815" w:rsidP="001016AD">
            <w:r w:rsidRPr="00BF0EEF">
              <w:t xml:space="preserve">DR and KG assigned a strength of recommendation based on the strength of wording used in the guidance statements </w:t>
            </w:r>
            <w:r w:rsidRPr="00BF0EEF">
              <w:fldChar w:fldCharType="begin"/>
            </w:r>
            <w:r w:rsidR="00C87030">
              <w:instrText xml:space="preserve"> ADDIN EN.CITE &lt;EndNote&gt;&lt;Cite&gt;&lt;Author&gt;The GRADE Working Group&lt;/Author&gt;&lt;Year&gt;2013&lt;/Year&gt;&lt;RecNum&gt;14&lt;/RecNum&gt;&lt;IDText&gt;GRADE handbook for grading quality of evidence and strength of recommendations&lt;/IDText&gt;&lt;DisplayText&gt;&lt;style face="superscript"&gt;17&lt;/style&gt;&lt;/DisplayText&gt;&lt;record&gt;&lt;rec-number&gt;14&lt;/rec-number&gt;&lt;foreign-keys&gt;&lt;key app="EN" db-id="wazs0twzmprs2bex5davz2ryz0av0zd9tefd" timestamp="1661325771"&gt;14&lt;/key&gt;&lt;/foreign-keys&gt;&lt;ref-type name="Book"&gt;6&lt;/ref-type&gt;&lt;contributors&gt;&lt;authors&gt;&lt;author&gt;The GRADE Working Group,&lt;/author&gt;&lt;/authors&gt;&lt;secondary-authors&gt;&lt;author&gt;Brożek, Jan&lt;/author&gt;&lt;author&gt;Guyatt, Gordon&lt;/author&gt;&lt;author&gt;Oxman, Andrew&lt;/author&gt;&lt;/secondary-authors&gt;&lt;tertiary-authors&gt;&lt;author&gt;Schünemann, Holger&lt;/author&gt;&lt;/tertiary-authors&gt;&lt;/contributors&gt;&lt;titles&gt;&lt;title&gt;GRADE handbook for grading quality of evidence and strength of recommendations&lt;/title&gt;&lt;short-title&gt;GRADE handbook&lt;/short-title&gt;&lt;/titles&gt;&lt;dates&gt;&lt;year&gt;2013&lt;/year&gt;&lt;pub-dates&gt;&lt;date&gt;October 2013&lt;/date&gt;&lt;/pub-dates&gt;&lt;/dates&gt;&lt;urls&gt;&lt;related-urls&gt;&lt;url&gt;https://gdt.gradepro.org/app/handbook/handbook.html&lt;/url&gt;&lt;/related-urls&gt;&lt;/urls&gt;&lt;electronic-resource-num&gt;guidelinedevelopment.org/handbook&lt;/electronic-resource-num&gt;&lt;/record&gt;&lt;/Cite&gt;&lt;/EndNote&gt;</w:instrText>
            </w:r>
            <w:r w:rsidRPr="00BF0EEF">
              <w:fldChar w:fldCharType="separate"/>
            </w:r>
            <w:r w:rsidR="00C87030" w:rsidRPr="00C87030">
              <w:rPr>
                <w:noProof/>
                <w:vertAlign w:val="superscript"/>
              </w:rPr>
              <w:t>17</w:t>
            </w:r>
            <w:r w:rsidRPr="00BF0EEF">
              <w:fldChar w:fldCharType="end"/>
            </w:r>
          </w:p>
        </w:tc>
      </w:tr>
    </w:tbl>
    <w:p w14:paraId="40962688" w14:textId="77777777" w:rsidR="00EA5815" w:rsidRPr="00BF0EEF" w:rsidRDefault="00EA5815" w:rsidP="00EA5815"/>
    <w:p w14:paraId="5B50F337" w14:textId="253E8FDB" w:rsidR="00EA5815" w:rsidRPr="00BF0EEF" w:rsidRDefault="00EA5815" w:rsidP="00EA5815">
      <w:r w:rsidRPr="00BF0EEF">
        <w:t xml:space="preserve">a AASLD 2017: ‘A guidance document is different from a guideline. Guidelines are developed by a multidisciplinary panel of experts who rate the quality (level) of the evidence and the strength of each recommendation using the Grading of Recommendations Assessment, Development and Evaluation system. A guidance document is developed by a panel of experts in the topic, and guidance statements, not recommendations, are put forward to help clinicians understand and implement the most recent evidence…… In this updated practice guidance, recommendations derived from consensus conferences were also incorporated.’ </w:t>
      </w:r>
      <w:r w:rsidRPr="00BF0EEF">
        <w:fldChar w:fldCharType="begin"/>
      </w:r>
      <w:r w:rsidR="00C87030">
        <w:instrText xml:space="preserve"> ADDIN EN.CITE &lt;EndNote&gt;&lt;Cite&gt;&lt;Author&gt;Garcia-Tsao&lt;/Author&gt;&lt;Year&gt;2017&lt;/Year&gt;&lt;RecNum&gt;17&lt;/RecNum&gt;&lt;IDText&gt;Portal hypertensive bleeding in cirrhosis: Risk stratification, diagnosis, and management: 2016 practice guidance by the American Association for the study of liver diseases&lt;/IDText&gt;&lt;DisplayText&gt;&lt;style face="superscript"&gt;20&lt;/style&gt;&lt;/DisplayText&gt;&lt;record&gt;&lt;rec-number&gt;17&lt;/rec-number&gt;&lt;foreign-keys&gt;&lt;key app="EN" db-id="wazs0twzmprs2bex5davz2ryz0av0zd9tefd" timestamp="1661325771"&gt;17&lt;/key&gt;&lt;/foreign-keys&gt;&lt;ref-type name="Journal Article"&gt;17&lt;/ref-type&gt;&lt;contributors&gt;&lt;authors&gt;&lt;author&gt;Garcia-Tsao, G.&lt;/author&gt;&lt;author&gt;Abraldes, J. G.&lt;/author&gt;&lt;author&gt;Berzigotti, A.&lt;/author&gt;&lt;author&gt;Bosch, J.&lt;/author&gt;&lt;/authors&gt;&lt;/contributors&gt;&lt;titles&gt;&lt;title&gt;Portal hypertensive bleeding in cirrhosis: Risk stratification, diagnosis, and management: 2016 practice guidance by the American Association for the study of liver diseases&lt;/title&gt;&lt;secondary-title&gt;Hepatology (Baltimore, Md.)&lt;/secondary-title&gt;&lt;short-title&gt;Portal hypertensive bleeding in cirrhosis: Risk stratification, diagnosis, and management: 2016 practice guidance by the American Association for the study of liver diseases&lt;/short-title&gt;&lt;/titles&gt;&lt;periodical&gt;&lt;full-title&gt;Hepatology (Baltimore, Md.)&lt;/full-title&gt;&lt;/periodical&gt;&lt;pages&gt;310-335&lt;/pages&gt;&lt;volume&gt;65&lt;/volume&gt;&lt;number&gt;1&lt;/number&gt;&lt;keywords&gt;&lt;keyword&gt;pmid:27786365, doi:10.1002/hep.28906, Practice Guideline, Research Support, Non-U.S. Gov&amp;apos;t, Guadalupe Garcia-Tsao, Juan G Abraldes, Jaime Bosch, Esophageal and Gastric Varices / diagnosis*, Esophageal and Gastric Varices / therapy, Humans, Hypertension&lt;/keyword&gt;&lt;/keywords&gt;&lt;dates&gt;&lt;year&gt;2017&lt;/year&gt;&lt;pub-dates&gt;&lt;date&gt;2017 Jan&lt;/date&gt;&lt;/pub-dates&gt;&lt;/dates&gt;&lt;isbn&gt;1527-3350&lt;/isbn&gt;&lt;accession-num&gt;27786365&lt;/accession-num&gt;&lt;urls&gt;&lt;related-urls&gt;&lt;url&gt;https://www.ncbi.nlm.nih.gov/pubmed/27786365&lt;/url&gt;&lt;/related-urls&gt;&lt;/urls&gt;&lt;electronic-resource-num&gt;10.1002/hep.28906&lt;/electronic-resource-num&gt;&lt;/record&gt;&lt;/Cite&gt;&lt;/EndNote&gt;</w:instrText>
      </w:r>
      <w:r w:rsidRPr="00BF0EEF">
        <w:fldChar w:fldCharType="separate"/>
      </w:r>
      <w:r w:rsidR="00C87030" w:rsidRPr="00C87030">
        <w:rPr>
          <w:noProof/>
          <w:vertAlign w:val="superscript"/>
        </w:rPr>
        <w:t>20</w:t>
      </w:r>
      <w:r w:rsidRPr="00BF0EEF">
        <w:fldChar w:fldCharType="end"/>
      </w:r>
    </w:p>
    <w:p w14:paraId="4B8F6D94" w14:textId="19711BD5" w:rsidR="00EA5815" w:rsidRPr="00BF0EEF" w:rsidRDefault="00EA5815" w:rsidP="00EA5815">
      <w:r w:rsidRPr="00BF0EEF">
        <w:t xml:space="preserve">b AASLD 2021: ‘This AASLD Guidance provides a data-supported approach to the management of ascites and HRS. It differs from the AASLD Guidelines, which are supported by systematic reviews of the literature, formal rating of the quality of the evidence, and strength of the recommendations. In contrast, this Guidance was developed by consensus of an expert panel and provides guidance statements based on comprehensive review and analysis of the literature on the topics, with oversight provided by the AASLD Practice Guidelines Committee. The AASLD Practice Guidelines Committee chose to perform </w:t>
      </w:r>
      <w:r w:rsidRPr="00BF0EEF">
        <w:lastRenderedPageBreak/>
        <w:t xml:space="preserve">a Guidance on this topic because a sufficient number of randomized controlled trials were not available to support meaningful systematic reviews and meta-analyses.’ </w:t>
      </w:r>
      <w:r w:rsidRPr="00BF0EEF">
        <w:fldChar w:fldCharType="begin">
          <w:fldData xml:space="preserve">PEVuZE5vdGU+PENpdGU+PEF1dGhvcj5CaWdnaW5zPC9BdXRob3I+PFllYXI+MjAyMTwvWWVhcj48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</w:fldData>
        </w:fldChar>
      </w:r>
      <w:r w:rsidR="00C87030">
        <w:instrText xml:space="preserve"> ADDIN EN.CITE </w:instrText>
      </w:r>
      <w:r w:rsidR="00C87030">
        <w:fldChar w:fldCharType="begin">
          <w:fldData xml:space="preserve">PEVuZE5vdGU+PENpdGU+PEF1dGhvcj5CaWdnaW5zPC9BdXRob3I+PFllYXI+MjAyMTwvWWVhcj48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</w:fldData>
        </w:fldChar>
      </w:r>
      <w:r w:rsidR="00C87030">
        <w:instrText xml:space="preserve"> ADDIN EN.CITE.DATA </w:instrText>
      </w:r>
      <w:r w:rsidR="00C87030">
        <w:fldChar w:fldCharType="end"/>
      </w:r>
      <w:r w:rsidRPr="00BF0EEF">
        <w:fldChar w:fldCharType="separate"/>
      </w:r>
      <w:r w:rsidR="00C87030" w:rsidRPr="00C87030">
        <w:rPr>
          <w:noProof/>
          <w:vertAlign w:val="superscript"/>
        </w:rPr>
        <w:t>21</w:t>
      </w:r>
      <w:r w:rsidRPr="00BF0EEF">
        <w:fldChar w:fldCharType="end"/>
      </w:r>
    </w:p>
    <w:p w14:paraId="586BB67C" w14:textId="7C71FF39" w:rsidR="00EA5815" w:rsidRPr="00BF0EEF" w:rsidRDefault="00EA5815" w:rsidP="00EA5815">
      <w:bookmarkStart w:id="2" w:name="_Hlk105408535"/>
      <w:r w:rsidRPr="00BF0EEF">
        <w:t xml:space="preserve">c NICE CG141: ‘Recommendations were drafted on the basis of the GDG [Guideline Development Group] interpretation of the available evidence, taking into account the balance of benefits, harms and costs. When clinical and economic evidence was of poor quality, conflicting or absent, the GDG drafted recommendations based on their expert opinion. The considerations for making consensus-based recommendations include the balance between potential harms and benefits, economic or implications compared to the benefits, current practices, recommendations made in other relevant guidelines, patient preferences and equality issues. The consensus recommendations were done through discussions in the GDG.’ </w:t>
      </w:r>
      <w:r w:rsidRPr="00BF0EEF">
        <w:fldChar w:fldCharType="begin"/>
      </w:r>
      <w:r w:rsidR="00C87030">
        <w:instrText xml:space="preserve"> ADDIN EN.CITE &lt;EndNote&gt;&lt;Cite&gt;&lt;Author&gt;National Institute for Health and Care Excellence&lt;/Author&gt;&lt;Year&gt;2016&lt;/Year&gt;&lt;RecNum&gt;23&lt;/RecNum&gt;&lt;IDText&gt;Acute upper gastrointestinal bleeding in over 16s: management (Clinical guideline CG141)&lt;/IDText&gt;&lt;DisplayText&gt;&lt;style face="superscript"&gt;26&lt;/style&gt;&lt;/DisplayText&gt;&lt;record&gt;&lt;rec-number&gt;23&lt;/rec-number&gt;&lt;foreign-keys&gt;&lt;key app="EN" db-id="wazs0twzmprs2bex5davz2ryz0av0zd9tefd" timestamp="1661325771"&gt;23&lt;/key&gt;&lt;/foreign-keys&gt;&lt;ref-type name="Web Page"&gt;12&lt;/ref-type&gt;&lt;contributors&gt;&lt;authors&gt;&lt;author&gt;National Institute for Health and Care Excellence,&lt;/author&gt;&lt;/authors&gt;&lt;/contributors&gt;&lt;titles&gt;&lt;title&gt;Acute upper gastrointestinal bleeding in over 16s: management (Clinical guideline CG141)&lt;/title&gt;&lt;short-title&gt;Acute upper gastrointestinal bleeding in over 16s: management (Clinical guideline CG141)&lt;/short-title&gt;&lt;/titles&gt;&lt;volume&gt;2022&lt;/volume&gt;&lt;number&gt;01 July&lt;/number&gt;&lt;dates&gt;&lt;year&gt;2016&lt;/year&gt;&lt;/dates&gt;&lt;urls&gt;&lt;related-urls&gt;&lt;url&gt;https://www.nice.org.uk/guidance/cg141&lt;/url&gt;&lt;/related-urls&gt;&lt;/urls&gt;&lt;/record&gt;&lt;/Cite&gt;&lt;/EndNote&gt;</w:instrText>
      </w:r>
      <w:r w:rsidRPr="00BF0EEF">
        <w:fldChar w:fldCharType="separate"/>
      </w:r>
      <w:r w:rsidR="00C87030" w:rsidRPr="00C87030">
        <w:rPr>
          <w:noProof/>
          <w:vertAlign w:val="superscript"/>
        </w:rPr>
        <w:t>26</w:t>
      </w:r>
      <w:r w:rsidRPr="00BF0EEF">
        <w:fldChar w:fldCharType="end"/>
      </w:r>
    </w:p>
    <w:p w14:paraId="37448638" w14:textId="0579955E" w:rsidR="00EA5815" w:rsidRPr="00BF0EEF" w:rsidRDefault="00EA5815" w:rsidP="00EA5815">
      <w:r w:rsidRPr="00BF0EEF">
        <w:t xml:space="preserve">d NICE NG50: </w:t>
      </w:r>
      <w:bookmarkEnd w:id="2"/>
      <w:r w:rsidRPr="00BF0EEF">
        <w:t xml:space="preserve">‘Recommendations were drafted on the basis of the GDG’s interpretation of the available evidence, taking into account the balance of benefits, harms and costs between different courses of action…..The GDG considered the appropriate ‘strength’ of each recommendation. This takes into account the quality of the evidence but is conceptually different. Some recommendations are ’strong’ in that the GDG believes that the vast majority of healthcare and other professionals and patients would choose a particular intervention if they considered the evidence in the same way that the GDG has……The GDG focused on the following factors in agreeing the wording of the recommendations: </w:t>
      </w:r>
      <w:r w:rsidRPr="00BF0EEF">
        <w:sym w:font="Symbol" w:char="F0B7"/>
      </w:r>
      <w:r w:rsidRPr="00BF0EEF">
        <w:t xml:space="preserve"> The actions health professionals need to take. </w:t>
      </w:r>
      <w:r w:rsidRPr="00BF0EEF">
        <w:sym w:font="Symbol" w:char="F0B7"/>
      </w:r>
      <w:r w:rsidRPr="00BF0EEF">
        <w:t xml:space="preserve"> The information readers need to know. </w:t>
      </w:r>
      <w:r w:rsidRPr="00BF0EEF">
        <w:sym w:font="Symbol" w:char="F0B7"/>
      </w:r>
      <w:r w:rsidRPr="00BF0EEF">
        <w:t xml:space="preserve"> The strength of the recommendation (for example the word ‘offer’ was used for strong recommendations and ‘consider’ for weak recommendations). </w:t>
      </w:r>
      <w:r w:rsidRPr="00BF0EEF">
        <w:sym w:font="Symbol" w:char="F0B7"/>
      </w:r>
      <w:r w:rsidRPr="00BF0EEF">
        <w:t xml:space="preserve"> The involvement of patients (and their carers if needed) in decisions on treatment and care. </w:t>
      </w:r>
      <w:r w:rsidRPr="00BF0EEF">
        <w:sym w:font="Symbol" w:char="F0B7"/>
      </w:r>
      <w:r w:rsidRPr="00BF0EEF">
        <w:t xml:space="preserve"> Consistency with NICE’s standard advice on recommendations about drugs, waiting times and ineffective interventions.’ </w:t>
      </w:r>
      <w:r w:rsidRPr="00BF0EEF">
        <w:fldChar w:fldCharType="begin"/>
      </w:r>
      <w:r w:rsidR="00C87030">
        <w:instrText xml:space="preserve"> ADDIN EN.CITE &lt;EndNote&gt;&lt;Cite&gt;&lt;Author&gt;National Institute for Health and Care Excellence&lt;/Author&gt;&lt;Year&gt;2016&lt;/Year&gt;&lt;RecNum&gt;25&lt;/RecNum&gt;&lt;IDText&gt;Cirrhosis in over 16s: assessment and management (NICE guideline NG50)&lt;/IDText&gt;&lt;DisplayText&gt;&lt;style face="superscript"&gt;28&lt;/style&gt;&lt;/DisplayText&gt;&lt;record&gt;&lt;rec-number&gt;25&lt;/rec-number&gt;&lt;foreign-keys&gt;&lt;key app="EN" db-id="wazs0twzmprs2bex5davz2ryz0av0zd9tefd" timestamp="1661325771"&gt;25&lt;/key&gt;&lt;/foreign-keys&gt;&lt;ref-type name="Web Page"&gt;12&lt;/ref-type&gt;&lt;contributors&gt;&lt;authors&gt;&lt;author&gt;National Institute for Health and Care Excellence,&lt;/author&gt;&lt;/authors&gt;&lt;/contributors&gt;&lt;titles&gt;&lt;title&gt;Cirrhosis in over 16s: assessment and management (NICE guideline NG50)&lt;/title&gt;&lt;short-title&gt;Cirrhosis in over 16s: assessment and management (NICE guideline NG50)&lt;/short-title&gt;&lt;/titles&gt;&lt;volume&gt;2022&lt;/volume&gt;&lt;number&gt;01 July&lt;/number&gt;&lt;dates&gt;&lt;year&gt;2016&lt;/year&gt;&lt;/dates&gt;&lt;urls&gt;&lt;related-urls&gt;&lt;url&gt;https://www.nice.org.uk/guidance/ng50&lt;/url&gt;&lt;/related-urls&gt;&lt;/urls&gt;&lt;/record&gt;&lt;/Cite&gt;&lt;/EndNote&gt;</w:instrText>
      </w:r>
      <w:r w:rsidRPr="00BF0EEF">
        <w:fldChar w:fldCharType="separate"/>
      </w:r>
      <w:r w:rsidR="00C87030" w:rsidRPr="00C87030">
        <w:rPr>
          <w:noProof/>
          <w:vertAlign w:val="superscript"/>
        </w:rPr>
        <w:t>28</w:t>
      </w:r>
      <w:r w:rsidRPr="00BF0EEF">
        <w:fldChar w:fldCharType="end"/>
      </w:r>
    </w:p>
    <w:p w14:paraId="5ADDDDA5" w14:textId="1CFB64E4" w:rsidR="00EA5815" w:rsidRPr="00BF0EEF" w:rsidRDefault="00EA5815" w:rsidP="00EA5815">
      <w:r w:rsidRPr="00BF0EEF">
        <w:t xml:space="preserve">e Grade A corresponds to high-quality evidence and therefore DR and KG determined that these could be considered as strong recommendations and the remaining grades as weak recommendations </w:t>
      </w:r>
      <w:r w:rsidRPr="00BF0EEF">
        <w:fldChar w:fldCharType="begin"/>
      </w:r>
      <w:r w:rsidR="00C87030">
        <w:instrText xml:space="preserve"> ADDIN EN.CITE &lt;EndNote&gt;&lt;Cite&gt;&lt;Author&gt;Guyatt&lt;/Author&gt;&lt;Year&gt;2008&lt;/Year&gt;&lt;RecNum&gt;15&lt;/RecNum&gt;&lt;IDText&gt;Going from evidence to recommendations&lt;/IDText&gt;&lt;DisplayText&gt;&lt;style face="superscript"&gt;18&lt;/style&gt;&lt;/DisplayText&gt;&lt;record&gt;&lt;rec-number&gt;15&lt;/rec-number&gt;&lt;foreign-keys&gt;&lt;key app="EN" db-id="wazs0twzmprs2bex5davz2ryz0av0zd9tefd" timestamp="1661325771"&gt;15&lt;/key&gt;&lt;/foreign-keys&gt;&lt;ref-type name="Journal Article"&gt;17&lt;/ref-type&gt;&lt;contributors&gt;&lt;authors&gt;&lt;author&gt;Guyatt, G. H.&lt;/author&gt;&lt;author&gt;Oxman, A. D.&lt;/author&gt;&lt;author&gt;Kunz, R.&lt;/author&gt;&lt;author&gt;Falck-Ytter, Y.&lt;/author&gt;&lt;author&gt;Vist, G. E.&lt;/author&gt;&lt;author&gt;Liberati, A.&lt;/author&gt;&lt;author&gt;Schünemann, H. J.&lt;/author&gt;&lt;author&gt;GRADE Working Group&lt;/author&gt;&lt;/authors&gt;&lt;/contributors&gt;&lt;titles&gt;&lt;title&gt;Going from evidence to recommendations&lt;/title&gt;&lt;secondary-title&gt;BMJ (Clinical research ed.)&lt;/secondary-title&gt;&lt;short-title&gt;Going from evidence to recommendations&lt;/short-title&gt;&lt;/titles&gt;&lt;periodical&gt;&lt;full-title&gt;BMJ (Clinical research ed.)&lt;/full-title&gt;&lt;/periodical&gt;&lt;pages&gt;1049-51&lt;/pages&gt;&lt;volume&gt;336&lt;/volume&gt;&lt;number&gt;7652&lt;/number&gt;&lt;keywords&gt;&lt;keyword&gt;pmid:18467413, PMC2376019, doi:10.1136/bmj.39493.646875.AE, Gordon H Guyatt, Andrew D Oxman, CollabAuthor(name=&amp;apos;GRADE Working Group&amp;apos;, investigators=[Author(firstnames=&amp;apos;Phil&amp;apos;, lastname=&amp;apos;Alderson&amp;apos;, initials=&amp;apos;P&amp;apos;, affs=[], is_editor=False, suffix=None, equa&lt;/keyword&gt;&lt;keyword&gt;irstnames=&amp;apos;Jane&amp;apos;, lastname=&amp;apos;Thomas&amp;apos;, initials=&amp;apos;J&amp;apos;, affs=[], is_editor=False, suffix=None, equal_contrib=False), Author(firstnames=&amp;apos;Tessa&amp;apos;, lastname=&amp;apos;Tan Torres&amp;apos;, initials=&amp;apos;T&amp;apos;, affs=[], is_editor=False, suffix=None, equal_contrib=False), Author(firstname&lt;/keyword&gt;&lt;/keywords&gt;&lt;dates&gt;&lt;year&gt;2008&lt;/year&gt;&lt;pub-dates&gt;&lt;date&gt;05/10/2008&lt;/date&gt;&lt;/pub-dates&gt;&lt;/dates&gt;&lt;isbn&gt;1756-1833&lt;/isbn&gt;&lt;accession-num&gt;18467413&lt;/accession-num&gt;&lt;urls&gt;&lt;related-urls&gt;&lt;url&gt;https://www.ncbi.nlm.nih.gov/pubmed/18467413&lt;/url&gt;&lt;/related-urls&gt;&lt;/urls&gt;&lt;electronic-resource-num&gt;10.1136/bmj.39493.646875.AE&lt;/electronic-resource-num&gt;&lt;/record&gt;&lt;/Cite&gt;&lt;/EndNote&gt;</w:instrText>
      </w:r>
      <w:r w:rsidRPr="00BF0EEF">
        <w:fldChar w:fldCharType="separate"/>
      </w:r>
      <w:r w:rsidR="00C87030" w:rsidRPr="00C87030">
        <w:rPr>
          <w:noProof/>
          <w:vertAlign w:val="superscript"/>
        </w:rPr>
        <w:t>18</w:t>
      </w:r>
      <w:r w:rsidRPr="00BF0EEF">
        <w:fldChar w:fldCharType="end"/>
      </w:r>
      <w:r w:rsidRPr="00BF0EEF">
        <w:t>.</w:t>
      </w:r>
    </w:p>
    <w:p w14:paraId="0C8CF1D7" w14:textId="2B859C67" w:rsidR="00EA5815" w:rsidRPr="00BF0EEF" w:rsidRDefault="00EA5815" w:rsidP="00EA5815">
      <w:r w:rsidRPr="00BF0EEF">
        <w:lastRenderedPageBreak/>
        <w:t xml:space="preserve">f DR and KG considered the recommendation category assigned by the guideline authors along with the strength of wording in the guidance in the conversion to strength of recommendation. It was determined that recommendation categories assigned as ‘standard arrangements’ or ‘do not use’ could be considered as strong recommendations and those assigned as ‘special arrangements’ or ‘only in research’ could be considered as weak recommendations. However, DR and KG considered these categories alongside the language used in the recommendation statements in order to assign the strength of recommendation, as per guidance from the GRADE Working Group </w:t>
      </w:r>
      <w:r w:rsidRPr="00BF0EEF">
        <w:fldChar w:fldCharType="begin"/>
      </w:r>
      <w:r w:rsidR="00C87030">
        <w:instrText xml:space="preserve"> ADDIN EN.CITE &lt;EndNote&gt;&lt;Cite&gt;&lt;Author&gt;The GRADE Working Group&lt;/Author&gt;&lt;Year&gt;2013&lt;/Year&gt;&lt;RecNum&gt;14&lt;/RecNum&gt;&lt;IDText&gt;GRADE handbook for grading quality of evidence and strength of recommendations&lt;/IDText&gt;&lt;DisplayText&gt;&lt;style face="superscript"&gt;17&lt;/style&gt;&lt;/DisplayText&gt;&lt;record&gt;&lt;rec-number&gt;14&lt;/rec-number&gt;&lt;foreign-keys&gt;&lt;key app="EN" db-id="wazs0twzmprs2bex5davz2ryz0av0zd9tefd" timestamp="1661325771"&gt;14&lt;/key&gt;&lt;/foreign-keys&gt;&lt;ref-type name="Book"&gt;6&lt;/ref-type&gt;&lt;contributors&gt;&lt;authors&gt;&lt;author&gt;The GRADE Working Group,&lt;/author&gt;&lt;/authors&gt;&lt;secondary-authors&gt;&lt;author&gt;Brożek, Jan&lt;/author&gt;&lt;author&gt;Guyatt, Gordon&lt;/author&gt;&lt;author&gt;Oxman, Andrew&lt;/author&gt;&lt;/secondary-authors&gt;&lt;tertiary-authors&gt;&lt;author&gt;Schünemann, Holger&lt;/author&gt;&lt;/tertiary-authors&gt;&lt;/contributors&gt;&lt;titles&gt;&lt;title&gt;GRADE handbook for grading quality of evidence and strength of recommendations&lt;/title&gt;&lt;short-title&gt;GRADE handbook&lt;/short-title&gt;&lt;/titles&gt;&lt;dates&gt;&lt;year&gt;2013&lt;/year&gt;&lt;pub-dates&gt;&lt;date&gt;October 2013&lt;/date&gt;&lt;/pub-dates&gt;&lt;/dates&gt;&lt;urls&gt;&lt;related-urls&gt;&lt;url&gt;https://gdt.gradepro.org/app/handbook/handbook.html&lt;/url&gt;&lt;/related-urls&gt;&lt;/urls&gt;&lt;electronic-resource-num&gt;guidelinedevelopment.org/handbook&lt;/electronic-resource-num&gt;&lt;/record&gt;&lt;/Cite&gt;&lt;/EndNote&gt;</w:instrText>
      </w:r>
      <w:r w:rsidRPr="00BF0EEF">
        <w:fldChar w:fldCharType="separate"/>
      </w:r>
      <w:r w:rsidR="00C87030" w:rsidRPr="00C87030">
        <w:rPr>
          <w:noProof/>
          <w:vertAlign w:val="superscript"/>
        </w:rPr>
        <w:t>17</w:t>
      </w:r>
      <w:r w:rsidRPr="00BF0EEF">
        <w:fldChar w:fldCharType="end"/>
      </w:r>
      <w:r w:rsidRPr="00BF0EEF">
        <w:t>.</w:t>
      </w:r>
    </w:p>
    <w:bookmarkEnd w:id="0"/>
    <w:p w14:paraId="162671FE" w14:textId="77777777" w:rsidR="00EA5815" w:rsidRDefault="00EA5815" w:rsidP="00EA5815">
      <w:pPr>
        <w:pStyle w:val="Heading2"/>
      </w:pPr>
      <w:r>
        <w:br w:type="page"/>
      </w:r>
    </w:p>
    <w:p w14:paraId="5BEFC92E" w14:textId="40CEF4FC" w:rsidR="00EA5815" w:rsidRPr="00BF0EEF" w:rsidRDefault="00EA5815" w:rsidP="00EA5815">
      <w:pPr>
        <w:pStyle w:val="Heading2"/>
      </w:pPr>
      <w:r>
        <w:lastRenderedPageBreak/>
        <w:t xml:space="preserve">Extended Data </w:t>
      </w:r>
      <w:r w:rsidRPr="00BF0EEF">
        <w:t xml:space="preserve">Table </w:t>
      </w:r>
      <w:r>
        <w:t>3</w:t>
      </w:r>
      <w:r w:rsidRPr="00BF0EEF">
        <w:t xml:space="preserve">: Comparisons in the </w:t>
      </w:r>
      <w:r>
        <w:t>agreement between</w:t>
      </w:r>
      <w:r w:rsidRPr="00BF0EEF">
        <w:t xml:space="preserve"> specific clinical practice recommendations </w:t>
      </w:r>
      <w:r>
        <w:t xml:space="preserve">and Cochrane review </w:t>
      </w:r>
      <w:r w:rsidRPr="00BF0EEF">
        <w:t>(green = match, red = mismatch)</w:t>
      </w:r>
    </w:p>
    <w:tbl>
      <w:tblPr>
        <w:tblStyle w:val="TableGrid"/>
        <w:tblW w:w="15593" w:type="dxa"/>
        <w:tblInd w:w="-856" w:type="dxa"/>
        <w:tblLook w:val="04A0" w:firstRow="1" w:lastRow="0" w:firstColumn="1" w:lastColumn="0" w:noHBand="0" w:noVBand="1"/>
      </w:tblPr>
      <w:tblGrid>
        <w:gridCol w:w="1094"/>
        <w:gridCol w:w="4571"/>
        <w:gridCol w:w="1796"/>
        <w:gridCol w:w="1470"/>
        <w:gridCol w:w="1985"/>
        <w:gridCol w:w="4677"/>
      </w:tblGrid>
      <w:tr w:rsidR="00EA5815" w:rsidRPr="003E78C7" w14:paraId="68D853EC" w14:textId="77777777" w:rsidTr="00EA5815">
        <w:trPr>
          <w:trHeight w:val="300"/>
        </w:trPr>
        <w:tc>
          <w:tcPr>
            <w:tcW w:w="1094" w:type="dxa"/>
            <w:noWrap/>
            <w:hideMark/>
          </w:tcPr>
          <w:p w14:paraId="1905D47D" w14:textId="77777777" w:rsidR="00EA5815" w:rsidRPr="003E78C7" w:rsidRDefault="00EA5815" w:rsidP="001016AD">
            <w:pPr>
              <w:rPr>
                <w:b/>
                <w:bCs/>
              </w:rPr>
            </w:pPr>
            <w:r w:rsidRPr="003E78C7">
              <w:rPr>
                <w:b/>
                <w:bCs/>
              </w:rPr>
              <w:t>Guideline</w:t>
            </w:r>
          </w:p>
        </w:tc>
        <w:tc>
          <w:tcPr>
            <w:tcW w:w="4571" w:type="dxa"/>
            <w:noWrap/>
            <w:hideMark/>
          </w:tcPr>
          <w:p w14:paraId="0FB56CAC" w14:textId="77777777" w:rsidR="00EA5815" w:rsidRPr="003E78C7" w:rsidRDefault="00EA5815" w:rsidP="001016AD">
            <w:pPr>
              <w:rPr>
                <w:b/>
                <w:bCs/>
              </w:rPr>
            </w:pPr>
            <w:r w:rsidRPr="003E78C7">
              <w:rPr>
                <w:b/>
                <w:bCs/>
              </w:rPr>
              <w:t>Statement</w:t>
            </w:r>
          </w:p>
        </w:tc>
        <w:tc>
          <w:tcPr>
            <w:tcW w:w="1796" w:type="dxa"/>
            <w:noWrap/>
            <w:hideMark/>
          </w:tcPr>
          <w:p w14:paraId="3E16AADF" w14:textId="77777777" w:rsidR="00EA5815" w:rsidRPr="003E78C7" w:rsidRDefault="00EA5815" w:rsidP="001016AD">
            <w:pPr>
              <w:rPr>
                <w:b/>
                <w:bCs/>
              </w:rPr>
            </w:pPr>
            <w:r w:rsidRPr="003E78C7">
              <w:rPr>
                <w:b/>
                <w:bCs/>
              </w:rPr>
              <w:t>Strength of recommendation</w:t>
            </w:r>
          </w:p>
        </w:tc>
        <w:tc>
          <w:tcPr>
            <w:tcW w:w="1470" w:type="dxa"/>
            <w:noWrap/>
            <w:hideMark/>
          </w:tcPr>
          <w:p w14:paraId="06A6032F" w14:textId="77777777" w:rsidR="00EA5815" w:rsidRPr="003E78C7" w:rsidRDefault="00EA5815" w:rsidP="001016AD">
            <w:pPr>
              <w:rPr>
                <w:b/>
                <w:bCs/>
              </w:rPr>
            </w:pPr>
            <w:r w:rsidRPr="003E78C7">
              <w:rPr>
                <w:b/>
                <w:bCs/>
              </w:rPr>
              <w:t>Related Cochrane review</w:t>
            </w:r>
          </w:p>
        </w:tc>
        <w:tc>
          <w:tcPr>
            <w:tcW w:w="1985" w:type="dxa"/>
            <w:noWrap/>
            <w:hideMark/>
          </w:tcPr>
          <w:p w14:paraId="29D4D135" w14:textId="77777777" w:rsidR="00EA5815" w:rsidRPr="003E78C7" w:rsidRDefault="00EA5815" w:rsidP="001016AD">
            <w:pPr>
              <w:rPr>
                <w:b/>
                <w:bCs/>
              </w:rPr>
            </w:pPr>
            <w:r w:rsidRPr="003E78C7">
              <w:rPr>
                <w:b/>
                <w:bCs/>
              </w:rPr>
              <w:t>Agreement between Guideline authors and Cochrane review</w:t>
            </w:r>
          </w:p>
        </w:tc>
        <w:tc>
          <w:tcPr>
            <w:tcW w:w="4677" w:type="dxa"/>
            <w:noWrap/>
            <w:hideMark/>
          </w:tcPr>
          <w:p w14:paraId="646A9B65" w14:textId="77777777" w:rsidR="00EA5815" w:rsidRPr="003E78C7" w:rsidRDefault="00EA5815" w:rsidP="001016AD">
            <w:pPr>
              <w:rPr>
                <w:b/>
                <w:bCs/>
              </w:rPr>
            </w:pPr>
            <w:r w:rsidRPr="003E78C7">
              <w:rPr>
                <w:b/>
                <w:bCs/>
              </w:rPr>
              <w:t>Additional comments</w:t>
            </w:r>
          </w:p>
        </w:tc>
      </w:tr>
      <w:tr w:rsidR="00EA5815" w:rsidRPr="00BF0EEF" w14:paraId="041F68D8" w14:textId="77777777" w:rsidTr="00EA5815">
        <w:trPr>
          <w:trHeight w:val="300"/>
        </w:trPr>
        <w:tc>
          <w:tcPr>
            <w:tcW w:w="1094" w:type="dxa"/>
            <w:noWrap/>
            <w:hideMark/>
          </w:tcPr>
          <w:p w14:paraId="4E186398" w14:textId="77777777" w:rsidR="00EA5815" w:rsidRPr="00BF0EEF" w:rsidRDefault="00EA5815" w:rsidP="001016AD">
            <w:r w:rsidRPr="00BF0EEF">
              <w:t>AASLD 2021</w:t>
            </w:r>
          </w:p>
        </w:tc>
        <w:tc>
          <w:tcPr>
            <w:tcW w:w="4571" w:type="dxa"/>
            <w:noWrap/>
            <w:hideMark/>
          </w:tcPr>
          <w:p w14:paraId="18B19669" w14:textId="77777777" w:rsidR="00EA5815" w:rsidRPr="00BF0EEF" w:rsidRDefault="00EA5815" w:rsidP="001016AD">
            <w:r w:rsidRPr="00BF0EEF">
              <w:t>Moderate sodium restriction (2 g or 90 mmol/day) and diuretics (spironolactone with or without furosemide) are the first-line treatment in patients with cirrhosis and grade 2 ascites.</w:t>
            </w:r>
          </w:p>
        </w:tc>
        <w:tc>
          <w:tcPr>
            <w:tcW w:w="1796" w:type="dxa"/>
            <w:noWrap/>
            <w:hideMark/>
          </w:tcPr>
          <w:p w14:paraId="6FE40BF7" w14:textId="77777777" w:rsidR="00EA5815" w:rsidRPr="00BF0EEF" w:rsidRDefault="00EA5815" w:rsidP="001016AD">
            <w:r w:rsidRPr="00BF0EEF">
              <w:t>Strong</w:t>
            </w:r>
          </w:p>
        </w:tc>
        <w:tc>
          <w:tcPr>
            <w:tcW w:w="1470" w:type="dxa"/>
            <w:noWrap/>
          </w:tcPr>
          <w:p w14:paraId="1AABEA0F" w14:textId="77777777" w:rsidR="00EA5815" w:rsidRPr="00BF0EEF" w:rsidRDefault="00EA5815" w:rsidP="001016AD">
            <w:r w:rsidRPr="00BF0EEF">
              <w:t>Cochrane: ascites</w:t>
            </w:r>
          </w:p>
        </w:tc>
        <w:tc>
          <w:tcPr>
            <w:tcW w:w="1985" w:type="dxa"/>
            <w:shd w:val="clear" w:color="auto" w:fill="FF0000"/>
            <w:noWrap/>
            <w:hideMark/>
          </w:tcPr>
          <w:p w14:paraId="503F0782" w14:textId="77777777" w:rsidR="00EA5815" w:rsidRPr="00BF0EEF" w:rsidRDefault="00EA5815" w:rsidP="001016AD">
            <w:r w:rsidRPr="00BF0EEF">
              <w:t>No</w:t>
            </w:r>
          </w:p>
        </w:tc>
        <w:tc>
          <w:tcPr>
            <w:tcW w:w="4677" w:type="dxa"/>
            <w:noWrap/>
            <w:hideMark/>
          </w:tcPr>
          <w:p w14:paraId="1D0FD9B3" w14:textId="77777777" w:rsidR="00EA5815" w:rsidRPr="00BF0EEF" w:rsidRDefault="00EA5815" w:rsidP="001016AD">
            <w:r w:rsidRPr="00BF0EEF">
              <w:t>The Cochrane review does not cover sodium restriction</w:t>
            </w:r>
            <w:r>
              <w:t>. So the agreement refers to only the statement on diuretics</w:t>
            </w:r>
          </w:p>
        </w:tc>
      </w:tr>
      <w:tr w:rsidR="00EA5815" w:rsidRPr="00BF0EEF" w14:paraId="7825C8C2" w14:textId="77777777" w:rsidTr="00EA5815">
        <w:trPr>
          <w:trHeight w:val="300"/>
        </w:trPr>
        <w:tc>
          <w:tcPr>
            <w:tcW w:w="1094" w:type="dxa"/>
            <w:noWrap/>
            <w:hideMark/>
          </w:tcPr>
          <w:p w14:paraId="4405DE84" w14:textId="77777777" w:rsidR="00EA5815" w:rsidRPr="00BF0EEF" w:rsidRDefault="00EA5815" w:rsidP="001016AD">
            <w:r w:rsidRPr="00BF0EEF">
              <w:t>AASLD 2021</w:t>
            </w:r>
          </w:p>
        </w:tc>
        <w:tc>
          <w:tcPr>
            <w:tcW w:w="4571" w:type="dxa"/>
            <w:noWrap/>
            <w:hideMark/>
          </w:tcPr>
          <w:p w14:paraId="303642B3" w14:textId="77777777" w:rsidR="00EA5815" w:rsidRPr="00BF0EEF" w:rsidRDefault="00EA5815" w:rsidP="001016AD">
            <w:r w:rsidRPr="00BF0EEF">
              <w:t>LVP is the first-line treatment of grade 3 ascites. After paracentesis, sodium restriction and diuretics should be started</w:t>
            </w:r>
          </w:p>
        </w:tc>
        <w:tc>
          <w:tcPr>
            <w:tcW w:w="1796" w:type="dxa"/>
            <w:noWrap/>
            <w:hideMark/>
          </w:tcPr>
          <w:p w14:paraId="2CA99137" w14:textId="77777777" w:rsidR="00EA5815" w:rsidRPr="00BF0EEF" w:rsidRDefault="00EA5815" w:rsidP="001016AD">
            <w:r w:rsidRPr="00BF0EEF">
              <w:t>Strong</w:t>
            </w:r>
          </w:p>
        </w:tc>
        <w:tc>
          <w:tcPr>
            <w:tcW w:w="1470" w:type="dxa"/>
            <w:noWrap/>
          </w:tcPr>
          <w:p w14:paraId="0034A9B3" w14:textId="77777777" w:rsidR="00EA5815" w:rsidRPr="00BF0EEF" w:rsidRDefault="00EA5815" w:rsidP="001016AD">
            <w:r w:rsidRPr="00BF0EEF">
              <w:t>Cochrane: ascites</w:t>
            </w:r>
          </w:p>
        </w:tc>
        <w:tc>
          <w:tcPr>
            <w:tcW w:w="1985" w:type="dxa"/>
            <w:shd w:val="clear" w:color="auto" w:fill="FF0000"/>
            <w:noWrap/>
            <w:hideMark/>
          </w:tcPr>
          <w:p w14:paraId="7F5EECC6" w14:textId="77777777" w:rsidR="00EA5815" w:rsidRPr="00BF0EEF" w:rsidRDefault="00EA5815" w:rsidP="001016AD">
            <w:r w:rsidRPr="00BF0EEF">
              <w:t>No</w:t>
            </w:r>
          </w:p>
        </w:tc>
        <w:tc>
          <w:tcPr>
            <w:tcW w:w="4677" w:type="dxa"/>
            <w:noWrap/>
            <w:hideMark/>
          </w:tcPr>
          <w:p w14:paraId="77AE6356"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this subgroup</w:t>
            </w:r>
          </w:p>
        </w:tc>
      </w:tr>
      <w:tr w:rsidR="00EA5815" w:rsidRPr="00BF0EEF" w14:paraId="6F7BDFF7" w14:textId="77777777" w:rsidTr="00EA5815">
        <w:trPr>
          <w:trHeight w:val="300"/>
        </w:trPr>
        <w:tc>
          <w:tcPr>
            <w:tcW w:w="1094" w:type="dxa"/>
            <w:noWrap/>
            <w:hideMark/>
          </w:tcPr>
          <w:p w14:paraId="5C93B7AE" w14:textId="77777777" w:rsidR="00EA5815" w:rsidRPr="00BF0EEF" w:rsidRDefault="00EA5815" w:rsidP="001016AD">
            <w:r w:rsidRPr="00BF0EEF">
              <w:t>AASLD 2021</w:t>
            </w:r>
          </w:p>
        </w:tc>
        <w:tc>
          <w:tcPr>
            <w:tcW w:w="4571" w:type="dxa"/>
            <w:noWrap/>
            <w:hideMark/>
          </w:tcPr>
          <w:p w14:paraId="29FA7C22" w14:textId="77777777" w:rsidR="00EA5815" w:rsidRPr="00BF0EEF" w:rsidRDefault="00EA5815" w:rsidP="001016AD">
            <w:r w:rsidRPr="00BF0EEF">
              <w:t>LVP is the first-line treatment for RA.</w:t>
            </w:r>
          </w:p>
        </w:tc>
        <w:tc>
          <w:tcPr>
            <w:tcW w:w="1796" w:type="dxa"/>
            <w:noWrap/>
            <w:hideMark/>
          </w:tcPr>
          <w:p w14:paraId="0978E9BD" w14:textId="77777777" w:rsidR="00EA5815" w:rsidRPr="00BF0EEF" w:rsidRDefault="00EA5815" w:rsidP="001016AD">
            <w:r w:rsidRPr="00BF0EEF">
              <w:t>Strong</w:t>
            </w:r>
          </w:p>
        </w:tc>
        <w:tc>
          <w:tcPr>
            <w:tcW w:w="1470" w:type="dxa"/>
            <w:noWrap/>
          </w:tcPr>
          <w:p w14:paraId="7EABB2C6" w14:textId="77777777" w:rsidR="00EA5815" w:rsidRPr="00BF0EEF" w:rsidRDefault="00EA5815" w:rsidP="001016AD">
            <w:r w:rsidRPr="00BF0EEF">
              <w:t>Cochrane: ascites</w:t>
            </w:r>
          </w:p>
        </w:tc>
        <w:tc>
          <w:tcPr>
            <w:tcW w:w="1985" w:type="dxa"/>
            <w:shd w:val="clear" w:color="auto" w:fill="FF0000"/>
            <w:noWrap/>
            <w:hideMark/>
          </w:tcPr>
          <w:p w14:paraId="1BF66233" w14:textId="77777777" w:rsidR="00EA5815" w:rsidRPr="00BF0EEF" w:rsidRDefault="00EA5815" w:rsidP="001016AD">
            <w:r w:rsidRPr="00BF0EEF">
              <w:t>No</w:t>
            </w:r>
          </w:p>
        </w:tc>
        <w:tc>
          <w:tcPr>
            <w:tcW w:w="4677" w:type="dxa"/>
            <w:noWrap/>
            <w:hideMark/>
          </w:tcPr>
          <w:p w14:paraId="5621F333" w14:textId="77777777" w:rsidR="00EA5815" w:rsidRPr="00BF0EEF" w:rsidRDefault="00EA5815" w:rsidP="001016AD">
            <w:r w:rsidRPr="00BF0EEF">
              <w:t xml:space="preserve">The Cochrane review also presents subgroup analysis of grade 3 ascites only and for refractory </w:t>
            </w:r>
            <w:r w:rsidRPr="00BF0EEF">
              <w:lastRenderedPageBreak/>
              <w:t>or recurrent ascites and there were no major changes in the conclusion for this subgroup</w:t>
            </w:r>
          </w:p>
        </w:tc>
      </w:tr>
      <w:tr w:rsidR="00EA5815" w:rsidRPr="00BF0EEF" w14:paraId="53C34618" w14:textId="77777777" w:rsidTr="00EA5815">
        <w:trPr>
          <w:trHeight w:val="300"/>
        </w:trPr>
        <w:tc>
          <w:tcPr>
            <w:tcW w:w="1094" w:type="dxa"/>
            <w:noWrap/>
            <w:hideMark/>
          </w:tcPr>
          <w:p w14:paraId="7E4BEAE8" w14:textId="77777777" w:rsidR="00EA5815" w:rsidRPr="00BF0EEF" w:rsidRDefault="00EA5815" w:rsidP="001016AD">
            <w:r w:rsidRPr="00BF0EEF">
              <w:lastRenderedPageBreak/>
              <w:t>BSG 2019</w:t>
            </w:r>
          </w:p>
        </w:tc>
        <w:tc>
          <w:tcPr>
            <w:tcW w:w="4571" w:type="dxa"/>
            <w:noWrap/>
            <w:hideMark/>
          </w:tcPr>
          <w:p w14:paraId="417FC0F0" w14:textId="77777777" w:rsidR="00EA5815" w:rsidRPr="00BF0EEF" w:rsidRDefault="00EA5815" w:rsidP="001016AD">
            <w:r w:rsidRPr="00BF0EEF">
              <w:t>In selected patients with refractory or recurrent ascites, we recommend insertion of TIPSS provided there are no contraindications to the procedure (strong recommendation, high quality evidence)</w:t>
            </w:r>
          </w:p>
        </w:tc>
        <w:tc>
          <w:tcPr>
            <w:tcW w:w="1796" w:type="dxa"/>
            <w:noWrap/>
            <w:hideMark/>
          </w:tcPr>
          <w:p w14:paraId="5D199E5D" w14:textId="77777777" w:rsidR="00EA5815" w:rsidRPr="00BF0EEF" w:rsidRDefault="00EA5815" w:rsidP="001016AD">
            <w:r w:rsidRPr="00BF0EEF">
              <w:t>Strong</w:t>
            </w:r>
          </w:p>
        </w:tc>
        <w:tc>
          <w:tcPr>
            <w:tcW w:w="1470" w:type="dxa"/>
            <w:noWrap/>
          </w:tcPr>
          <w:p w14:paraId="3ADD3432" w14:textId="77777777" w:rsidR="00EA5815" w:rsidRPr="00BF0EEF" w:rsidRDefault="00EA5815" w:rsidP="001016AD">
            <w:r w:rsidRPr="00BF0EEF">
              <w:t>Cochrane: ascites</w:t>
            </w:r>
          </w:p>
        </w:tc>
        <w:tc>
          <w:tcPr>
            <w:tcW w:w="1985" w:type="dxa"/>
            <w:shd w:val="clear" w:color="auto" w:fill="FF0000"/>
            <w:noWrap/>
            <w:hideMark/>
          </w:tcPr>
          <w:p w14:paraId="532836E8" w14:textId="77777777" w:rsidR="00EA5815" w:rsidRPr="00BF0EEF" w:rsidRDefault="00EA5815" w:rsidP="001016AD">
            <w:r w:rsidRPr="00BF0EEF">
              <w:t>No</w:t>
            </w:r>
          </w:p>
        </w:tc>
        <w:tc>
          <w:tcPr>
            <w:tcW w:w="4677" w:type="dxa"/>
            <w:noWrap/>
            <w:hideMark/>
          </w:tcPr>
          <w:p w14:paraId="48CF4CD4"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the different subgroups. There is nothing to suggest that TIPSS is beneficial in people who are not at high risk with more advanced disease</w:t>
            </w:r>
          </w:p>
        </w:tc>
      </w:tr>
      <w:tr w:rsidR="00EA5815" w:rsidRPr="00BF0EEF" w14:paraId="73CCE8D5" w14:textId="77777777" w:rsidTr="00EA5815">
        <w:trPr>
          <w:trHeight w:val="300"/>
        </w:trPr>
        <w:tc>
          <w:tcPr>
            <w:tcW w:w="1094" w:type="dxa"/>
            <w:noWrap/>
            <w:hideMark/>
          </w:tcPr>
          <w:p w14:paraId="0564E1D6" w14:textId="77777777" w:rsidR="00EA5815" w:rsidRPr="00BF0EEF" w:rsidRDefault="00EA5815" w:rsidP="001016AD">
            <w:r w:rsidRPr="00BF0EEF">
              <w:t>BSG 2020</w:t>
            </w:r>
          </w:p>
        </w:tc>
        <w:tc>
          <w:tcPr>
            <w:tcW w:w="4571" w:type="dxa"/>
            <w:noWrap/>
            <w:hideMark/>
          </w:tcPr>
          <w:p w14:paraId="0A387D6D" w14:textId="77777777" w:rsidR="00EA5815" w:rsidRPr="00BF0EEF" w:rsidRDefault="00EA5815" w:rsidP="001016AD">
            <w:r w:rsidRPr="00BF0EEF">
              <w:t xml:space="preserve">In patients with the first presentation of moderate ascites, spironolactone monotherapy (starting dose 100 mg, increased to 400 mg) is reasonable. In those with recurrent severe ascites, and if faster diuresis is needed (for example, if the patient is hospitalised), combination therapy with spironolactone </w:t>
            </w:r>
            <w:r w:rsidRPr="00BF0EEF">
              <w:lastRenderedPageBreak/>
              <w:t>(starting dose 100 mg, increased to 400 mg) and furosemide (starting dose 40 mg, increased to 160 mg) is recommended.</w:t>
            </w:r>
          </w:p>
        </w:tc>
        <w:tc>
          <w:tcPr>
            <w:tcW w:w="1796" w:type="dxa"/>
            <w:noWrap/>
            <w:hideMark/>
          </w:tcPr>
          <w:p w14:paraId="3430784B" w14:textId="77777777" w:rsidR="00EA5815" w:rsidRPr="00BF0EEF" w:rsidRDefault="00EA5815" w:rsidP="001016AD">
            <w:r w:rsidRPr="00BF0EEF">
              <w:lastRenderedPageBreak/>
              <w:t>Strong</w:t>
            </w:r>
          </w:p>
        </w:tc>
        <w:tc>
          <w:tcPr>
            <w:tcW w:w="1470" w:type="dxa"/>
            <w:noWrap/>
          </w:tcPr>
          <w:p w14:paraId="4283A9D7" w14:textId="77777777" w:rsidR="00EA5815" w:rsidRPr="00BF0EEF" w:rsidRDefault="00EA5815" w:rsidP="001016AD">
            <w:r w:rsidRPr="00BF0EEF">
              <w:t>Cochrane: ascites</w:t>
            </w:r>
          </w:p>
        </w:tc>
        <w:tc>
          <w:tcPr>
            <w:tcW w:w="1985" w:type="dxa"/>
            <w:shd w:val="clear" w:color="auto" w:fill="FF0000"/>
            <w:noWrap/>
            <w:hideMark/>
          </w:tcPr>
          <w:p w14:paraId="501779B7" w14:textId="77777777" w:rsidR="00EA5815" w:rsidRPr="00BF0EEF" w:rsidRDefault="00EA5815" w:rsidP="001016AD">
            <w:r w:rsidRPr="00BF0EEF">
              <w:t>No</w:t>
            </w:r>
          </w:p>
        </w:tc>
        <w:tc>
          <w:tcPr>
            <w:tcW w:w="4677" w:type="dxa"/>
            <w:noWrap/>
            <w:hideMark/>
          </w:tcPr>
          <w:p w14:paraId="2FA54ECD"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the different subgroups</w:t>
            </w:r>
          </w:p>
        </w:tc>
      </w:tr>
      <w:tr w:rsidR="00EA5815" w:rsidRPr="00BF0EEF" w14:paraId="518A533A" w14:textId="77777777" w:rsidTr="00EA5815">
        <w:trPr>
          <w:trHeight w:val="300"/>
        </w:trPr>
        <w:tc>
          <w:tcPr>
            <w:tcW w:w="1094" w:type="dxa"/>
            <w:noWrap/>
            <w:hideMark/>
          </w:tcPr>
          <w:p w14:paraId="170D35D5" w14:textId="77777777" w:rsidR="00EA5815" w:rsidRPr="00BF0EEF" w:rsidRDefault="00EA5815" w:rsidP="001016AD">
            <w:r w:rsidRPr="00BF0EEF">
              <w:t>BSG 2020</w:t>
            </w:r>
          </w:p>
        </w:tc>
        <w:tc>
          <w:tcPr>
            <w:tcW w:w="4571" w:type="dxa"/>
            <w:noWrap/>
            <w:hideMark/>
          </w:tcPr>
          <w:p w14:paraId="70D6E8FE" w14:textId="77777777" w:rsidR="00EA5815" w:rsidRPr="00BF0EEF" w:rsidRDefault="00EA5815" w:rsidP="001016AD">
            <w:r w:rsidRPr="00BF0EEF">
              <w:t>TIPSS should be considered in patients with refractory ascites.</w:t>
            </w:r>
          </w:p>
        </w:tc>
        <w:tc>
          <w:tcPr>
            <w:tcW w:w="1796" w:type="dxa"/>
            <w:noWrap/>
            <w:hideMark/>
          </w:tcPr>
          <w:p w14:paraId="7FB55673" w14:textId="77777777" w:rsidR="00EA5815" w:rsidRPr="00BF0EEF" w:rsidRDefault="00EA5815" w:rsidP="001016AD">
            <w:r w:rsidRPr="00BF0EEF">
              <w:t>Strong</w:t>
            </w:r>
          </w:p>
        </w:tc>
        <w:tc>
          <w:tcPr>
            <w:tcW w:w="1470" w:type="dxa"/>
            <w:noWrap/>
          </w:tcPr>
          <w:p w14:paraId="6AC2757B" w14:textId="77777777" w:rsidR="00EA5815" w:rsidRPr="00BF0EEF" w:rsidRDefault="00EA5815" w:rsidP="001016AD">
            <w:r w:rsidRPr="00BF0EEF">
              <w:t>Cochrane: ascites</w:t>
            </w:r>
          </w:p>
        </w:tc>
        <w:tc>
          <w:tcPr>
            <w:tcW w:w="1985" w:type="dxa"/>
            <w:shd w:val="clear" w:color="auto" w:fill="FF0000"/>
            <w:noWrap/>
            <w:hideMark/>
          </w:tcPr>
          <w:p w14:paraId="4121EBB1" w14:textId="77777777" w:rsidR="00EA5815" w:rsidRPr="00BF0EEF" w:rsidRDefault="00EA5815" w:rsidP="001016AD">
            <w:r w:rsidRPr="00BF0EEF">
              <w:t>No</w:t>
            </w:r>
          </w:p>
        </w:tc>
        <w:tc>
          <w:tcPr>
            <w:tcW w:w="4677" w:type="dxa"/>
            <w:noWrap/>
            <w:hideMark/>
          </w:tcPr>
          <w:p w14:paraId="4D5BB061"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the different subgroups</w:t>
            </w:r>
          </w:p>
        </w:tc>
      </w:tr>
      <w:tr w:rsidR="00EA5815" w:rsidRPr="00BF0EEF" w14:paraId="7C51EDC8" w14:textId="77777777" w:rsidTr="00EA5815">
        <w:trPr>
          <w:trHeight w:val="300"/>
        </w:trPr>
        <w:tc>
          <w:tcPr>
            <w:tcW w:w="1094" w:type="dxa"/>
            <w:noWrap/>
            <w:hideMark/>
          </w:tcPr>
          <w:p w14:paraId="42A7B7AE" w14:textId="77777777" w:rsidR="00EA5815" w:rsidRPr="00BF0EEF" w:rsidRDefault="00EA5815" w:rsidP="001016AD">
            <w:r w:rsidRPr="00BF0EEF">
              <w:t>BSG 2020</w:t>
            </w:r>
          </w:p>
        </w:tc>
        <w:tc>
          <w:tcPr>
            <w:tcW w:w="4571" w:type="dxa"/>
            <w:noWrap/>
            <w:hideMark/>
          </w:tcPr>
          <w:p w14:paraId="373E5F5C" w14:textId="77777777" w:rsidR="00EA5815" w:rsidRPr="00BF0EEF" w:rsidRDefault="00EA5815" w:rsidP="001016AD">
            <w:r w:rsidRPr="00BF0EEF">
              <w:t>An automated low-flow ascites pump should be considered only in special circumstances with robust arrangements of clinical governance, audit or research.</w:t>
            </w:r>
          </w:p>
        </w:tc>
        <w:tc>
          <w:tcPr>
            <w:tcW w:w="1796" w:type="dxa"/>
            <w:noWrap/>
            <w:hideMark/>
          </w:tcPr>
          <w:p w14:paraId="6EDD1B65" w14:textId="77777777" w:rsidR="00EA5815" w:rsidRPr="00BF0EEF" w:rsidRDefault="00EA5815" w:rsidP="001016AD">
            <w:r w:rsidRPr="00BF0EEF">
              <w:t>Weak</w:t>
            </w:r>
          </w:p>
        </w:tc>
        <w:tc>
          <w:tcPr>
            <w:tcW w:w="1470" w:type="dxa"/>
            <w:noWrap/>
          </w:tcPr>
          <w:p w14:paraId="3370DCC4" w14:textId="77777777" w:rsidR="00EA5815" w:rsidRPr="00BF0EEF" w:rsidRDefault="00EA5815" w:rsidP="001016AD">
            <w:r w:rsidRPr="00BF0EEF">
              <w:t>Cochrane: ascites</w:t>
            </w:r>
          </w:p>
        </w:tc>
        <w:tc>
          <w:tcPr>
            <w:tcW w:w="1985" w:type="dxa"/>
            <w:shd w:val="clear" w:color="auto" w:fill="92D050"/>
            <w:noWrap/>
            <w:hideMark/>
          </w:tcPr>
          <w:p w14:paraId="0BD21469" w14:textId="77777777" w:rsidR="00EA5815" w:rsidRPr="00BF0EEF" w:rsidRDefault="00EA5815" w:rsidP="001016AD">
            <w:r w:rsidRPr="00BF0EEF">
              <w:t>Yes</w:t>
            </w:r>
          </w:p>
        </w:tc>
        <w:tc>
          <w:tcPr>
            <w:tcW w:w="4677" w:type="dxa"/>
            <w:noWrap/>
            <w:hideMark/>
          </w:tcPr>
          <w:p w14:paraId="1565C562" w14:textId="77777777" w:rsidR="00EA5815" w:rsidRPr="00BF0EEF" w:rsidRDefault="00EA5815" w:rsidP="001016AD">
            <w:r w:rsidRPr="00BF0EEF">
              <w:t xml:space="preserve">Although low-flow ascites fluid pump was covered in the systematic review, the randomised controlled trial on the topic was excluded because of multiple differences in the co-interventions; therefore, there was no comment on the pump in the Cochrane review. The guidance acknowledges the limited number of studies and indicates that this should be only </w:t>
            </w:r>
            <w:r w:rsidRPr="00BF0EEF">
              <w:lastRenderedPageBreak/>
              <w:t>used in the research setting or under close monitoring/audit; which matches with the conclusion of Cochrane review, although not explicitly stated.</w:t>
            </w:r>
          </w:p>
        </w:tc>
      </w:tr>
      <w:tr w:rsidR="00EA5815" w:rsidRPr="00BF0EEF" w14:paraId="0B43FEB1" w14:textId="77777777" w:rsidTr="00EA5815">
        <w:trPr>
          <w:trHeight w:val="300"/>
        </w:trPr>
        <w:tc>
          <w:tcPr>
            <w:tcW w:w="1094" w:type="dxa"/>
            <w:noWrap/>
            <w:hideMark/>
          </w:tcPr>
          <w:p w14:paraId="6E1BFFCC" w14:textId="77777777" w:rsidR="00EA5815" w:rsidRPr="00BF0EEF" w:rsidRDefault="00EA5815" w:rsidP="001016AD">
            <w:bookmarkStart w:id="3" w:name="_Hlk112208505"/>
            <w:r w:rsidRPr="00BF0EEF">
              <w:lastRenderedPageBreak/>
              <w:t>BSG 2020</w:t>
            </w:r>
          </w:p>
        </w:tc>
        <w:tc>
          <w:tcPr>
            <w:tcW w:w="4571" w:type="dxa"/>
            <w:noWrap/>
            <w:hideMark/>
          </w:tcPr>
          <w:p w14:paraId="433135E9" w14:textId="77777777" w:rsidR="00EA5815" w:rsidRPr="00BF0EEF" w:rsidRDefault="00EA5815" w:rsidP="001016AD">
            <w:r w:rsidRPr="00BF0EEF">
              <w:t>It may be appropriate to consider use of midodrine in refractory ascites on a case by case basis. (Quality of evidence: low; Recommendation: weak)</w:t>
            </w:r>
          </w:p>
        </w:tc>
        <w:tc>
          <w:tcPr>
            <w:tcW w:w="1796" w:type="dxa"/>
            <w:noWrap/>
            <w:hideMark/>
          </w:tcPr>
          <w:p w14:paraId="51EE0EC6" w14:textId="77777777" w:rsidR="00EA5815" w:rsidRPr="00BF0EEF" w:rsidRDefault="00EA5815" w:rsidP="001016AD">
            <w:r w:rsidRPr="00BF0EEF">
              <w:t>Weak</w:t>
            </w:r>
          </w:p>
        </w:tc>
        <w:tc>
          <w:tcPr>
            <w:tcW w:w="1470" w:type="dxa"/>
            <w:noWrap/>
          </w:tcPr>
          <w:p w14:paraId="34B9A7AF" w14:textId="77777777" w:rsidR="00EA5815" w:rsidRPr="00BF0EEF" w:rsidRDefault="00EA5815" w:rsidP="001016AD">
            <w:r w:rsidRPr="00BF0EEF">
              <w:t>Cochrane: ascites</w:t>
            </w:r>
          </w:p>
        </w:tc>
        <w:tc>
          <w:tcPr>
            <w:tcW w:w="1985" w:type="dxa"/>
            <w:shd w:val="clear" w:color="auto" w:fill="FF0000"/>
            <w:noWrap/>
            <w:hideMark/>
          </w:tcPr>
          <w:p w14:paraId="5162B1AD" w14:textId="77777777" w:rsidR="00EA5815" w:rsidRPr="00BF0EEF" w:rsidRDefault="00EA5815" w:rsidP="001016AD">
            <w:r w:rsidRPr="00BF0EEF">
              <w:t>No</w:t>
            </w:r>
          </w:p>
        </w:tc>
        <w:tc>
          <w:tcPr>
            <w:tcW w:w="4677" w:type="dxa"/>
            <w:noWrap/>
            <w:hideMark/>
          </w:tcPr>
          <w:p w14:paraId="5247102A" w14:textId="77777777" w:rsidR="00EA5815" w:rsidRPr="00BF0EEF" w:rsidRDefault="00EA5815" w:rsidP="001016AD">
            <w:r w:rsidRPr="00BF0EEF">
              <w:t>The evidence related to midodrine was assessed in Cochrane and there is no evidence to support this recommendation</w:t>
            </w:r>
          </w:p>
        </w:tc>
      </w:tr>
      <w:bookmarkEnd w:id="3"/>
      <w:tr w:rsidR="00EA5815" w:rsidRPr="00BF0EEF" w14:paraId="42C2F682" w14:textId="77777777" w:rsidTr="00EA5815">
        <w:trPr>
          <w:trHeight w:val="300"/>
        </w:trPr>
        <w:tc>
          <w:tcPr>
            <w:tcW w:w="1094" w:type="dxa"/>
            <w:noWrap/>
            <w:hideMark/>
          </w:tcPr>
          <w:p w14:paraId="4A8E8133" w14:textId="77777777" w:rsidR="00EA5815" w:rsidRPr="00BF0EEF" w:rsidRDefault="00EA5815" w:rsidP="001016AD">
            <w:r w:rsidRPr="00BF0EEF">
              <w:t>BSG 2020</w:t>
            </w:r>
          </w:p>
        </w:tc>
        <w:tc>
          <w:tcPr>
            <w:tcW w:w="4571" w:type="dxa"/>
            <w:noWrap/>
            <w:hideMark/>
          </w:tcPr>
          <w:p w14:paraId="57FF6482" w14:textId="77777777" w:rsidR="00EA5815" w:rsidRPr="00BF0EEF" w:rsidRDefault="00EA5815" w:rsidP="001016AD">
            <w:r w:rsidRPr="00BF0EEF">
              <w:t xml:space="preserve">Large volume paracentesis (LVP) is the standard of care for managing large volume ascites both in conjunction with diuresis to relieve symptoms of a tense abdomen, as well as in the management of refractory ascites, when diuretics become ineffective or the side </w:t>
            </w:r>
            <w:r>
              <w:t xml:space="preserve"> </w:t>
            </w:r>
            <w:r w:rsidRPr="00BF0EEF">
              <w:t xml:space="preserve">effects </w:t>
            </w:r>
            <w:r>
              <w:t xml:space="preserve">(i.e. harms) </w:t>
            </w:r>
            <w:r w:rsidRPr="00BF0EEF">
              <w:t>preclude their continued use.</w:t>
            </w:r>
          </w:p>
        </w:tc>
        <w:tc>
          <w:tcPr>
            <w:tcW w:w="1796" w:type="dxa"/>
            <w:noWrap/>
            <w:hideMark/>
          </w:tcPr>
          <w:p w14:paraId="7BBFA70A" w14:textId="77777777" w:rsidR="00EA5815" w:rsidRPr="00BF0EEF" w:rsidRDefault="00EA5815" w:rsidP="001016AD">
            <w:r w:rsidRPr="00BF0EEF">
              <w:t>Strong</w:t>
            </w:r>
          </w:p>
        </w:tc>
        <w:tc>
          <w:tcPr>
            <w:tcW w:w="1470" w:type="dxa"/>
            <w:noWrap/>
          </w:tcPr>
          <w:p w14:paraId="02782658" w14:textId="77777777" w:rsidR="00EA5815" w:rsidRPr="00BF0EEF" w:rsidRDefault="00EA5815" w:rsidP="001016AD">
            <w:r w:rsidRPr="00BF0EEF">
              <w:t>Cochrane: ascites</w:t>
            </w:r>
          </w:p>
        </w:tc>
        <w:tc>
          <w:tcPr>
            <w:tcW w:w="1985" w:type="dxa"/>
            <w:shd w:val="clear" w:color="auto" w:fill="FF0000"/>
            <w:noWrap/>
            <w:hideMark/>
          </w:tcPr>
          <w:p w14:paraId="5663AD3F" w14:textId="77777777" w:rsidR="00EA5815" w:rsidRPr="00BF0EEF" w:rsidRDefault="00EA5815" w:rsidP="001016AD">
            <w:r w:rsidRPr="00BF0EEF">
              <w:t>No</w:t>
            </w:r>
          </w:p>
        </w:tc>
        <w:tc>
          <w:tcPr>
            <w:tcW w:w="4677" w:type="dxa"/>
            <w:noWrap/>
            <w:hideMark/>
          </w:tcPr>
          <w:p w14:paraId="48FA3B55" w14:textId="77777777" w:rsidR="00EA5815" w:rsidRPr="00BF0EEF" w:rsidRDefault="00EA5815" w:rsidP="001016AD">
            <w:r w:rsidRPr="00BF0EEF">
              <w:t xml:space="preserve">Note that a specific recommendation statement for LVP </w:t>
            </w:r>
            <w:r>
              <w:t xml:space="preserve">was </w:t>
            </w:r>
            <w:r w:rsidRPr="00BF0EEF">
              <w:t>not given</w:t>
            </w:r>
            <w:r>
              <w:t xml:space="preserve"> in this statement</w:t>
            </w:r>
            <w:r w:rsidRPr="00BF0EEF">
              <w:t xml:space="preserve">, however </w:t>
            </w:r>
            <w:r>
              <w:t xml:space="preserve">this was </w:t>
            </w:r>
            <w:r w:rsidRPr="00BF0EEF">
              <w:t xml:space="preserve">inferred from the statements on albumin infusion and palliative care. Also </w:t>
            </w:r>
            <w:r>
              <w:t xml:space="preserve">LVP was </w:t>
            </w:r>
            <w:r w:rsidRPr="00BF0EEF">
              <w:t>clearly described as the standard of care in the main guidelines text so included here</w:t>
            </w:r>
          </w:p>
        </w:tc>
      </w:tr>
      <w:tr w:rsidR="00EA5815" w:rsidRPr="00BF0EEF" w14:paraId="51454E1C" w14:textId="77777777" w:rsidTr="00EA5815">
        <w:trPr>
          <w:trHeight w:val="300"/>
        </w:trPr>
        <w:tc>
          <w:tcPr>
            <w:tcW w:w="1094" w:type="dxa"/>
            <w:noWrap/>
            <w:hideMark/>
          </w:tcPr>
          <w:p w14:paraId="4C77AFC5" w14:textId="77777777" w:rsidR="00EA5815" w:rsidRPr="00BF0EEF" w:rsidRDefault="00EA5815" w:rsidP="001016AD">
            <w:r w:rsidRPr="00BF0EEF">
              <w:lastRenderedPageBreak/>
              <w:t>EASL 2018</w:t>
            </w:r>
          </w:p>
        </w:tc>
        <w:tc>
          <w:tcPr>
            <w:tcW w:w="4571" w:type="dxa"/>
            <w:noWrap/>
            <w:hideMark/>
          </w:tcPr>
          <w:p w14:paraId="269EEA8A" w14:textId="77777777" w:rsidR="00EA5815" w:rsidRPr="00BF0EEF" w:rsidRDefault="00EA5815" w:rsidP="001016AD">
            <w:r w:rsidRPr="00BF0EEF">
              <w:t>Patients with the first episode of grade 2 (moderate) ascites should receive an anti-mineralocorticoid drug alone, starting at 100 mg/day with stepwise increases every 72 h (in 100 mg steps) to a maximum of 400 mg/day if there is no response to lower doses (I;1).</w:t>
            </w:r>
          </w:p>
        </w:tc>
        <w:tc>
          <w:tcPr>
            <w:tcW w:w="1796" w:type="dxa"/>
            <w:noWrap/>
            <w:hideMark/>
          </w:tcPr>
          <w:p w14:paraId="39987F08" w14:textId="77777777" w:rsidR="00EA5815" w:rsidRPr="00BF0EEF" w:rsidRDefault="00EA5815" w:rsidP="001016AD">
            <w:r w:rsidRPr="00BF0EEF">
              <w:t>Strong</w:t>
            </w:r>
          </w:p>
        </w:tc>
        <w:tc>
          <w:tcPr>
            <w:tcW w:w="1470" w:type="dxa"/>
            <w:noWrap/>
          </w:tcPr>
          <w:p w14:paraId="2A4E3A03" w14:textId="77777777" w:rsidR="00EA5815" w:rsidRPr="00BF0EEF" w:rsidRDefault="00EA5815" w:rsidP="001016AD">
            <w:r w:rsidRPr="00BF0EEF">
              <w:t>Cochrane: ascites</w:t>
            </w:r>
          </w:p>
        </w:tc>
        <w:tc>
          <w:tcPr>
            <w:tcW w:w="1985" w:type="dxa"/>
            <w:shd w:val="clear" w:color="auto" w:fill="FF0000"/>
            <w:noWrap/>
            <w:hideMark/>
          </w:tcPr>
          <w:p w14:paraId="16145258" w14:textId="77777777" w:rsidR="00EA5815" w:rsidRPr="00BF0EEF" w:rsidRDefault="00EA5815" w:rsidP="001016AD">
            <w:r w:rsidRPr="00BF0EEF">
              <w:t>No</w:t>
            </w:r>
          </w:p>
        </w:tc>
        <w:tc>
          <w:tcPr>
            <w:tcW w:w="4677" w:type="dxa"/>
            <w:noWrap/>
            <w:hideMark/>
          </w:tcPr>
          <w:p w14:paraId="24A7B7DD"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this subgroup</w:t>
            </w:r>
          </w:p>
        </w:tc>
      </w:tr>
      <w:tr w:rsidR="00EA5815" w:rsidRPr="00BF0EEF" w14:paraId="518AA663" w14:textId="77777777" w:rsidTr="00EA5815">
        <w:trPr>
          <w:trHeight w:val="300"/>
        </w:trPr>
        <w:tc>
          <w:tcPr>
            <w:tcW w:w="1094" w:type="dxa"/>
            <w:noWrap/>
            <w:hideMark/>
          </w:tcPr>
          <w:p w14:paraId="6AD2642E" w14:textId="77777777" w:rsidR="00EA5815" w:rsidRPr="00BF0EEF" w:rsidRDefault="00EA5815" w:rsidP="001016AD">
            <w:r w:rsidRPr="00BF0EEF">
              <w:t>EASL 2018</w:t>
            </w:r>
          </w:p>
        </w:tc>
        <w:tc>
          <w:tcPr>
            <w:tcW w:w="4571" w:type="dxa"/>
            <w:noWrap/>
            <w:hideMark/>
          </w:tcPr>
          <w:p w14:paraId="245A3B03" w14:textId="77777777" w:rsidR="00EA5815" w:rsidRPr="00BF0EEF" w:rsidRDefault="00EA5815" w:rsidP="001016AD">
            <w:r w:rsidRPr="00BF0EEF">
              <w:t>In patients who do not respond to anti-mineralocorticoids, as defined by a body weight reduction of less than 2 kg/week, or in patients who develop hyperkalemia, furosemide should be added at an increasing stepwise dose from 40 mg/day to a maximum of 160 mg/day (in 40 mg steps) (I;1).</w:t>
            </w:r>
          </w:p>
        </w:tc>
        <w:tc>
          <w:tcPr>
            <w:tcW w:w="1796" w:type="dxa"/>
            <w:noWrap/>
            <w:hideMark/>
          </w:tcPr>
          <w:p w14:paraId="3496B722" w14:textId="77777777" w:rsidR="00EA5815" w:rsidRPr="00BF0EEF" w:rsidRDefault="00EA5815" w:rsidP="001016AD">
            <w:r w:rsidRPr="00BF0EEF">
              <w:t>Strong</w:t>
            </w:r>
          </w:p>
        </w:tc>
        <w:tc>
          <w:tcPr>
            <w:tcW w:w="1470" w:type="dxa"/>
            <w:noWrap/>
          </w:tcPr>
          <w:p w14:paraId="14FC736A" w14:textId="77777777" w:rsidR="00EA5815" w:rsidRPr="00BF0EEF" w:rsidRDefault="00EA5815" w:rsidP="001016AD">
            <w:r w:rsidRPr="00BF0EEF">
              <w:t>Cochrane: ascites</w:t>
            </w:r>
          </w:p>
        </w:tc>
        <w:tc>
          <w:tcPr>
            <w:tcW w:w="1985" w:type="dxa"/>
            <w:shd w:val="clear" w:color="auto" w:fill="FF0000"/>
            <w:noWrap/>
            <w:hideMark/>
          </w:tcPr>
          <w:p w14:paraId="33E457BD" w14:textId="77777777" w:rsidR="00EA5815" w:rsidRPr="00BF0EEF" w:rsidRDefault="00EA5815" w:rsidP="001016AD">
            <w:r w:rsidRPr="00BF0EEF">
              <w:t>No</w:t>
            </w:r>
          </w:p>
        </w:tc>
        <w:tc>
          <w:tcPr>
            <w:tcW w:w="4677" w:type="dxa"/>
            <w:noWrap/>
            <w:hideMark/>
          </w:tcPr>
          <w:p w14:paraId="5A06CA45"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this subgroup</w:t>
            </w:r>
          </w:p>
        </w:tc>
      </w:tr>
      <w:tr w:rsidR="00EA5815" w:rsidRPr="00BF0EEF" w14:paraId="13D5DC56" w14:textId="77777777" w:rsidTr="00EA5815">
        <w:trPr>
          <w:trHeight w:val="300"/>
        </w:trPr>
        <w:tc>
          <w:tcPr>
            <w:tcW w:w="1094" w:type="dxa"/>
            <w:noWrap/>
            <w:hideMark/>
          </w:tcPr>
          <w:p w14:paraId="4F1DFE54" w14:textId="77777777" w:rsidR="00EA5815" w:rsidRPr="00BF0EEF" w:rsidRDefault="00EA5815" w:rsidP="001016AD">
            <w:r w:rsidRPr="00BF0EEF">
              <w:t>EASL 2018</w:t>
            </w:r>
          </w:p>
        </w:tc>
        <w:tc>
          <w:tcPr>
            <w:tcW w:w="4571" w:type="dxa"/>
            <w:noWrap/>
            <w:hideMark/>
          </w:tcPr>
          <w:p w14:paraId="4CB2B89A" w14:textId="77777777" w:rsidR="00EA5815" w:rsidRPr="00BF0EEF" w:rsidRDefault="00EA5815" w:rsidP="001016AD">
            <w:r w:rsidRPr="00BF0EEF">
              <w:t xml:space="preserve">Patients with long-standing or recurrent ascites should be treated with a combination of an anti-mineralocorticoid drug and furosemide, the </w:t>
            </w:r>
            <w:r w:rsidRPr="00BF0EEF">
              <w:lastRenderedPageBreak/>
              <w:t>dose of which should be increased sequentially according to the response, as explained (I;1).</w:t>
            </w:r>
          </w:p>
        </w:tc>
        <w:tc>
          <w:tcPr>
            <w:tcW w:w="1796" w:type="dxa"/>
            <w:noWrap/>
            <w:hideMark/>
          </w:tcPr>
          <w:p w14:paraId="7F60CED9" w14:textId="77777777" w:rsidR="00EA5815" w:rsidRPr="00BF0EEF" w:rsidRDefault="00EA5815" w:rsidP="001016AD">
            <w:r w:rsidRPr="00BF0EEF">
              <w:lastRenderedPageBreak/>
              <w:t>Strong</w:t>
            </w:r>
          </w:p>
        </w:tc>
        <w:tc>
          <w:tcPr>
            <w:tcW w:w="1470" w:type="dxa"/>
            <w:noWrap/>
          </w:tcPr>
          <w:p w14:paraId="3FEC520B" w14:textId="77777777" w:rsidR="00EA5815" w:rsidRPr="00BF0EEF" w:rsidRDefault="00EA5815" w:rsidP="001016AD">
            <w:r w:rsidRPr="00BF0EEF">
              <w:t>Cochrane: ascites</w:t>
            </w:r>
          </w:p>
        </w:tc>
        <w:tc>
          <w:tcPr>
            <w:tcW w:w="1985" w:type="dxa"/>
            <w:shd w:val="clear" w:color="auto" w:fill="FF0000"/>
            <w:noWrap/>
            <w:hideMark/>
          </w:tcPr>
          <w:p w14:paraId="68144989" w14:textId="77777777" w:rsidR="00EA5815" w:rsidRPr="00BF0EEF" w:rsidRDefault="00EA5815" w:rsidP="001016AD">
            <w:r w:rsidRPr="00BF0EEF">
              <w:t>No</w:t>
            </w:r>
          </w:p>
        </w:tc>
        <w:tc>
          <w:tcPr>
            <w:tcW w:w="4677" w:type="dxa"/>
            <w:noWrap/>
            <w:hideMark/>
          </w:tcPr>
          <w:p w14:paraId="6D55E8EE" w14:textId="77777777" w:rsidR="00EA5815" w:rsidRPr="00BF0EEF" w:rsidRDefault="00EA5815" w:rsidP="001016AD">
            <w:r w:rsidRPr="00BF0EEF">
              <w:t xml:space="preserve">The Cochrane review also presents subgroup analysis of grade 3 ascites only and for refractory </w:t>
            </w:r>
            <w:r w:rsidRPr="00BF0EEF">
              <w:lastRenderedPageBreak/>
              <w:t>or recurrent ascites and there were no major changes in the conclusion for this subgroup</w:t>
            </w:r>
          </w:p>
        </w:tc>
      </w:tr>
      <w:tr w:rsidR="00EA5815" w:rsidRPr="00BF0EEF" w14:paraId="06C1D435" w14:textId="77777777" w:rsidTr="00EA5815">
        <w:trPr>
          <w:trHeight w:val="300"/>
        </w:trPr>
        <w:tc>
          <w:tcPr>
            <w:tcW w:w="1094" w:type="dxa"/>
            <w:noWrap/>
            <w:hideMark/>
          </w:tcPr>
          <w:p w14:paraId="0E729C0C" w14:textId="77777777" w:rsidR="00EA5815" w:rsidRPr="00BF0EEF" w:rsidRDefault="00EA5815" w:rsidP="001016AD">
            <w:r w:rsidRPr="00BF0EEF">
              <w:lastRenderedPageBreak/>
              <w:t>EASL 2018</w:t>
            </w:r>
          </w:p>
        </w:tc>
        <w:tc>
          <w:tcPr>
            <w:tcW w:w="4571" w:type="dxa"/>
            <w:noWrap/>
            <w:hideMark/>
          </w:tcPr>
          <w:p w14:paraId="5DD932CD" w14:textId="77777777" w:rsidR="00EA5815" w:rsidRPr="00BF0EEF" w:rsidRDefault="00EA5815" w:rsidP="001016AD">
            <w:r w:rsidRPr="00BF0EEF">
              <w:t>After LVP, patients should receive the minimum dose of diuretics necessary to prevent re-accumulation of ascites (I;1).</w:t>
            </w:r>
          </w:p>
        </w:tc>
        <w:tc>
          <w:tcPr>
            <w:tcW w:w="1796" w:type="dxa"/>
            <w:noWrap/>
            <w:hideMark/>
          </w:tcPr>
          <w:p w14:paraId="707ED662" w14:textId="77777777" w:rsidR="00EA5815" w:rsidRPr="00BF0EEF" w:rsidRDefault="00EA5815" w:rsidP="001016AD">
            <w:r w:rsidRPr="00BF0EEF">
              <w:t>Strong</w:t>
            </w:r>
          </w:p>
        </w:tc>
        <w:tc>
          <w:tcPr>
            <w:tcW w:w="1470" w:type="dxa"/>
            <w:noWrap/>
          </w:tcPr>
          <w:p w14:paraId="4CF36DBA" w14:textId="77777777" w:rsidR="00EA5815" w:rsidRPr="00BF0EEF" w:rsidRDefault="00EA5815" w:rsidP="001016AD">
            <w:r w:rsidRPr="00BF0EEF">
              <w:t>Cochrane: ascites</w:t>
            </w:r>
          </w:p>
        </w:tc>
        <w:tc>
          <w:tcPr>
            <w:tcW w:w="1985" w:type="dxa"/>
            <w:shd w:val="clear" w:color="auto" w:fill="FF0000"/>
            <w:noWrap/>
            <w:hideMark/>
          </w:tcPr>
          <w:p w14:paraId="31C569CA" w14:textId="77777777" w:rsidR="00EA5815" w:rsidRPr="00BF0EEF" w:rsidRDefault="00EA5815" w:rsidP="001016AD">
            <w:r w:rsidRPr="00BF0EEF">
              <w:t>No</w:t>
            </w:r>
          </w:p>
        </w:tc>
        <w:tc>
          <w:tcPr>
            <w:tcW w:w="4677" w:type="dxa"/>
            <w:noWrap/>
            <w:hideMark/>
          </w:tcPr>
          <w:p w14:paraId="7D782F77"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this subgroup</w:t>
            </w:r>
          </w:p>
        </w:tc>
      </w:tr>
      <w:tr w:rsidR="00EA5815" w:rsidRPr="00BF0EEF" w14:paraId="0D9EDE6E" w14:textId="77777777" w:rsidTr="00EA5815">
        <w:trPr>
          <w:trHeight w:val="300"/>
        </w:trPr>
        <w:tc>
          <w:tcPr>
            <w:tcW w:w="1094" w:type="dxa"/>
            <w:noWrap/>
            <w:hideMark/>
          </w:tcPr>
          <w:p w14:paraId="54F69EFD" w14:textId="77777777" w:rsidR="00EA5815" w:rsidRPr="00BF0EEF" w:rsidRDefault="00EA5815" w:rsidP="001016AD">
            <w:r w:rsidRPr="00BF0EEF">
              <w:t>EASL 2018</w:t>
            </w:r>
          </w:p>
        </w:tc>
        <w:tc>
          <w:tcPr>
            <w:tcW w:w="4571" w:type="dxa"/>
            <w:noWrap/>
            <w:hideMark/>
          </w:tcPr>
          <w:p w14:paraId="143E306C" w14:textId="77777777" w:rsidR="00EA5815" w:rsidRPr="00BF0EEF" w:rsidRDefault="00EA5815" w:rsidP="001016AD">
            <w:r w:rsidRPr="00BF0EEF">
              <w:t>Repeated LVP plus albumin (8 g/L of ascites removed) are recommended as first line treatment for refractory ascites (I;1).</w:t>
            </w:r>
          </w:p>
        </w:tc>
        <w:tc>
          <w:tcPr>
            <w:tcW w:w="1796" w:type="dxa"/>
            <w:noWrap/>
            <w:hideMark/>
          </w:tcPr>
          <w:p w14:paraId="30D450EA" w14:textId="77777777" w:rsidR="00EA5815" w:rsidRPr="00BF0EEF" w:rsidRDefault="00EA5815" w:rsidP="001016AD">
            <w:r w:rsidRPr="00BF0EEF">
              <w:t>Strong</w:t>
            </w:r>
          </w:p>
        </w:tc>
        <w:tc>
          <w:tcPr>
            <w:tcW w:w="1470" w:type="dxa"/>
            <w:noWrap/>
          </w:tcPr>
          <w:p w14:paraId="5C30E4E4" w14:textId="77777777" w:rsidR="00EA5815" w:rsidRPr="00BF0EEF" w:rsidRDefault="00EA5815" w:rsidP="001016AD">
            <w:r w:rsidRPr="00BF0EEF">
              <w:t>Cochrane: ascites</w:t>
            </w:r>
          </w:p>
        </w:tc>
        <w:tc>
          <w:tcPr>
            <w:tcW w:w="1985" w:type="dxa"/>
            <w:shd w:val="clear" w:color="auto" w:fill="FF0000"/>
            <w:noWrap/>
            <w:hideMark/>
          </w:tcPr>
          <w:p w14:paraId="5AC9EE65" w14:textId="77777777" w:rsidR="00EA5815" w:rsidRPr="00BF0EEF" w:rsidRDefault="00EA5815" w:rsidP="001016AD">
            <w:r w:rsidRPr="00BF0EEF">
              <w:t>No</w:t>
            </w:r>
          </w:p>
        </w:tc>
        <w:tc>
          <w:tcPr>
            <w:tcW w:w="4677" w:type="dxa"/>
            <w:noWrap/>
            <w:hideMark/>
          </w:tcPr>
          <w:p w14:paraId="0FCB844B"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this subgroup</w:t>
            </w:r>
          </w:p>
        </w:tc>
      </w:tr>
      <w:tr w:rsidR="00EA5815" w:rsidRPr="00BF0EEF" w14:paraId="5CE94A0A" w14:textId="77777777" w:rsidTr="00EA5815">
        <w:trPr>
          <w:trHeight w:val="300"/>
        </w:trPr>
        <w:tc>
          <w:tcPr>
            <w:tcW w:w="1094" w:type="dxa"/>
            <w:noWrap/>
            <w:hideMark/>
          </w:tcPr>
          <w:p w14:paraId="22C7E9BF" w14:textId="77777777" w:rsidR="00EA5815" w:rsidRPr="00BF0EEF" w:rsidRDefault="00EA5815" w:rsidP="001016AD">
            <w:r w:rsidRPr="00BF0EEF">
              <w:t>EASL 2018</w:t>
            </w:r>
          </w:p>
        </w:tc>
        <w:tc>
          <w:tcPr>
            <w:tcW w:w="4571" w:type="dxa"/>
            <w:noWrap/>
            <w:hideMark/>
          </w:tcPr>
          <w:p w14:paraId="6A5EF84F" w14:textId="77777777" w:rsidR="00EA5815" w:rsidRPr="00BF0EEF" w:rsidRDefault="00EA5815" w:rsidP="001016AD">
            <w:r w:rsidRPr="00BF0EEF">
              <w:t>Patients with refractory or recurrent ascites (I;1), or those for whom paracentesis is ineffective (e.g. due to the presence of loculated ascites) should be evaluated for TIPS insertion (III;1).</w:t>
            </w:r>
          </w:p>
        </w:tc>
        <w:tc>
          <w:tcPr>
            <w:tcW w:w="1796" w:type="dxa"/>
            <w:noWrap/>
            <w:hideMark/>
          </w:tcPr>
          <w:p w14:paraId="5868EA2E" w14:textId="77777777" w:rsidR="00EA5815" w:rsidRPr="00BF0EEF" w:rsidRDefault="00EA5815" w:rsidP="001016AD">
            <w:r w:rsidRPr="00BF0EEF">
              <w:t>Strong</w:t>
            </w:r>
          </w:p>
        </w:tc>
        <w:tc>
          <w:tcPr>
            <w:tcW w:w="1470" w:type="dxa"/>
            <w:noWrap/>
          </w:tcPr>
          <w:p w14:paraId="4BECCDBD" w14:textId="77777777" w:rsidR="00EA5815" w:rsidRPr="00BF0EEF" w:rsidRDefault="00EA5815" w:rsidP="001016AD">
            <w:r w:rsidRPr="00BF0EEF">
              <w:t>Cochrane: ascites</w:t>
            </w:r>
          </w:p>
        </w:tc>
        <w:tc>
          <w:tcPr>
            <w:tcW w:w="1985" w:type="dxa"/>
            <w:shd w:val="clear" w:color="auto" w:fill="FF0000"/>
            <w:noWrap/>
            <w:hideMark/>
          </w:tcPr>
          <w:p w14:paraId="569D9C22" w14:textId="77777777" w:rsidR="00EA5815" w:rsidRPr="00BF0EEF" w:rsidRDefault="00EA5815" w:rsidP="001016AD">
            <w:r w:rsidRPr="00BF0EEF">
              <w:t>No</w:t>
            </w:r>
          </w:p>
        </w:tc>
        <w:tc>
          <w:tcPr>
            <w:tcW w:w="4677" w:type="dxa"/>
            <w:noWrap/>
            <w:hideMark/>
          </w:tcPr>
          <w:p w14:paraId="777BA156"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this subgroup</w:t>
            </w:r>
          </w:p>
        </w:tc>
      </w:tr>
      <w:tr w:rsidR="00EA5815" w:rsidRPr="00BF0EEF" w14:paraId="4C5DB595" w14:textId="77777777" w:rsidTr="00EA5815">
        <w:trPr>
          <w:trHeight w:val="300"/>
        </w:trPr>
        <w:tc>
          <w:tcPr>
            <w:tcW w:w="1094" w:type="dxa"/>
            <w:noWrap/>
            <w:hideMark/>
          </w:tcPr>
          <w:p w14:paraId="7CCA4DC0" w14:textId="77777777" w:rsidR="00EA5815" w:rsidRPr="00BF0EEF" w:rsidRDefault="00EA5815" w:rsidP="001016AD">
            <w:r w:rsidRPr="00BF0EEF">
              <w:lastRenderedPageBreak/>
              <w:t>EASL 2018</w:t>
            </w:r>
          </w:p>
        </w:tc>
        <w:tc>
          <w:tcPr>
            <w:tcW w:w="4571" w:type="dxa"/>
            <w:noWrap/>
            <w:hideMark/>
          </w:tcPr>
          <w:p w14:paraId="7815C312" w14:textId="77777777" w:rsidR="00EA5815" w:rsidRPr="00BF0EEF" w:rsidRDefault="00EA5815" w:rsidP="001016AD">
            <w:r w:rsidRPr="00BF0EEF">
              <w:t>TIPS insertion is recommended in patients with recurrent ascites (I;1) as it improves survival (I;1) and in patients with refractory ascites as it improve</w:t>
            </w:r>
            <w:r>
              <w:t>s</w:t>
            </w:r>
            <w:r w:rsidRPr="00BF0EEF">
              <w:t xml:space="preserve"> the control of ascites (I;1).</w:t>
            </w:r>
          </w:p>
        </w:tc>
        <w:tc>
          <w:tcPr>
            <w:tcW w:w="1796" w:type="dxa"/>
            <w:noWrap/>
            <w:hideMark/>
          </w:tcPr>
          <w:p w14:paraId="75E98159" w14:textId="77777777" w:rsidR="00EA5815" w:rsidRPr="00BF0EEF" w:rsidRDefault="00EA5815" w:rsidP="001016AD">
            <w:r w:rsidRPr="00BF0EEF">
              <w:t>Strong</w:t>
            </w:r>
          </w:p>
        </w:tc>
        <w:tc>
          <w:tcPr>
            <w:tcW w:w="1470" w:type="dxa"/>
            <w:noWrap/>
          </w:tcPr>
          <w:p w14:paraId="1A141E42" w14:textId="77777777" w:rsidR="00EA5815" w:rsidRPr="00BF0EEF" w:rsidRDefault="00EA5815" w:rsidP="001016AD">
            <w:r w:rsidRPr="00BF0EEF">
              <w:t>Cochrane: ascites</w:t>
            </w:r>
          </w:p>
        </w:tc>
        <w:tc>
          <w:tcPr>
            <w:tcW w:w="1985" w:type="dxa"/>
            <w:shd w:val="clear" w:color="auto" w:fill="FF0000"/>
            <w:noWrap/>
            <w:hideMark/>
          </w:tcPr>
          <w:p w14:paraId="10D98540" w14:textId="77777777" w:rsidR="00EA5815" w:rsidRPr="00BF0EEF" w:rsidRDefault="00EA5815" w:rsidP="001016AD">
            <w:r w:rsidRPr="00BF0EEF">
              <w:t>No</w:t>
            </w:r>
          </w:p>
        </w:tc>
        <w:tc>
          <w:tcPr>
            <w:tcW w:w="4677" w:type="dxa"/>
            <w:noWrap/>
            <w:hideMark/>
          </w:tcPr>
          <w:p w14:paraId="03D98F5E"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this subgroup</w:t>
            </w:r>
          </w:p>
        </w:tc>
      </w:tr>
      <w:tr w:rsidR="00EA5815" w:rsidRPr="00BF0EEF" w14:paraId="6B1487C2" w14:textId="77777777" w:rsidTr="00EA5815">
        <w:trPr>
          <w:trHeight w:val="300"/>
        </w:trPr>
        <w:tc>
          <w:tcPr>
            <w:tcW w:w="1094" w:type="dxa"/>
            <w:noWrap/>
            <w:hideMark/>
          </w:tcPr>
          <w:p w14:paraId="420BE3F4" w14:textId="77777777" w:rsidR="00EA5815" w:rsidRPr="00BF0EEF" w:rsidRDefault="00EA5815" w:rsidP="001016AD">
            <w:r w:rsidRPr="00BF0EEF">
              <w:t>EASL 2018</w:t>
            </w:r>
          </w:p>
        </w:tc>
        <w:tc>
          <w:tcPr>
            <w:tcW w:w="4571" w:type="dxa"/>
            <w:noWrap/>
            <w:hideMark/>
          </w:tcPr>
          <w:p w14:paraId="5D34E4C6" w14:textId="77777777" w:rsidR="00EA5815" w:rsidRPr="00BF0EEF" w:rsidRDefault="00EA5815" w:rsidP="001016AD">
            <w:r w:rsidRPr="00BF0EEF">
              <w:t>Diuretics and salt restriction should be continued after TIPS insertion up to the resolution of ascites (II-2;1), as well as close clinical follow-up (III,1).</w:t>
            </w:r>
          </w:p>
        </w:tc>
        <w:tc>
          <w:tcPr>
            <w:tcW w:w="1796" w:type="dxa"/>
            <w:noWrap/>
            <w:hideMark/>
          </w:tcPr>
          <w:p w14:paraId="513977AA" w14:textId="77777777" w:rsidR="00EA5815" w:rsidRPr="00BF0EEF" w:rsidRDefault="00EA5815" w:rsidP="001016AD">
            <w:r w:rsidRPr="00BF0EEF">
              <w:t>Strong</w:t>
            </w:r>
          </w:p>
        </w:tc>
        <w:tc>
          <w:tcPr>
            <w:tcW w:w="1470" w:type="dxa"/>
            <w:noWrap/>
          </w:tcPr>
          <w:p w14:paraId="24B098A4" w14:textId="77777777" w:rsidR="00EA5815" w:rsidRPr="00BF0EEF" w:rsidRDefault="00EA5815" w:rsidP="001016AD">
            <w:r w:rsidRPr="00BF0EEF">
              <w:t>Cochrane: ascites</w:t>
            </w:r>
          </w:p>
        </w:tc>
        <w:tc>
          <w:tcPr>
            <w:tcW w:w="1985" w:type="dxa"/>
            <w:shd w:val="clear" w:color="auto" w:fill="FF0000"/>
            <w:noWrap/>
            <w:hideMark/>
          </w:tcPr>
          <w:p w14:paraId="25DC83ED" w14:textId="77777777" w:rsidR="00EA5815" w:rsidRPr="00BF0EEF" w:rsidRDefault="00EA5815" w:rsidP="001016AD">
            <w:r w:rsidRPr="00BF0EEF">
              <w:t>No</w:t>
            </w:r>
          </w:p>
        </w:tc>
        <w:tc>
          <w:tcPr>
            <w:tcW w:w="4677" w:type="dxa"/>
            <w:noWrap/>
            <w:hideMark/>
          </w:tcPr>
          <w:p w14:paraId="17BDE55B"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this subgroup</w:t>
            </w:r>
          </w:p>
        </w:tc>
      </w:tr>
      <w:tr w:rsidR="00EA5815" w:rsidRPr="00BF0EEF" w14:paraId="5787DC52" w14:textId="77777777" w:rsidTr="00EA5815">
        <w:trPr>
          <w:trHeight w:val="300"/>
        </w:trPr>
        <w:tc>
          <w:tcPr>
            <w:tcW w:w="1094" w:type="dxa"/>
            <w:noWrap/>
            <w:hideMark/>
          </w:tcPr>
          <w:p w14:paraId="0DA9040F" w14:textId="77777777" w:rsidR="00EA5815" w:rsidRPr="00BF0EEF" w:rsidRDefault="00EA5815" w:rsidP="001016AD">
            <w:r w:rsidRPr="00BF0EEF">
              <w:t>EASL 2018</w:t>
            </w:r>
          </w:p>
        </w:tc>
        <w:tc>
          <w:tcPr>
            <w:tcW w:w="4571" w:type="dxa"/>
            <w:noWrap/>
            <w:hideMark/>
          </w:tcPr>
          <w:p w14:paraId="280D5A30" w14:textId="77777777" w:rsidR="00EA5815" w:rsidRPr="00BF0EEF" w:rsidRDefault="00EA5815" w:rsidP="001016AD">
            <w:r w:rsidRPr="00BF0EEF">
              <w:t>LVP is the first-line therapy in patients with large ascites (grade 3 ascites), which should be completely removed in a single session (I;1).</w:t>
            </w:r>
          </w:p>
        </w:tc>
        <w:tc>
          <w:tcPr>
            <w:tcW w:w="1796" w:type="dxa"/>
            <w:noWrap/>
            <w:hideMark/>
          </w:tcPr>
          <w:p w14:paraId="2349B9C2" w14:textId="77777777" w:rsidR="00EA5815" w:rsidRPr="00BF0EEF" w:rsidRDefault="00EA5815" w:rsidP="001016AD">
            <w:r w:rsidRPr="00BF0EEF">
              <w:t>Strong</w:t>
            </w:r>
          </w:p>
        </w:tc>
        <w:tc>
          <w:tcPr>
            <w:tcW w:w="1470" w:type="dxa"/>
            <w:noWrap/>
          </w:tcPr>
          <w:p w14:paraId="5E68048B" w14:textId="77777777" w:rsidR="00EA5815" w:rsidRPr="00BF0EEF" w:rsidRDefault="00EA5815" w:rsidP="001016AD">
            <w:r w:rsidRPr="00BF0EEF">
              <w:t>Cochrane: ascites</w:t>
            </w:r>
          </w:p>
        </w:tc>
        <w:tc>
          <w:tcPr>
            <w:tcW w:w="1985" w:type="dxa"/>
            <w:shd w:val="clear" w:color="auto" w:fill="FF0000"/>
            <w:noWrap/>
            <w:hideMark/>
          </w:tcPr>
          <w:p w14:paraId="578323C2" w14:textId="77777777" w:rsidR="00EA5815" w:rsidRPr="00BF0EEF" w:rsidRDefault="00EA5815" w:rsidP="001016AD">
            <w:r w:rsidRPr="00BF0EEF">
              <w:t>No</w:t>
            </w:r>
          </w:p>
        </w:tc>
        <w:tc>
          <w:tcPr>
            <w:tcW w:w="4677" w:type="dxa"/>
            <w:noWrap/>
            <w:hideMark/>
          </w:tcPr>
          <w:p w14:paraId="5CFFAC75" w14:textId="77777777" w:rsidR="00EA5815" w:rsidRPr="00BF0EEF" w:rsidRDefault="00EA5815" w:rsidP="001016AD">
            <w:r w:rsidRPr="00BF0EEF">
              <w:t>The Cochrane review did not evaluate the number of sessions during which LVP is performed; therefore, the comment refers to only the first part of the statement</w:t>
            </w:r>
          </w:p>
        </w:tc>
      </w:tr>
      <w:tr w:rsidR="00EA5815" w:rsidRPr="00BF0EEF" w14:paraId="4F0B55B4" w14:textId="77777777" w:rsidTr="00EA5815">
        <w:trPr>
          <w:trHeight w:val="300"/>
        </w:trPr>
        <w:tc>
          <w:tcPr>
            <w:tcW w:w="1094" w:type="dxa"/>
            <w:noWrap/>
            <w:hideMark/>
          </w:tcPr>
          <w:p w14:paraId="121C0B23" w14:textId="77777777" w:rsidR="00EA5815" w:rsidRPr="00BF0EEF" w:rsidRDefault="00EA5815" w:rsidP="001016AD">
            <w:r w:rsidRPr="00BF0EEF">
              <w:t>EASL 2018</w:t>
            </w:r>
          </w:p>
        </w:tc>
        <w:tc>
          <w:tcPr>
            <w:tcW w:w="4571" w:type="dxa"/>
            <w:noWrap/>
            <w:hideMark/>
          </w:tcPr>
          <w:p w14:paraId="58E3ECEB" w14:textId="77777777" w:rsidR="00EA5815" w:rsidRPr="00BF0EEF" w:rsidRDefault="00EA5815" w:rsidP="001016AD">
            <w:r w:rsidRPr="00BF0EEF">
              <w:t>At present the addition of clonidine or midodrine to diuretic treatment cannot be recommended (III;1).</w:t>
            </w:r>
          </w:p>
        </w:tc>
        <w:tc>
          <w:tcPr>
            <w:tcW w:w="1796" w:type="dxa"/>
            <w:noWrap/>
            <w:hideMark/>
          </w:tcPr>
          <w:p w14:paraId="3B04DDD8" w14:textId="77777777" w:rsidR="00EA5815" w:rsidRPr="00BF0EEF" w:rsidRDefault="00EA5815" w:rsidP="001016AD">
            <w:r w:rsidRPr="00BF0EEF">
              <w:t>Strong</w:t>
            </w:r>
          </w:p>
        </w:tc>
        <w:tc>
          <w:tcPr>
            <w:tcW w:w="1470" w:type="dxa"/>
            <w:noWrap/>
          </w:tcPr>
          <w:p w14:paraId="44BF8594" w14:textId="77777777" w:rsidR="00EA5815" w:rsidRPr="00BF0EEF" w:rsidRDefault="00EA5815" w:rsidP="001016AD">
            <w:r w:rsidRPr="00BF0EEF">
              <w:t>Cochrane: ascites</w:t>
            </w:r>
          </w:p>
        </w:tc>
        <w:tc>
          <w:tcPr>
            <w:tcW w:w="1985" w:type="dxa"/>
            <w:shd w:val="clear" w:color="auto" w:fill="FF0000"/>
            <w:noWrap/>
            <w:hideMark/>
          </w:tcPr>
          <w:p w14:paraId="02745E01" w14:textId="77777777" w:rsidR="00EA5815" w:rsidRPr="00BF0EEF" w:rsidRDefault="00EA5815" w:rsidP="001016AD">
            <w:r w:rsidRPr="00BF0EEF">
              <w:t>No</w:t>
            </w:r>
          </w:p>
        </w:tc>
        <w:tc>
          <w:tcPr>
            <w:tcW w:w="4677" w:type="dxa"/>
            <w:noWrap/>
            <w:hideMark/>
          </w:tcPr>
          <w:p w14:paraId="4546FAAB" w14:textId="77777777" w:rsidR="00EA5815" w:rsidRPr="00BF0EEF" w:rsidRDefault="00EA5815" w:rsidP="001016AD">
            <w:r w:rsidRPr="00BF0EEF">
              <w:t>-</w:t>
            </w:r>
          </w:p>
        </w:tc>
      </w:tr>
      <w:tr w:rsidR="00EA5815" w:rsidRPr="00BF0EEF" w14:paraId="63C28107" w14:textId="77777777" w:rsidTr="00EA5815">
        <w:trPr>
          <w:trHeight w:val="300"/>
        </w:trPr>
        <w:tc>
          <w:tcPr>
            <w:tcW w:w="1094" w:type="dxa"/>
            <w:noWrap/>
            <w:hideMark/>
          </w:tcPr>
          <w:p w14:paraId="00E3B43C" w14:textId="77777777" w:rsidR="00EA5815" w:rsidRPr="00BF0EEF" w:rsidRDefault="00EA5815" w:rsidP="001016AD">
            <w:r w:rsidRPr="00BF0EEF">
              <w:lastRenderedPageBreak/>
              <w:t>NICE IPG631</w:t>
            </w:r>
          </w:p>
        </w:tc>
        <w:tc>
          <w:tcPr>
            <w:tcW w:w="4571" w:type="dxa"/>
            <w:noWrap/>
            <w:hideMark/>
          </w:tcPr>
          <w:p w14:paraId="3A860D1B" w14:textId="77777777" w:rsidR="00EA5815" w:rsidRPr="00BF0EEF" w:rsidRDefault="00EA5815" w:rsidP="001016AD">
            <w:r w:rsidRPr="00BF0EEF">
              <w:t>Current evidence on the safety of subcutaneous automated low-flow pump implantation for refractory ascites shows there are serious but well-recognised safety concerns, including device failure and acute kidney injury. Evidence on efficacy is limited in quantity. Therefore, this procedure should only be used with special arrangements for clinical governance, consent, and audit or research.</w:t>
            </w:r>
          </w:p>
        </w:tc>
        <w:tc>
          <w:tcPr>
            <w:tcW w:w="1796" w:type="dxa"/>
            <w:noWrap/>
            <w:hideMark/>
          </w:tcPr>
          <w:p w14:paraId="43B19E33" w14:textId="77777777" w:rsidR="00EA5815" w:rsidRPr="00BF0EEF" w:rsidRDefault="00EA5815" w:rsidP="001016AD">
            <w:r w:rsidRPr="00BF0EEF">
              <w:t>Weak</w:t>
            </w:r>
          </w:p>
        </w:tc>
        <w:tc>
          <w:tcPr>
            <w:tcW w:w="1470" w:type="dxa"/>
            <w:noWrap/>
          </w:tcPr>
          <w:p w14:paraId="100EE438" w14:textId="77777777" w:rsidR="00EA5815" w:rsidRPr="00BF0EEF" w:rsidRDefault="00EA5815" w:rsidP="001016AD">
            <w:r w:rsidRPr="00BF0EEF">
              <w:t>Cochrane: ascites</w:t>
            </w:r>
          </w:p>
        </w:tc>
        <w:tc>
          <w:tcPr>
            <w:tcW w:w="1985" w:type="dxa"/>
            <w:shd w:val="clear" w:color="auto" w:fill="92D050"/>
            <w:noWrap/>
            <w:hideMark/>
          </w:tcPr>
          <w:p w14:paraId="2655FC15" w14:textId="77777777" w:rsidR="00EA5815" w:rsidRPr="00BF0EEF" w:rsidRDefault="00EA5815" w:rsidP="001016AD">
            <w:r w:rsidRPr="00BF0EEF">
              <w:t>Yes</w:t>
            </w:r>
          </w:p>
        </w:tc>
        <w:tc>
          <w:tcPr>
            <w:tcW w:w="4677" w:type="dxa"/>
            <w:noWrap/>
            <w:hideMark/>
          </w:tcPr>
          <w:p w14:paraId="4BB46CE6" w14:textId="77777777" w:rsidR="00EA5815" w:rsidRPr="00BF0EEF" w:rsidRDefault="00EA5815" w:rsidP="001016AD">
            <w:r w:rsidRPr="00BF0EEF">
              <w:t>Although low-flow ascites fluid pump was covered in the systematic review, the randomised controlled trial on the topic was excluded because of multiple differences in the co-interventions; therefore, there was no comment on the pump in the Cochrane review. The guidance acknowledges the limited number of studies and indicates that this should be only used in the research setting or under close monitoring/audit; which matches with the conclusion of Cochrane review, although not explicitly stated.</w:t>
            </w:r>
          </w:p>
        </w:tc>
      </w:tr>
      <w:tr w:rsidR="00EA5815" w:rsidRPr="00BF0EEF" w14:paraId="6D7A5128" w14:textId="77777777" w:rsidTr="00EA5815">
        <w:trPr>
          <w:trHeight w:val="300"/>
        </w:trPr>
        <w:tc>
          <w:tcPr>
            <w:tcW w:w="1094" w:type="dxa"/>
            <w:noWrap/>
            <w:hideMark/>
          </w:tcPr>
          <w:p w14:paraId="37DCE2B4" w14:textId="77777777" w:rsidR="00EA5815" w:rsidRPr="00BF0EEF" w:rsidRDefault="00EA5815" w:rsidP="001016AD">
            <w:r w:rsidRPr="00BF0EEF">
              <w:t>NICE NG50</w:t>
            </w:r>
          </w:p>
        </w:tc>
        <w:tc>
          <w:tcPr>
            <w:tcW w:w="4571" w:type="dxa"/>
            <w:noWrap/>
            <w:hideMark/>
          </w:tcPr>
          <w:p w14:paraId="2FF1E237" w14:textId="77777777" w:rsidR="00EA5815" w:rsidRPr="00BF0EEF" w:rsidRDefault="00EA5815" w:rsidP="001016AD">
            <w:r w:rsidRPr="00BF0EEF">
              <w:t>Consider a transjugular intrahepatic portosystemic shunt for people with cirrhosis who have refractory ascites.</w:t>
            </w:r>
          </w:p>
        </w:tc>
        <w:tc>
          <w:tcPr>
            <w:tcW w:w="1796" w:type="dxa"/>
            <w:noWrap/>
            <w:hideMark/>
          </w:tcPr>
          <w:p w14:paraId="6D80351D" w14:textId="77777777" w:rsidR="00EA5815" w:rsidRPr="00BF0EEF" w:rsidRDefault="00EA5815" w:rsidP="001016AD">
            <w:r w:rsidRPr="00BF0EEF">
              <w:t>Weak</w:t>
            </w:r>
          </w:p>
        </w:tc>
        <w:tc>
          <w:tcPr>
            <w:tcW w:w="1470" w:type="dxa"/>
            <w:noWrap/>
          </w:tcPr>
          <w:p w14:paraId="6A829145" w14:textId="77777777" w:rsidR="00EA5815" w:rsidRPr="00BF0EEF" w:rsidRDefault="00EA5815" w:rsidP="001016AD">
            <w:r w:rsidRPr="00BF0EEF">
              <w:t>Cochrane: ascites</w:t>
            </w:r>
          </w:p>
        </w:tc>
        <w:tc>
          <w:tcPr>
            <w:tcW w:w="1985" w:type="dxa"/>
            <w:shd w:val="clear" w:color="auto" w:fill="92D050"/>
            <w:noWrap/>
            <w:hideMark/>
          </w:tcPr>
          <w:p w14:paraId="2E0BE819" w14:textId="77777777" w:rsidR="00EA5815" w:rsidRPr="00BF0EEF" w:rsidRDefault="00EA5815" w:rsidP="001016AD">
            <w:r w:rsidRPr="00BF0EEF">
              <w:t>Yes</w:t>
            </w:r>
          </w:p>
        </w:tc>
        <w:tc>
          <w:tcPr>
            <w:tcW w:w="4677" w:type="dxa"/>
            <w:noWrap/>
            <w:hideMark/>
          </w:tcPr>
          <w:p w14:paraId="19D3CD5E" w14:textId="77777777" w:rsidR="00EA5815" w:rsidRPr="00BF0EEF" w:rsidRDefault="00EA5815" w:rsidP="001016AD">
            <w:r w:rsidRPr="00BF0EEF">
              <w:t>The Cochrane review also presents subgroup analysis of grade 3 ascites only and for refractory or recurrent ascites and there were no major changes in the conclusion for this subgroup</w:t>
            </w:r>
            <w:r>
              <w:t>.</w:t>
            </w:r>
          </w:p>
        </w:tc>
      </w:tr>
      <w:tr w:rsidR="00EA5815" w:rsidRPr="00BF0EEF" w14:paraId="6800B004" w14:textId="77777777" w:rsidTr="00EA5815">
        <w:trPr>
          <w:trHeight w:val="300"/>
        </w:trPr>
        <w:tc>
          <w:tcPr>
            <w:tcW w:w="1094" w:type="dxa"/>
            <w:noWrap/>
            <w:hideMark/>
          </w:tcPr>
          <w:p w14:paraId="08886CB6" w14:textId="77777777" w:rsidR="00EA5815" w:rsidRPr="00BF0EEF" w:rsidRDefault="00EA5815" w:rsidP="001016AD">
            <w:r w:rsidRPr="00BF0EEF">
              <w:lastRenderedPageBreak/>
              <w:t>AASLD 2021</w:t>
            </w:r>
          </w:p>
        </w:tc>
        <w:tc>
          <w:tcPr>
            <w:tcW w:w="4571" w:type="dxa"/>
            <w:noWrap/>
            <w:hideMark/>
          </w:tcPr>
          <w:p w14:paraId="74BF3B49" w14:textId="77777777" w:rsidR="00EA5815" w:rsidRPr="00BF0EEF" w:rsidRDefault="00EA5815" w:rsidP="001016AD">
            <w:r w:rsidRPr="00BF0EEF">
              <w:t>The treatment of choice for HRS-AKI is vasoconstrictor drugs in combination with albumin. The preferred drug is terlipressin, administered either as IV bolus or continuous IV infusion</w:t>
            </w:r>
          </w:p>
        </w:tc>
        <w:tc>
          <w:tcPr>
            <w:tcW w:w="1796" w:type="dxa"/>
            <w:noWrap/>
            <w:hideMark/>
          </w:tcPr>
          <w:p w14:paraId="6752500F" w14:textId="77777777" w:rsidR="00EA5815" w:rsidRPr="00BF0EEF" w:rsidRDefault="00EA5815" w:rsidP="001016AD">
            <w:r w:rsidRPr="00BF0EEF">
              <w:t>Strong</w:t>
            </w:r>
          </w:p>
        </w:tc>
        <w:tc>
          <w:tcPr>
            <w:tcW w:w="1470" w:type="dxa"/>
            <w:noWrap/>
          </w:tcPr>
          <w:p w14:paraId="5BD6490E" w14:textId="77777777" w:rsidR="00EA5815" w:rsidRPr="00BF0EEF" w:rsidRDefault="00EA5815" w:rsidP="001016AD">
            <w:r w:rsidRPr="00BF0EEF">
              <w:t>Cochrane: hepatorenal syndrome</w:t>
            </w:r>
          </w:p>
        </w:tc>
        <w:tc>
          <w:tcPr>
            <w:tcW w:w="1985" w:type="dxa"/>
            <w:shd w:val="clear" w:color="auto" w:fill="FF0000"/>
            <w:noWrap/>
            <w:hideMark/>
          </w:tcPr>
          <w:p w14:paraId="46BD96B8" w14:textId="77777777" w:rsidR="00EA5815" w:rsidRPr="00BF0EEF" w:rsidRDefault="00EA5815" w:rsidP="001016AD">
            <w:r w:rsidRPr="00BF0EEF">
              <w:t>No</w:t>
            </w:r>
          </w:p>
        </w:tc>
        <w:tc>
          <w:tcPr>
            <w:tcW w:w="4677" w:type="dxa"/>
            <w:noWrap/>
            <w:hideMark/>
          </w:tcPr>
          <w:p w14:paraId="724BFB9D" w14:textId="77777777" w:rsidR="00EA5815" w:rsidRPr="00BF0EEF" w:rsidRDefault="00EA5815" w:rsidP="001016AD">
            <w:r w:rsidRPr="00BF0EEF">
              <w:t>-</w:t>
            </w:r>
          </w:p>
        </w:tc>
      </w:tr>
      <w:tr w:rsidR="00EA5815" w:rsidRPr="00BF0EEF" w14:paraId="267B4BA0" w14:textId="77777777" w:rsidTr="00EA5815">
        <w:trPr>
          <w:trHeight w:val="300"/>
        </w:trPr>
        <w:tc>
          <w:tcPr>
            <w:tcW w:w="1094" w:type="dxa"/>
            <w:noWrap/>
            <w:hideMark/>
          </w:tcPr>
          <w:p w14:paraId="7D6D7E90" w14:textId="77777777" w:rsidR="00EA5815" w:rsidRPr="00BF0EEF" w:rsidRDefault="00EA5815" w:rsidP="001016AD">
            <w:r w:rsidRPr="00BF0EEF">
              <w:t>BSG 2019</w:t>
            </w:r>
          </w:p>
        </w:tc>
        <w:tc>
          <w:tcPr>
            <w:tcW w:w="4571" w:type="dxa"/>
            <w:noWrap/>
            <w:hideMark/>
          </w:tcPr>
          <w:p w14:paraId="6C9D56D7" w14:textId="77777777" w:rsidR="00EA5815" w:rsidRPr="00BF0EEF" w:rsidRDefault="00EA5815" w:rsidP="001016AD">
            <w:r w:rsidRPr="00BF0EEF">
              <w:t>Although, renal function has been observed to improve following TIPSS, TIPSS for HRS (type 1 and type 2) remains experimental (weak recommendation, very low level of evidence).</w:t>
            </w:r>
          </w:p>
        </w:tc>
        <w:tc>
          <w:tcPr>
            <w:tcW w:w="1796" w:type="dxa"/>
            <w:noWrap/>
            <w:hideMark/>
          </w:tcPr>
          <w:p w14:paraId="6B19721C" w14:textId="77777777" w:rsidR="00EA5815" w:rsidRPr="00BF0EEF" w:rsidRDefault="00EA5815" w:rsidP="001016AD">
            <w:r w:rsidRPr="00BF0EEF">
              <w:t>Weak</w:t>
            </w:r>
          </w:p>
        </w:tc>
        <w:tc>
          <w:tcPr>
            <w:tcW w:w="1470" w:type="dxa"/>
            <w:noWrap/>
          </w:tcPr>
          <w:p w14:paraId="4A3B8DB0" w14:textId="77777777" w:rsidR="00EA5815" w:rsidRPr="00BF0EEF" w:rsidRDefault="00EA5815" w:rsidP="001016AD">
            <w:r w:rsidRPr="00BF0EEF">
              <w:t>Cochrane: hepatorenal syndrome</w:t>
            </w:r>
          </w:p>
        </w:tc>
        <w:tc>
          <w:tcPr>
            <w:tcW w:w="1985" w:type="dxa"/>
            <w:shd w:val="clear" w:color="auto" w:fill="92D050"/>
            <w:noWrap/>
            <w:hideMark/>
          </w:tcPr>
          <w:p w14:paraId="69B779F8" w14:textId="77777777" w:rsidR="00EA5815" w:rsidRPr="00BF0EEF" w:rsidRDefault="00EA5815" w:rsidP="001016AD">
            <w:r w:rsidRPr="00BF0EEF">
              <w:t>Yes</w:t>
            </w:r>
          </w:p>
        </w:tc>
        <w:tc>
          <w:tcPr>
            <w:tcW w:w="4677" w:type="dxa"/>
            <w:noWrap/>
            <w:hideMark/>
          </w:tcPr>
          <w:p w14:paraId="3ECF018D" w14:textId="77777777" w:rsidR="00EA5815" w:rsidRPr="00BF0EEF" w:rsidRDefault="00EA5815" w:rsidP="001016AD">
            <w:r w:rsidRPr="00BF0EEF">
              <w:t>-</w:t>
            </w:r>
          </w:p>
        </w:tc>
      </w:tr>
      <w:tr w:rsidR="00EA5815" w:rsidRPr="00BF0EEF" w14:paraId="7E11357B" w14:textId="77777777" w:rsidTr="00EA5815">
        <w:trPr>
          <w:trHeight w:val="300"/>
        </w:trPr>
        <w:tc>
          <w:tcPr>
            <w:tcW w:w="1094" w:type="dxa"/>
            <w:noWrap/>
            <w:hideMark/>
          </w:tcPr>
          <w:p w14:paraId="631104F3" w14:textId="77777777" w:rsidR="00EA5815" w:rsidRPr="00BF0EEF" w:rsidRDefault="00EA5815" w:rsidP="001016AD">
            <w:r w:rsidRPr="00BF0EEF">
              <w:t>EASL 2018</w:t>
            </w:r>
          </w:p>
        </w:tc>
        <w:tc>
          <w:tcPr>
            <w:tcW w:w="4571" w:type="dxa"/>
            <w:noWrap/>
            <w:hideMark/>
          </w:tcPr>
          <w:p w14:paraId="1EF7D797" w14:textId="77777777" w:rsidR="00EA5815" w:rsidRPr="00BF0EEF" w:rsidRDefault="00EA5815" w:rsidP="001016AD">
            <w:r w:rsidRPr="00BF0EEF">
              <w:t>Terlipressin plus albumin should be considered as the first-line therapeutic option for the treatment of HRS</w:t>
            </w:r>
            <w:r>
              <w:t>-</w:t>
            </w:r>
            <w:r w:rsidRPr="00BF0EEF">
              <w:t xml:space="preserve">AKI. Telipressin can be used by i.v. boluses at the initial dose of 1 mg every 4–6 h. However, giving terlipressin by continuous i.v. infusion at initial dose of 2 mg/day makes it possible to reduce the global </w:t>
            </w:r>
            <w:r w:rsidRPr="00BF0EEF">
              <w:lastRenderedPageBreak/>
              <w:t>daily dose of the drug and, thus, the rate of its adverse effects. In case of non-response (decrease in SCr &lt;25% from the peak value), after two days, the dose of terlipressin should be increased in a stepwise manner to a maximum of 12 mg/day (I;1).</w:t>
            </w:r>
          </w:p>
        </w:tc>
        <w:tc>
          <w:tcPr>
            <w:tcW w:w="1796" w:type="dxa"/>
            <w:noWrap/>
            <w:hideMark/>
          </w:tcPr>
          <w:p w14:paraId="25167241" w14:textId="77777777" w:rsidR="00EA5815" w:rsidRPr="00BF0EEF" w:rsidRDefault="00EA5815" w:rsidP="001016AD">
            <w:r w:rsidRPr="00BF0EEF">
              <w:lastRenderedPageBreak/>
              <w:t>Strong</w:t>
            </w:r>
          </w:p>
        </w:tc>
        <w:tc>
          <w:tcPr>
            <w:tcW w:w="1470" w:type="dxa"/>
            <w:noWrap/>
          </w:tcPr>
          <w:p w14:paraId="6929FC81" w14:textId="77777777" w:rsidR="00EA5815" w:rsidRPr="00BF0EEF" w:rsidRDefault="00EA5815" w:rsidP="001016AD">
            <w:r w:rsidRPr="00BF0EEF">
              <w:t>Cochrane: hepatorenal syndrome</w:t>
            </w:r>
          </w:p>
        </w:tc>
        <w:tc>
          <w:tcPr>
            <w:tcW w:w="1985" w:type="dxa"/>
            <w:shd w:val="clear" w:color="auto" w:fill="FF0000"/>
            <w:noWrap/>
            <w:hideMark/>
          </w:tcPr>
          <w:p w14:paraId="0AC8D95A" w14:textId="77777777" w:rsidR="00EA5815" w:rsidRPr="00BF0EEF" w:rsidRDefault="00EA5815" w:rsidP="001016AD">
            <w:r w:rsidRPr="00BF0EEF">
              <w:t>No</w:t>
            </w:r>
          </w:p>
        </w:tc>
        <w:tc>
          <w:tcPr>
            <w:tcW w:w="4677" w:type="dxa"/>
            <w:noWrap/>
            <w:hideMark/>
          </w:tcPr>
          <w:p w14:paraId="5647082B" w14:textId="77777777" w:rsidR="00EA5815" w:rsidRPr="00BF0EEF" w:rsidRDefault="00EA5815" w:rsidP="001016AD">
            <w:r w:rsidRPr="00BF0EEF">
              <w:t>-</w:t>
            </w:r>
          </w:p>
        </w:tc>
      </w:tr>
      <w:tr w:rsidR="00EA5815" w:rsidRPr="00BF0EEF" w14:paraId="5AE92749" w14:textId="77777777" w:rsidTr="00EA5815">
        <w:trPr>
          <w:trHeight w:val="300"/>
        </w:trPr>
        <w:tc>
          <w:tcPr>
            <w:tcW w:w="1094" w:type="dxa"/>
            <w:noWrap/>
            <w:hideMark/>
          </w:tcPr>
          <w:p w14:paraId="753DA40B" w14:textId="77777777" w:rsidR="00EA5815" w:rsidRPr="00BF0EEF" w:rsidRDefault="00EA5815" w:rsidP="001016AD">
            <w:r w:rsidRPr="00BF0EEF">
              <w:t>EASL 2018</w:t>
            </w:r>
          </w:p>
        </w:tc>
        <w:tc>
          <w:tcPr>
            <w:tcW w:w="4571" w:type="dxa"/>
            <w:noWrap/>
            <w:hideMark/>
          </w:tcPr>
          <w:p w14:paraId="58CB3DA5" w14:textId="77777777" w:rsidR="00EA5815" w:rsidRPr="00BF0EEF" w:rsidRDefault="00EA5815" w:rsidP="001016AD">
            <w:r w:rsidRPr="00BF0EEF">
              <w:t>Noradrenaline can be an alternative to terlipressin. However, limited information is available (I;2).</w:t>
            </w:r>
          </w:p>
        </w:tc>
        <w:tc>
          <w:tcPr>
            <w:tcW w:w="1796" w:type="dxa"/>
            <w:noWrap/>
            <w:hideMark/>
          </w:tcPr>
          <w:p w14:paraId="0808C254" w14:textId="77777777" w:rsidR="00EA5815" w:rsidRPr="00BF0EEF" w:rsidRDefault="00EA5815" w:rsidP="001016AD">
            <w:r w:rsidRPr="00BF0EEF">
              <w:t>Weak</w:t>
            </w:r>
          </w:p>
        </w:tc>
        <w:tc>
          <w:tcPr>
            <w:tcW w:w="1470" w:type="dxa"/>
            <w:noWrap/>
          </w:tcPr>
          <w:p w14:paraId="5313CCC2" w14:textId="77777777" w:rsidR="00EA5815" w:rsidRPr="00BF0EEF" w:rsidRDefault="00EA5815" w:rsidP="001016AD">
            <w:r w:rsidRPr="00BF0EEF">
              <w:t>Cochrane: hepatorenal syndrome</w:t>
            </w:r>
          </w:p>
        </w:tc>
        <w:tc>
          <w:tcPr>
            <w:tcW w:w="1985" w:type="dxa"/>
            <w:shd w:val="clear" w:color="auto" w:fill="92D050"/>
            <w:noWrap/>
            <w:hideMark/>
          </w:tcPr>
          <w:p w14:paraId="39A309D1" w14:textId="77777777" w:rsidR="00EA5815" w:rsidRPr="00BF0EEF" w:rsidRDefault="00EA5815" w:rsidP="001016AD">
            <w:r w:rsidRPr="00BF0EEF">
              <w:t>Yes</w:t>
            </w:r>
          </w:p>
        </w:tc>
        <w:tc>
          <w:tcPr>
            <w:tcW w:w="4677" w:type="dxa"/>
            <w:noWrap/>
            <w:hideMark/>
          </w:tcPr>
          <w:p w14:paraId="3EBC5A83" w14:textId="77777777" w:rsidR="00EA5815" w:rsidRPr="00BF0EEF" w:rsidRDefault="00EA5815" w:rsidP="001016AD">
            <w:r w:rsidRPr="00BF0EEF">
              <w:t>-</w:t>
            </w:r>
          </w:p>
        </w:tc>
      </w:tr>
      <w:tr w:rsidR="00EA5815" w:rsidRPr="00BF0EEF" w14:paraId="0E1075BD" w14:textId="77777777" w:rsidTr="00EA5815">
        <w:trPr>
          <w:trHeight w:val="300"/>
        </w:trPr>
        <w:tc>
          <w:tcPr>
            <w:tcW w:w="1094" w:type="dxa"/>
            <w:noWrap/>
            <w:hideMark/>
          </w:tcPr>
          <w:p w14:paraId="3D94F13D" w14:textId="77777777" w:rsidR="00EA5815" w:rsidRPr="00BF0EEF" w:rsidRDefault="00EA5815" w:rsidP="001016AD">
            <w:r w:rsidRPr="00BF0EEF">
              <w:t>EASL 2018</w:t>
            </w:r>
          </w:p>
        </w:tc>
        <w:tc>
          <w:tcPr>
            <w:tcW w:w="4571" w:type="dxa"/>
            <w:noWrap/>
            <w:hideMark/>
          </w:tcPr>
          <w:p w14:paraId="15F78336" w14:textId="77777777" w:rsidR="00EA5815" w:rsidRPr="00BF0EEF" w:rsidRDefault="00EA5815" w:rsidP="001016AD">
            <w:r w:rsidRPr="00BF0EEF">
              <w:t>Midodrine plus octreotide can be an option only when terlipressin or noradrenaline are unavailable, but its efficacy is much lower than that of terlipressin (I;1).</w:t>
            </w:r>
          </w:p>
        </w:tc>
        <w:tc>
          <w:tcPr>
            <w:tcW w:w="1796" w:type="dxa"/>
            <w:noWrap/>
            <w:hideMark/>
          </w:tcPr>
          <w:p w14:paraId="53715E1F" w14:textId="77777777" w:rsidR="00EA5815" w:rsidRPr="00BF0EEF" w:rsidRDefault="00EA5815" w:rsidP="001016AD">
            <w:r w:rsidRPr="00BF0EEF">
              <w:t>Strong</w:t>
            </w:r>
          </w:p>
        </w:tc>
        <w:tc>
          <w:tcPr>
            <w:tcW w:w="1470" w:type="dxa"/>
            <w:noWrap/>
          </w:tcPr>
          <w:p w14:paraId="3F34AB3F" w14:textId="77777777" w:rsidR="00EA5815" w:rsidRPr="00BF0EEF" w:rsidRDefault="00EA5815" w:rsidP="001016AD">
            <w:r w:rsidRPr="00BF0EEF">
              <w:t>Cochrane: hepatorenal syndrome</w:t>
            </w:r>
          </w:p>
        </w:tc>
        <w:tc>
          <w:tcPr>
            <w:tcW w:w="1985" w:type="dxa"/>
            <w:shd w:val="clear" w:color="auto" w:fill="FF0000"/>
            <w:noWrap/>
            <w:hideMark/>
          </w:tcPr>
          <w:p w14:paraId="629A5D83" w14:textId="77777777" w:rsidR="00EA5815" w:rsidRPr="00BF0EEF" w:rsidRDefault="00EA5815" w:rsidP="001016AD">
            <w:r w:rsidRPr="00BF0EEF">
              <w:t>No</w:t>
            </w:r>
          </w:p>
        </w:tc>
        <w:tc>
          <w:tcPr>
            <w:tcW w:w="4677" w:type="dxa"/>
            <w:noWrap/>
            <w:hideMark/>
          </w:tcPr>
          <w:p w14:paraId="57024B52" w14:textId="77777777" w:rsidR="00EA5815" w:rsidRPr="00BF0EEF" w:rsidRDefault="00EA5815" w:rsidP="001016AD">
            <w:r w:rsidRPr="00BF0EEF">
              <w:t>-</w:t>
            </w:r>
          </w:p>
        </w:tc>
      </w:tr>
      <w:tr w:rsidR="00EA5815" w:rsidRPr="00BF0EEF" w14:paraId="6DD53300" w14:textId="77777777" w:rsidTr="00EA5815">
        <w:trPr>
          <w:trHeight w:val="300"/>
        </w:trPr>
        <w:tc>
          <w:tcPr>
            <w:tcW w:w="1094" w:type="dxa"/>
            <w:noWrap/>
            <w:hideMark/>
          </w:tcPr>
          <w:p w14:paraId="28818B2F" w14:textId="77777777" w:rsidR="00EA5815" w:rsidRPr="00BF0EEF" w:rsidRDefault="00EA5815" w:rsidP="001016AD">
            <w:r w:rsidRPr="00BF0EEF">
              <w:t>EASL 2018</w:t>
            </w:r>
          </w:p>
        </w:tc>
        <w:tc>
          <w:tcPr>
            <w:tcW w:w="4571" w:type="dxa"/>
            <w:noWrap/>
            <w:hideMark/>
          </w:tcPr>
          <w:p w14:paraId="0CC55468" w14:textId="77777777" w:rsidR="00EA5815" w:rsidRPr="00BF0EEF" w:rsidRDefault="00EA5815" w:rsidP="001016AD">
            <w:r w:rsidRPr="00BF0EEF">
              <w:t>There is insufficient data to advocate TIPS in HRS-AKI but it could be suggested in selected patients with HRS-NAKI (II-2;2).</w:t>
            </w:r>
          </w:p>
        </w:tc>
        <w:tc>
          <w:tcPr>
            <w:tcW w:w="1796" w:type="dxa"/>
            <w:noWrap/>
            <w:hideMark/>
          </w:tcPr>
          <w:p w14:paraId="0943D474" w14:textId="77777777" w:rsidR="00EA5815" w:rsidRPr="00BF0EEF" w:rsidRDefault="00EA5815" w:rsidP="001016AD">
            <w:r w:rsidRPr="00BF0EEF">
              <w:t>Weak</w:t>
            </w:r>
          </w:p>
        </w:tc>
        <w:tc>
          <w:tcPr>
            <w:tcW w:w="1470" w:type="dxa"/>
            <w:noWrap/>
          </w:tcPr>
          <w:p w14:paraId="0A3A223D" w14:textId="77777777" w:rsidR="00EA5815" w:rsidRPr="00BF0EEF" w:rsidRDefault="00EA5815" w:rsidP="001016AD">
            <w:r w:rsidRPr="00BF0EEF">
              <w:t>Cochrane: hepatorenal syndrome</w:t>
            </w:r>
          </w:p>
        </w:tc>
        <w:tc>
          <w:tcPr>
            <w:tcW w:w="1985" w:type="dxa"/>
            <w:shd w:val="clear" w:color="auto" w:fill="92D050"/>
            <w:noWrap/>
            <w:hideMark/>
          </w:tcPr>
          <w:p w14:paraId="73402532" w14:textId="77777777" w:rsidR="00EA5815" w:rsidRPr="00BF0EEF" w:rsidRDefault="00EA5815" w:rsidP="001016AD">
            <w:r w:rsidRPr="00BF0EEF">
              <w:t>Yes</w:t>
            </w:r>
          </w:p>
        </w:tc>
        <w:tc>
          <w:tcPr>
            <w:tcW w:w="4677" w:type="dxa"/>
            <w:noWrap/>
            <w:hideMark/>
          </w:tcPr>
          <w:p w14:paraId="7EDFE15A" w14:textId="77777777" w:rsidR="00EA5815" w:rsidRPr="00BF0EEF" w:rsidRDefault="00EA5815" w:rsidP="001016AD">
            <w:r w:rsidRPr="00BF0EEF">
              <w:t>The agreement refers to only the first part of the statement.</w:t>
            </w:r>
            <w:r>
              <w:t xml:space="preserve"> The Cochrane review did not attempt to answer the second part of the statement</w:t>
            </w:r>
          </w:p>
        </w:tc>
      </w:tr>
      <w:tr w:rsidR="00EA5815" w:rsidRPr="00BF0EEF" w14:paraId="3C24C569" w14:textId="77777777" w:rsidTr="00EA5815">
        <w:trPr>
          <w:trHeight w:val="300"/>
        </w:trPr>
        <w:tc>
          <w:tcPr>
            <w:tcW w:w="1094" w:type="dxa"/>
            <w:noWrap/>
            <w:hideMark/>
          </w:tcPr>
          <w:p w14:paraId="27128A34" w14:textId="77777777" w:rsidR="00EA5815" w:rsidRPr="00BF0EEF" w:rsidRDefault="00EA5815" w:rsidP="001016AD">
            <w:r w:rsidRPr="00BF0EEF">
              <w:lastRenderedPageBreak/>
              <w:t>AASLD 2021</w:t>
            </w:r>
          </w:p>
        </w:tc>
        <w:tc>
          <w:tcPr>
            <w:tcW w:w="4571" w:type="dxa"/>
            <w:noWrap/>
            <w:hideMark/>
          </w:tcPr>
          <w:p w14:paraId="0D4CA278" w14:textId="77777777" w:rsidR="00EA5815" w:rsidRPr="00BF0EEF" w:rsidRDefault="00EA5815" w:rsidP="001016AD">
            <w:r w:rsidRPr="00BF0EEF">
              <w:t>Patients who have recovered from an episode of SBP should receive long-term prophylaxis with daily norfloxacin. In settings in which norfloxacin is unavailable, oral ciprofloxacin is acceptable.</w:t>
            </w:r>
          </w:p>
        </w:tc>
        <w:tc>
          <w:tcPr>
            <w:tcW w:w="1796" w:type="dxa"/>
            <w:noWrap/>
            <w:hideMark/>
          </w:tcPr>
          <w:p w14:paraId="50018433" w14:textId="77777777" w:rsidR="00EA5815" w:rsidRPr="00BF0EEF" w:rsidRDefault="00EA5815" w:rsidP="001016AD">
            <w:r w:rsidRPr="00BF0EEF">
              <w:t>Strong</w:t>
            </w:r>
          </w:p>
        </w:tc>
        <w:tc>
          <w:tcPr>
            <w:tcW w:w="1470" w:type="dxa"/>
            <w:noWrap/>
          </w:tcPr>
          <w:p w14:paraId="6539719D" w14:textId="77777777" w:rsidR="00EA5815" w:rsidRPr="00BF0EEF" w:rsidRDefault="00EA5815" w:rsidP="001016AD">
            <w:r w:rsidRPr="00BF0EEF">
              <w:t>Cochrane SBP prophylaxis</w:t>
            </w:r>
          </w:p>
        </w:tc>
        <w:tc>
          <w:tcPr>
            <w:tcW w:w="1985" w:type="dxa"/>
            <w:shd w:val="clear" w:color="auto" w:fill="FF0000"/>
            <w:noWrap/>
            <w:hideMark/>
          </w:tcPr>
          <w:p w14:paraId="67C8931D" w14:textId="77777777" w:rsidR="00EA5815" w:rsidRPr="00BF0EEF" w:rsidRDefault="00EA5815" w:rsidP="001016AD">
            <w:r w:rsidRPr="00BF0EEF">
              <w:t>No</w:t>
            </w:r>
          </w:p>
        </w:tc>
        <w:tc>
          <w:tcPr>
            <w:tcW w:w="4677" w:type="dxa"/>
            <w:noWrap/>
            <w:hideMark/>
          </w:tcPr>
          <w:p w14:paraId="14C09BC6" w14:textId="77777777" w:rsidR="00EA5815" w:rsidRPr="00BF0EEF" w:rsidRDefault="00EA5815" w:rsidP="001016AD">
            <w:r w:rsidRPr="00BF0EEF">
              <w:t>-</w:t>
            </w:r>
          </w:p>
        </w:tc>
      </w:tr>
      <w:tr w:rsidR="00EA5815" w:rsidRPr="00BF0EEF" w14:paraId="7A90F354" w14:textId="77777777" w:rsidTr="00EA5815">
        <w:trPr>
          <w:trHeight w:val="300"/>
        </w:trPr>
        <w:tc>
          <w:tcPr>
            <w:tcW w:w="1094" w:type="dxa"/>
            <w:noWrap/>
            <w:hideMark/>
          </w:tcPr>
          <w:p w14:paraId="69B615BF" w14:textId="77777777" w:rsidR="00EA5815" w:rsidRPr="00BF0EEF" w:rsidRDefault="00EA5815" w:rsidP="001016AD">
            <w:r w:rsidRPr="00BF0EEF">
              <w:t>BSG 2020</w:t>
            </w:r>
          </w:p>
        </w:tc>
        <w:tc>
          <w:tcPr>
            <w:tcW w:w="4571" w:type="dxa"/>
            <w:noWrap/>
            <w:hideMark/>
          </w:tcPr>
          <w:p w14:paraId="096D40F8" w14:textId="77777777" w:rsidR="00EA5815" w:rsidRPr="00BF0EEF" w:rsidRDefault="00EA5815" w:rsidP="001016AD">
            <w:r w:rsidRPr="00BF0EEF">
              <w:t>Patients who have recovered from an episode of SBP should be considered for treatment with norfloxacin (400 mg once daily), ciprofloxacin (500 mg once daily, orally) or cotrimoxazole (800 mg sulfamethoxazole and 160 mg trimethoprim daily, orally) to prevent further episode of SBP.</w:t>
            </w:r>
          </w:p>
        </w:tc>
        <w:tc>
          <w:tcPr>
            <w:tcW w:w="1796" w:type="dxa"/>
            <w:noWrap/>
            <w:hideMark/>
          </w:tcPr>
          <w:p w14:paraId="3F6211E2" w14:textId="77777777" w:rsidR="00EA5815" w:rsidRPr="00BF0EEF" w:rsidRDefault="00EA5815" w:rsidP="001016AD">
            <w:r w:rsidRPr="00BF0EEF">
              <w:t>Weak</w:t>
            </w:r>
          </w:p>
        </w:tc>
        <w:tc>
          <w:tcPr>
            <w:tcW w:w="1470" w:type="dxa"/>
            <w:noWrap/>
          </w:tcPr>
          <w:p w14:paraId="3054CFE3" w14:textId="77777777" w:rsidR="00EA5815" w:rsidRPr="00BF0EEF" w:rsidRDefault="00EA5815" w:rsidP="001016AD">
            <w:r w:rsidRPr="00BF0EEF">
              <w:t>Cochrane SBP prophylaxis</w:t>
            </w:r>
          </w:p>
        </w:tc>
        <w:tc>
          <w:tcPr>
            <w:tcW w:w="1985" w:type="dxa"/>
            <w:shd w:val="clear" w:color="auto" w:fill="92D050"/>
            <w:noWrap/>
            <w:hideMark/>
          </w:tcPr>
          <w:p w14:paraId="40B80790" w14:textId="77777777" w:rsidR="00EA5815" w:rsidRPr="00BF0EEF" w:rsidRDefault="00EA5815" w:rsidP="001016AD">
            <w:r w:rsidRPr="00BF0EEF">
              <w:t>Yes</w:t>
            </w:r>
          </w:p>
        </w:tc>
        <w:tc>
          <w:tcPr>
            <w:tcW w:w="4677" w:type="dxa"/>
            <w:noWrap/>
            <w:hideMark/>
          </w:tcPr>
          <w:p w14:paraId="6F06FFD1" w14:textId="77777777" w:rsidR="00EA5815" w:rsidRPr="00BF0EEF" w:rsidRDefault="00EA5815" w:rsidP="001016AD">
            <w:r w:rsidRPr="00BF0EEF">
              <w:t>The Cochrane review included participants with previous episode of SBP</w:t>
            </w:r>
          </w:p>
        </w:tc>
      </w:tr>
      <w:tr w:rsidR="00EA5815" w:rsidRPr="00BF0EEF" w14:paraId="36FC4505" w14:textId="77777777" w:rsidTr="00EA5815">
        <w:trPr>
          <w:trHeight w:val="300"/>
        </w:trPr>
        <w:tc>
          <w:tcPr>
            <w:tcW w:w="1094" w:type="dxa"/>
            <w:noWrap/>
            <w:hideMark/>
          </w:tcPr>
          <w:p w14:paraId="25D3C7D7" w14:textId="77777777" w:rsidR="00EA5815" w:rsidRPr="00BF0EEF" w:rsidRDefault="00EA5815" w:rsidP="001016AD">
            <w:r w:rsidRPr="00BF0EEF">
              <w:t>BSG 2020</w:t>
            </w:r>
          </w:p>
        </w:tc>
        <w:tc>
          <w:tcPr>
            <w:tcW w:w="4571" w:type="dxa"/>
            <w:noWrap/>
            <w:hideMark/>
          </w:tcPr>
          <w:p w14:paraId="48A6535A" w14:textId="77777777" w:rsidR="00EA5815" w:rsidRPr="00BF0EEF" w:rsidRDefault="00EA5815" w:rsidP="001016AD">
            <w:r w:rsidRPr="00BF0EEF">
              <w:t xml:space="preserve">2.9. Primary prophylaxis should be offered to patients considered at high risk, as defined by an ascitic protein count &lt;1.5 g/dL. However, it is important that the potential risks and benefits and existing uncertainties are communicated to </w:t>
            </w:r>
            <w:r w:rsidRPr="00BF0EEF">
              <w:lastRenderedPageBreak/>
              <w:t>patients. (Quality of evidence: low; Recommendation: weak)</w:t>
            </w:r>
          </w:p>
        </w:tc>
        <w:tc>
          <w:tcPr>
            <w:tcW w:w="1796" w:type="dxa"/>
            <w:noWrap/>
            <w:hideMark/>
          </w:tcPr>
          <w:p w14:paraId="2FD89224" w14:textId="77777777" w:rsidR="00EA5815" w:rsidRPr="00BF0EEF" w:rsidRDefault="00EA5815" w:rsidP="001016AD">
            <w:r w:rsidRPr="00BF0EEF">
              <w:lastRenderedPageBreak/>
              <w:t>Weak</w:t>
            </w:r>
          </w:p>
        </w:tc>
        <w:tc>
          <w:tcPr>
            <w:tcW w:w="1470" w:type="dxa"/>
            <w:noWrap/>
          </w:tcPr>
          <w:p w14:paraId="226B3EE1" w14:textId="77777777" w:rsidR="00EA5815" w:rsidRPr="00BF0EEF" w:rsidRDefault="00EA5815" w:rsidP="001016AD">
            <w:r w:rsidRPr="00BF0EEF">
              <w:t>Cochrane SBP prophylaxis</w:t>
            </w:r>
          </w:p>
        </w:tc>
        <w:tc>
          <w:tcPr>
            <w:tcW w:w="1985" w:type="dxa"/>
            <w:shd w:val="clear" w:color="auto" w:fill="FF0000"/>
            <w:noWrap/>
            <w:hideMark/>
          </w:tcPr>
          <w:p w14:paraId="07580260" w14:textId="77777777" w:rsidR="00EA5815" w:rsidRPr="00BF0EEF" w:rsidRDefault="00EA5815" w:rsidP="001016AD">
            <w:r w:rsidRPr="00BF0EEF">
              <w:t>No</w:t>
            </w:r>
          </w:p>
        </w:tc>
        <w:tc>
          <w:tcPr>
            <w:tcW w:w="4677" w:type="dxa"/>
            <w:noWrap/>
            <w:hideMark/>
          </w:tcPr>
          <w:p w14:paraId="565FDF09" w14:textId="77777777" w:rsidR="00EA5815" w:rsidRPr="00BF0EEF" w:rsidRDefault="00EA5815" w:rsidP="001016AD">
            <w:r w:rsidRPr="00BF0EEF">
              <w:t>The evidence from Cochrane does not support the use of primary prophylaxis</w:t>
            </w:r>
          </w:p>
        </w:tc>
      </w:tr>
      <w:tr w:rsidR="00EA5815" w:rsidRPr="00BF0EEF" w14:paraId="710F812E" w14:textId="77777777" w:rsidTr="00EA5815">
        <w:trPr>
          <w:trHeight w:val="300"/>
        </w:trPr>
        <w:tc>
          <w:tcPr>
            <w:tcW w:w="1094" w:type="dxa"/>
            <w:noWrap/>
            <w:hideMark/>
          </w:tcPr>
          <w:p w14:paraId="06F0A81D" w14:textId="77777777" w:rsidR="00EA5815" w:rsidRPr="00BF0EEF" w:rsidRDefault="00EA5815" w:rsidP="001016AD">
            <w:r w:rsidRPr="00BF0EEF">
              <w:t>EASL 2018</w:t>
            </w:r>
          </w:p>
        </w:tc>
        <w:tc>
          <w:tcPr>
            <w:tcW w:w="4571" w:type="dxa"/>
            <w:noWrap/>
            <w:hideMark/>
          </w:tcPr>
          <w:p w14:paraId="596E0519" w14:textId="77777777" w:rsidR="00EA5815" w:rsidRPr="00BF0EEF" w:rsidRDefault="00EA5815" w:rsidP="001016AD">
            <w:r w:rsidRPr="00BF0EEF">
              <w:t>Primary prophylaxis with norfloxacin (400 mg/day) in patients with Child-Pugh score ≥9 and serum bilirubin level ≥3 mg/dl, with either impaired renal function or hyponatraemia, and ascitic fluid protein lower than 15 g/L is recommended (I;1).</w:t>
            </w:r>
          </w:p>
        </w:tc>
        <w:tc>
          <w:tcPr>
            <w:tcW w:w="1796" w:type="dxa"/>
            <w:noWrap/>
            <w:hideMark/>
          </w:tcPr>
          <w:p w14:paraId="6CC6827F" w14:textId="77777777" w:rsidR="00EA5815" w:rsidRPr="00BF0EEF" w:rsidRDefault="00EA5815" w:rsidP="001016AD">
            <w:r w:rsidRPr="00BF0EEF">
              <w:t>Strong</w:t>
            </w:r>
          </w:p>
        </w:tc>
        <w:tc>
          <w:tcPr>
            <w:tcW w:w="1470" w:type="dxa"/>
            <w:noWrap/>
          </w:tcPr>
          <w:p w14:paraId="168929FD" w14:textId="77777777" w:rsidR="00EA5815" w:rsidRPr="00BF0EEF" w:rsidRDefault="00EA5815" w:rsidP="001016AD">
            <w:r w:rsidRPr="00BF0EEF">
              <w:t>Cochrane SBP prophylaxis</w:t>
            </w:r>
          </w:p>
        </w:tc>
        <w:tc>
          <w:tcPr>
            <w:tcW w:w="1985" w:type="dxa"/>
            <w:shd w:val="clear" w:color="auto" w:fill="FF0000"/>
            <w:noWrap/>
            <w:hideMark/>
          </w:tcPr>
          <w:p w14:paraId="271C9F76" w14:textId="77777777" w:rsidR="00EA5815" w:rsidRPr="00BF0EEF" w:rsidRDefault="00EA5815" w:rsidP="001016AD">
            <w:r w:rsidRPr="00BF0EEF">
              <w:t>No</w:t>
            </w:r>
          </w:p>
        </w:tc>
        <w:tc>
          <w:tcPr>
            <w:tcW w:w="4677" w:type="dxa"/>
            <w:noWrap/>
            <w:hideMark/>
          </w:tcPr>
          <w:p w14:paraId="101E2F76" w14:textId="77777777" w:rsidR="00EA5815" w:rsidRPr="00BF0EEF" w:rsidRDefault="00EA5815" w:rsidP="001016AD">
            <w:r w:rsidRPr="00BF0EEF">
              <w:t>-</w:t>
            </w:r>
          </w:p>
        </w:tc>
      </w:tr>
      <w:tr w:rsidR="00EA5815" w:rsidRPr="00BF0EEF" w14:paraId="60455AA0" w14:textId="77777777" w:rsidTr="00EA5815">
        <w:trPr>
          <w:trHeight w:val="300"/>
        </w:trPr>
        <w:tc>
          <w:tcPr>
            <w:tcW w:w="1094" w:type="dxa"/>
            <w:noWrap/>
            <w:hideMark/>
          </w:tcPr>
          <w:p w14:paraId="7ADBAE34" w14:textId="77777777" w:rsidR="00EA5815" w:rsidRPr="00BF0EEF" w:rsidRDefault="00EA5815" w:rsidP="001016AD">
            <w:r w:rsidRPr="00BF0EEF">
              <w:t>EASL 2018</w:t>
            </w:r>
          </w:p>
        </w:tc>
        <w:tc>
          <w:tcPr>
            <w:tcW w:w="4571" w:type="dxa"/>
            <w:noWrap/>
            <w:hideMark/>
          </w:tcPr>
          <w:p w14:paraId="58B701B1" w14:textId="77777777" w:rsidR="00EA5815" w:rsidRPr="00BF0EEF" w:rsidRDefault="00EA5815" w:rsidP="001016AD">
            <w:r w:rsidRPr="00BF0EEF">
              <w:t>The administration of prophylactic Norfloxacin (400 mg/day, orally) is recommended in patients who recover from an episode of SBP (I;1).</w:t>
            </w:r>
          </w:p>
        </w:tc>
        <w:tc>
          <w:tcPr>
            <w:tcW w:w="1796" w:type="dxa"/>
            <w:noWrap/>
            <w:hideMark/>
          </w:tcPr>
          <w:p w14:paraId="7FC8C66D" w14:textId="77777777" w:rsidR="00EA5815" w:rsidRPr="00BF0EEF" w:rsidRDefault="00EA5815" w:rsidP="001016AD">
            <w:r w:rsidRPr="00BF0EEF">
              <w:t>Strong</w:t>
            </w:r>
          </w:p>
        </w:tc>
        <w:tc>
          <w:tcPr>
            <w:tcW w:w="1470" w:type="dxa"/>
            <w:noWrap/>
          </w:tcPr>
          <w:p w14:paraId="54714FB6" w14:textId="77777777" w:rsidR="00EA5815" w:rsidRPr="00BF0EEF" w:rsidRDefault="00EA5815" w:rsidP="001016AD">
            <w:r w:rsidRPr="00BF0EEF">
              <w:t>Cochrane SBP prophylaxis</w:t>
            </w:r>
          </w:p>
        </w:tc>
        <w:tc>
          <w:tcPr>
            <w:tcW w:w="1985" w:type="dxa"/>
            <w:shd w:val="clear" w:color="auto" w:fill="FF0000"/>
            <w:noWrap/>
            <w:hideMark/>
          </w:tcPr>
          <w:p w14:paraId="1A0BECBC" w14:textId="77777777" w:rsidR="00EA5815" w:rsidRPr="00BF0EEF" w:rsidRDefault="00EA5815" w:rsidP="001016AD">
            <w:r w:rsidRPr="00BF0EEF">
              <w:t>No</w:t>
            </w:r>
          </w:p>
        </w:tc>
        <w:tc>
          <w:tcPr>
            <w:tcW w:w="4677" w:type="dxa"/>
            <w:noWrap/>
            <w:hideMark/>
          </w:tcPr>
          <w:p w14:paraId="5685A630" w14:textId="77777777" w:rsidR="00EA5815" w:rsidRPr="00BF0EEF" w:rsidRDefault="00EA5815" w:rsidP="001016AD">
            <w:r w:rsidRPr="00BF0EEF">
              <w:t>-</w:t>
            </w:r>
          </w:p>
        </w:tc>
      </w:tr>
      <w:tr w:rsidR="00EA5815" w:rsidRPr="00BF0EEF" w14:paraId="6FC791D8" w14:textId="77777777" w:rsidTr="00EA5815">
        <w:trPr>
          <w:trHeight w:val="300"/>
        </w:trPr>
        <w:tc>
          <w:tcPr>
            <w:tcW w:w="1094" w:type="dxa"/>
            <w:noWrap/>
            <w:hideMark/>
          </w:tcPr>
          <w:p w14:paraId="5FB28823" w14:textId="77777777" w:rsidR="00EA5815" w:rsidRPr="00BF0EEF" w:rsidRDefault="00EA5815" w:rsidP="001016AD">
            <w:r w:rsidRPr="00BF0EEF">
              <w:t>EASL 2018</w:t>
            </w:r>
          </w:p>
        </w:tc>
        <w:tc>
          <w:tcPr>
            <w:tcW w:w="4571" w:type="dxa"/>
            <w:noWrap/>
            <w:hideMark/>
          </w:tcPr>
          <w:p w14:paraId="5F1D82A6" w14:textId="77777777" w:rsidR="00EA5815" w:rsidRPr="00BF0EEF" w:rsidRDefault="00EA5815" w:rsidP="001016AD">
            <w:r w:rsidRPr="00BF0EEF">
              <w:t xml:space="preserve">Despite some promising evidence, at present, rifaximin cannot be recommended as an alternative to norfloxacin for secondary prophylaxis of SBP (I;2). Thus, at present, no recommendation can be given to guide primary </w:t>
            </w:r>
            <w:r w:rsidRPr="00BF0EEF">
              <w:lastRenderedPageBreak/>
              <w:t>or secondary prophylaxis of SBP among patients already on rifaximin for the prevention of recurrent HE.</w:t>
            </w:r>
          </w:p>
        </w:tc>
        <w:tc>
          <w:tcPr>
            <w:tcW w:w="1796" w:type="dxa"/>
            <w:noWrap/>
            <w:hideMark/>
          </w:tcPr>
          <w:p w14:paraId="0A2A15A4" w14:textId="77777777" w:rsidR="00EA5815" w:rsidRPr="00BF0EEF" w:rsidRDefault="00EA5815" w:rsidP="001016AD">
            <w:r w:rsidRPr="00BF0EEF">
              <w:lastRenderedPageBreak/>
              <w:t>Weak</w:t>
            </w:r>
          </w:p>
        </w:tc>
        <w:tc>
          <w:tcPr>
            <w:tcW w:w="1470" w:type="dxa"/>
            <w:noWrap/>
          </w:tcPr>
          <w:p w14:paraId="0B8CE74F" w14:textId="77777777" w:rsidR="00EA5815" w:rsidRPr="00BF0EEF" w:rsidRDefault="00EA5815" w:rsidP="001016AD">
            <w:r w:rsidRPr="00BF0EEF">
              <w:t>Cochrane SBP prophylaxis</w:t>
            </w:r>
          </w:p>
        </w:tc>
        <w:tc>
          <w:tcPr>
            <w:tcW w:w="1985" w:type="dxa"/>
            <w:shd w:val="clear" w:color="auto" w:fill="92D050"/>
            <w:noWrap/>
            <w:hideMark/>
          </w:tcPr>
          <w:p w14:paraId="3792740D" w14:textId="77777777" w:rsidR="00EA5815" w:rsidRPr="00BF0EEF" w:rsidRDefault="00EA5815" w:rsidP="001016AD">
            <w:r w:rsidRPr="00BF0EEF">
              <w:t>Yes</w:t>
            </w:r>
          </w:p>
        </w:tc>
        <w:tc>
          <w:tcPr>
            <w:tcW w:w="4677" w:type="dxa"/>
            <w:noWrap/>
            <w:hideMark/>
          </w:tcPr>
          <w:p w14:paraId="087AF2F7" w14:textId="77777777" w:rsidR="00EA5815" w:rsidRPr="00BF0EEF" w:rsidRDefault="00EA5815" w:rsidP="001016AD">
            <w:r w:rsidRPr="00BF0EEF">
              <w:t>-</w:t>
            </w:r>
          </w:p>
        </w:tc>
      </w:tr>
      <w:tr w:rsidR="00EA5815" w:rsidRPr="00BF0EEF" w14:paraId="64688B6C" w14:textId="77777777" w:rsidTr="00EA5815">
        <w:trPr>
          <w:trHeight w:val="300"/>
        </w:trPr>
        <w:tc>
          <w:tcPr>
            <w:tcW w:w="1094" w:type="dxa"/>
            <w:noWrap/>
            <w:hideMark/>
          </w:tcPr>
          <w:p w14:paraId="5632FA70" w14:textId="77777777" w:rsidR="00EA5815" w:rsidRPr="00BF0EEF" w:rsidRDefault="00EA5815" w:rsidP="001016AD">
            <w:r w:rsidRPr="00BF0EEF">
              <w:t>NICE NG50</w:t>
            </w:r>
          </w:p>
        </w:tc>
        <w:tc>
          <w:tcPr>
            <w:tcW w:w="4571" w:type="dxa"/>
            <w:noWrap/>
            <w:hideMark/>
          </w:tcPr>
          <w:p w14:paraId="7CBE74F9" w14:textId="77777777" w:rsidR="00EA5815" w:rsidRPr="00BF0EEF" w:rsidRDefault="00EA5815" w:rsidP="001016AD">
            <w:r w:rsidRPr="00BF0EEF">
              <w:t>Offer prophylactic oral ciprofloxacin or norfloxacin for people with cirrhosis and ascites with an ascitic protein of 15 g/litre or less, until the ascites has resolved.</w:t>
            </w:r>
          </w:p>
        </w:tc>
        <w:tc>
          <w:tcPr>
            <w:tcW w:w="1796" w:type="dxa"/>
            <w:noWrap/>
            <w:hideMark/>
          </w:tcPr>
          <w:p w14:paraId="319A6FF1" w14:textId="77777777" w:rsidR="00EA5815" w:rsidRPr="00BF0EEF" w:rsidRDefault="00EA5815" w:rsidP="001016AD">
            <w:r w:rsidRPr="00BF0EEF">
              <w:t>Strong</w:t>
            </w:r>
          </w:p>
        </w:tc>
        <w:tc>
          <w:tcPr>
            <w:tcW w:w="1470" w:type="dxa"/>
            <w:noWrap/>
          </w:tcPr>
          <w:p w14:paraId="0CC53138" w14:textId="77777777" w:rsidR="00EA5815" w:rsidRPr="00BF0EEF" w:rsidRDefault="00EA5815" w:rsidP="001016AD">
            <w:r w:rsidRPr="00BF0EEF">
              <w:t>Cochrane SBP prophylaxis</w:t>
            </w:r>
          </w:p>
        </w:tc>
        <w:tc>
          <w:tcPr>
            <w:tcW w:w="1985" w:type="dxa"/>
            <w:shd w:val="clear" w:color="auto" w:fill="FF0000"/>
            <w:noWrap/>
            <w:hideMark/>
          </w:tcPr>
          <w:p w14:paraId="03FDDB75" w14:textId="77777777" w:rsidR="00EA5815" w:rsidRPr="00BF0EEF" w:rsidRDefault="00EA5815" w:rsidP="001016AD">
            <w:r w:rsidRPr="00BF0EEF">
              <w:t>No</w:t>
            </w:r>
          </w:p>
        </w:tc>
        <w:tc>
          <w:tcPr>
            <w:tcW w:w="4677" w:type="dxa"/>
            <w:noWrap/>
            <w:hideMark/>
          </w:tcPr>
          <w:p w14:paraId="3CD8CE21" w14:textId="77777777" w:rsidR="00EA5815" w:rsidRPr="00BF0EEF" w:rsidRDefault="00EA5815" w:rsidP="001016AD">
            <w:r w:rsidRPr="00BF0EEF">
              <w:t>-</w:t>
            </w:r>
          </w:p>
        </w:tc>
      </w:tr>
      <w:tr w:rsidR="00EA5815" w:rsidRPr="00BF0EEF" w14:paraId="36BFB921" w14:textId="77777777" w:rsidTr="00EA5815">
        <w:trPr>
          <w:trHeight w:val="300"/>
        </w:trPr>
        <w:tc>
          <w:tcPr>
            <w:tcW w:w="1094" w:type="dxa"/>
            <w:noWrap/>
            <w:hideMark/>
          </w:tcPr>
          <w:p w14:paraId="19B99A5C" w14:textId="77777777" w:rsidR="00EA5815" w:rsidRPr="00BF0EEF" w:rsidRDefault="00EA5815" w:rsidP="001016AD">
            <w:r w:rsidRPr="00BF0EEF">
              <w:t>AASLD 2021</w:t>
            </w:r>
          </w:p>
        </w:tc>
        <w:tc>
          <w:tcPr>
            <w:tcW w:w="4571" w:type="dxa"/>
            <w:noWrap/>
            <w:hideMark/>
          </w:tcPr>
          <w:p w14:paraId="00637306" w14:textId="77777777" w:rsidR="00EA5815" w:rsidRPr="00BF0EEF" w:rsidRDefault="00EA5815" w:rsidP="001016AD">
            <w:r w:rsidRPr="00BF0EEF">
              <w:t>First-line empirical antibiotic therapy for community-acquired SBP/SBE is IV third-generation cephalosporin.</w:t>
            </w:r>
          </w:p>
        </w:tc>
        <w:tc>
          <w:tcPr>
            <w:tcW w:w="1796" w:type="dxa"/>
            <w:noWrap/>
            <w:hideMark/>
          </w:tcPr>
          <w:p w14:paraId="0240581E" w14:textId="77777777" w:rsidR="00EA5815" w:rsidRPr="00BF0EEF" w:rsidRDefault="00EA5815" w:rsidP="001016AD">
            <w:r w:rsidRPr="00BF0EEF">
              <w:t>Strong</w:t>
            </w:r>
          </w:p>
        </w:tc>
        <w:tc>
          <w:tcPr>
            <w:tcW w:w="1470" w:type="dxa"/>
            <w:noWrap/>
          </w:tcPr>
          <w:p w14:paraId="79812D72" w14:textId="77777777" w:rsidR="00EA5815" w:rsidRPr="00BF0EEF" w:rsidRDefault="00EA5815" w:rsidP="001016AD">
            <w:r w:rsidRPr="00BF0EEF">
              <w:t>Cochrane: SBP treatment</w:t>
            </w:r>
          </w:p>
        </w:tc>
        <w:tc>
          <w:tcPr>
            <w:tcW w:w="1985" w:type="dxa"/>
            <w:shd w:val="clear" w:color="auto" w:fill="FF0000"/>
            <w:noWrap/>
            <w:hideMark/>
          </w:tcPr>
          <w:p w14:paraId="6BB95F9E" w14:textId="77777777" w:rsidR="00EA5815" w:rsidRPr="00BF0EEF" w:rsidRDefault="00EA5815" w:rsidP="001016AD">
            <w:r w:rsidRPr="00BF0EEF">
              <w:t>No</w:t>
            </w:r>
          </w:p>
        </w:tc>
        <w:tc>
          <w:tcPr>
            <w:tcW w:w="4677" w:type="dxa"/>
            <w:noWrap/>
            <w:hideMark/>
          </w:tcPr>
          <w:p w14:paraId="41961C12" w14:textId="77777777" w:rsidR="00EA5815" w:rsidRPr="00BF0EEF" w:rsidRDefault="00EA5815" w:rsidP="001016AD">
            <w:r w:rsidRPr="00BF0EEF">
              <w:t>-</w:t>
            </w:r>
          </w:p>
        </w:tc>
      </w:tr>
      <w:tr w:rsidR="00EA5815" w:rsidRPr="00BF0EEF" w14:paraId="304DD4F7" w14:textId="77777777" w:rsidTr="00EA5815">
        <w:trPr>
          <w:trHeight w:val="300"/>
        </w:trPr>
        <w:tc>
          <w:tcPr>
            <w:tcW w:w="1094" w:type="dxa"/>
            <w:noWrap/>
            <w:hideMark/>
          </w:tcPr>
          <w:p w14:paraId="742DF19D" w14:textId="77777777" w:rsidR="00EA5815" w:rsidRPr="00BF0EEF" w:rsidRDefault="00EA5815" w:rsidP="001016AD">
            <w:r w:rsidRPr="00BF0EEF">
              <w:t>AASLD 2021</w:t>
            </w:r>
          </w:p>
        </w:tc>
        <w:tc>
          <w:tcPr>
            <w:tcW w:w="4571" w:type="dxa"/>
            <w:noWrap/>
            <w:hideMark/>
          </w:tcPr>
          <w:p w14:paraId="219B10F1" w14:textId="77777777" w:rsidR="00EA5815" w:rsidRPr="00BF0EEF" w:rsidRDefault="00EA5815" w:rsidP="001016AD">
            <w:r w:rsidRPr="00BF0EEF">
              <w:t>In patients with a health care–associated or nosocomial infection or recent exposure to broad-spectrum antibiotics or who are admitted with sepsis or septic shock, empirical therapy with broad-spectrum antibiotics should be initiated as the first line.</w:t>
            </w:r>
          </w:p>
        </w:tc>
        <w:tc>
          <w:tcPr>
            <w:tcW w:w="1796" w:type="dxa"/>
            <w:noWrap/>
            <w:hideMark/>
          </w:tcPr>
          <w:p w14:paraId="54E5BF99" w14:textId="77777777" w:rsidR="00EA5815" w:rsidRPr="00BF0EEF" w:rsidRDefault="00EA5815" w:rsidP="001016AD">
            <w:r w:rsidRPr="00BF0EEF">
              <w:t>Strong</w:t>
            </w:r>
          </w:p>
        </w:tc>
        <w:tc>
          <w:tcPr>
            <w:tcW w:w="1470" w:type="dxa"/>
            <w:noWrap/>
          </w:tcPr>
          <w:p w14:paraId="0CF42674" w14:textId="77777777" w:rsidR="00EA5815" w:rsidRPr="00BF0EEF" w:rsidRDefault="00EA5815" w:rsidP="001016AD">
            <w:r w:rsidRPr="00BF0EEF">
              <w:t>Cochrane: SBP treatment</w:t>
            </w:r>
          </w:p>
        </w:tc>
        <w:tc>
          <w:tcPr>
            <w:tcW w:w="1985" w:type="dxa"/>
            <w:shd w:val="clear" w:color="auto" w:fill="FF0000"/>
            <w:noWrap/>
            <w:hideMark/>
          </w:tcPr>
          <w:p w14:paraId="0D73E9C4" w14:textId="77777777" w:rsidR="00EA5815" w:rsidRPr="00BF0EEF" w:rsidRDefault="00EA5815" w:rsidP="001016AD">
            <w:r w:rsidRPr="00BF0EEF">
              <w:t>No</w:t>
            </w:r>
          </w:p>
        </w:tc>
        <w:tc>
          <w:tcPr>
            <w:tcW w:w="4677" w:type="dxa"/>
            <w:noWrap/>
            <w:hideMark/>
          </w:tcPr>
          <w:p w14:paraId="32DBAB77" w14:textId="77777777" w:rsidR="00EA5815" w:rsidRPr="00BF0EEF" w:rsidRDefault="00EA5815" w:rsidP="001016AD">
            <w:r w:rsidRPr="00BF0EEF">
              <w:t>-</w:t>
            </w:r>
          </w:p>
        </w:tc>
      </w:tr>
      <w:tr w:rsidR="00EA5815" w:rsidRPr="00BF0EEF" w14:paraId="25D231B3" w14:textId="77777777" w:rsidTr="00EA5815">
        <w:trPr>
          <w:trHeight w:val="300"/>
        </w:trPr>
        <w:tc>
          <w:tcPr>
            <w:tcW w:w="1094" w:type="dxa"/>
            <w:noWrap/>
            <w:hideMark/>
          </w:tcPr>
          <w:p w14:paraId="34EFCE50" w14:textId="77777777" w:rsidR="00EA5815" w:rsidRPr="00BF0EEF" w:rsidRDefault="00EA5815" w:rsidP="001016AD">
            <w:r w:rsidRPr="00BF0EEF">
              <w:lastRenderedPageBreak/>
              <w:t>BSG 2020</w:t>
            </w:r>
          </w:p>
        </w:tc>
        <w:tc>
          <w:tcPr>
            <w:tcW w:w="4571" w:type="dxa"/>
            <w:noWrap/>
            <w:hideMark/>
          </w:tcPr>
          <w:p w14:paraId="6ECAB0F2" w14:textId="77777777" w:rsidR="00EA5815" w:rsidRPr="00BF0EEF" w:rsidRDefault="00EA5815" w:rsidP="001016AD">
            <w:r w:rsidRPr="00BF0EEF">
              <w:t>Immediate empirical antibiotic therapy should be determined with due consideration of context of SBP (community acquired or healthcare associated), severity of infection and local bacterial resistance profile. Cefotaxime has been widely studied, but choice of antibiotic should be guided by local resistance patterns and protocol (recommendation = strong)</w:t>
            </w:r>
          </w:p>
        </w:tc>
        <w:tc>
          <w:tcPr>
            <w:tcW w:w="1796" w:type="dxa"/>
            <w:noWrap/>
            <w:hideMark/>
          </w:tcPr>
          <w:p w14:paraId="70F3249B" w14:textId="77777777" w:rsidR="00EA5815" w:rsidRPr="00BF0EEF" w:rsidRDefault="00EA5815" w:rsidP="001016AD">
            <w:r w:rsidRPr="00BF0EEF">
              <w:t>Strong</w:t>
            </w:r>
          </w:p>
        </w:tc>
        <w:tc>
          <w:tcPr>
            <w:tcW w:w="1470" w:type="dxa"/>
            <w:noWrap/>
          </w:tcPr>
          <w:p w14:paraId="3AD02F57" w14:textId="77777777" w:rsidR="00EA5815" w:rsidRPr="00BF0EEF" w:rsidRDefault="00EA5815" w:rsidP="001016AD">
            <w:r w:rsidRPr="00BF0EEF">
              <w:t>Cochrane: SBP treatment</w:t>
            </w:r>
          </w:p>
        </w:tc>
        <w:tc>
          <w:tcPr>
            <w:tcW w:w="1985" w:type="dxa"/>
            <w:shd w:val="clear" w:color="auto" w:fill="FF0000"/>
            <w:noWrap/>
            <w:hideMark/>
          </w:tcPr>
          <w:p w14:paraId="5FB4FF22" w14:textId="77777777" w:rsidR="00EA5815" w:rsidRPr="00BF0EEF" w:rsidRDefault="00EA5815" w:rsidP="001016AD">
            <w:r w:rsidRPr="00BF0EEF">
              <w:t>No</w:t>
            </w:r>
          </w:p>
        </w:tc>
        <w:tc>
          <w:tcPr>
            <w:tcW w:w="4677" w:type="dxa"/>
            <w:noWrap/>
            <w:hideMark/>
          </w:tcPr>
          <w:p w14:paraId="3DACB616" w14:textId="77777777" w:rsidR="00EA5815" w:rsidRPr="00BF0EEF" w:rsidRDefault="00EA5815" w:rsidP="001016AD">
            <w:r w:rsidRPr="00BF0EEF">
              <w:t>While there is agreement that there is uncertainty, there are difference in the levels of uncertainty and strength of recommendation. There is uncertainty in primary prophylaxis for SBP</w:t>
            </w:r>
          </w:p>
        </w:tc>
      </w:tr>
      <w:tr w:rsidR="00EA5815" w:rsidRPr="00BF0EEF" w14:paraId="69CD017C" w14:textId="77777777" w:rsidTr="00EA5815">
        <w:trPr>
          <w:trHeight w:val="300"/>
        </w:trPr>
        <w:tc>
          <w:tcPr>
            <w:tcW w:w="1094" w:type="dxa"/>
            <w:noWrap/>
            <w:hideMark/>
          </w:tcPr>
          <w:p w14:paraId="0BC9735A" w14:textId="77777777" w:rsidR="00EA5815" w:rsidRPr="00BF0EEF" w:rsidRDefault="00EA5815" w:rsidP="001016AD">
            <w:r w:rsidRPr="00BF0EEF">
              <w:t>EASL 2018</w:t>
            </w:r>
          </w:p>
        </w:tc>
        <w:tc>
          <w:tcPr>
            <w:tcW w:w="4571" w:type="dxa"/>
            <w:noWrap/>
            <w:hideMark/>
          </w:tcPr>
          <w:p w14:paraId="4A5AF692" w14:textId="77777777" w:rsidR="00EA5815" w:rsidRPr="00BF0EEF" w:rsidRDefault="00EA5815" w:rsidP="001016AD">
            <w:r w:rsidRPr="00BF0EEF">
              <w:t>Third-generation cephalosporins are recommended as first-line antibiotic treatment for community-acquired SBP in countries with low rates of bacterial resistance (I;1). In countries with high rates of bacterial resistance piperacillin/tazobactam or carbapenem should be considered (II-2;1).</w:t>
            </w:r>
          </w:p>
        </w:tc>
        <w:tc>
          <w:tcPr>
            <w:tcW w:w="1796" w:type="dxa"/>
            <w:noWrap/>
            <w:hideMark/>
          </w:tcPr>
          <w:p w14:paraId="1EB225B1" w14:textId="77777777" w:rsidR="00EA5815" w:rsidRPr="00BF0EEF" w:rsidRDefault="00EA5815" w:rsidP="001016AD">
            <w:r w:rsidRPr="00BF0EEF">
              <w:t>Strong</w:t>
            </w:r>
          </w:p>
        </w:tc>
        <w:tc>
          <w:tcPr>
            <w:tcW w:w="1470" w:type="dxa"/>
            <w:noWrap/>
          </w:tcPr>
          <w:p w14:paraId="335CCB4C" w14:textId="77777777" w:rsidR="00EA5815" w:rsidRPr="00BF0EEF" w:rsidRDefault="00EA5815" w:rsidP="001016AD">
            <w:r w:rsidRPr="00BF0EEF">
              <w:t>Cochrane: SBP treatment</w:t>
            </w:r>
          </w:p>
        </w:tc>
        <w:tc>
          <w:tcPr>
            <w:tcW w:w="1985" w:type="dxa"/>
            <w:shd w:val="clear" w:color="auto" w:fill="FF0000"/>
            <w:noWrap/>
            <w:hideMark/>
          </w:tcPr>
          <w:p w14:paraId="09EFEDD7" w14:textId="77777777" w:rsidR="00EA5815" w:rsidRPr="00BF0EEF" w:rsidRDefault="00EA5815" w:rsidP="001016AD">
            <w:r w:rsidRPr="00BF0EEF">
              <w:t>No</w:t>
            </w:r>
          </w:p>
        </w:tc>
        <w:tc>
          <w:tcPr>
            <w:tcW w:w="4677" w:type="dxa"/>
            <w:noWrap/>
            <w:hideMark/>
          </w:tcPr>
          <w:p w14:paraId="548412AB" w14:textId="77777777" w:rsidR="00EA5815" w:rsidRPr="00BF0EEF" w:rsidRDefault="00EA5815" w:rsidP="001016AD">
            <w:r w:rsidRPr="00BF0EEF">
              <w:t>-</w:t>
            </w:r>
          </w:p>
        </w:tc>
      </w:tr>
      <w:tr w:rsidR="00EA5815" w:rsidRPr="00BF0EEF" w14:paraId="5C81F3E7" w14:textId="77777777" w:rsidTr="00EA5815">
        <w:trPr>
          <w:trHeight w:val="300"/>
        </w:trPr>
        <w:tc>
          <w:tcPr>
            <w:tcW w:w="1094" w:type="dxa"/>
            <w:noWrap/>
            <w:hideMark/>
          </w:tcPr>
          <w:p w14:paraId="78BEEA4E" w14:textId="77777777" w:rsidR="00EA5815" w:rsidRPr="00BF0EEF" w:rsidRDefault="00EA5815" w:rsidP="001016AD">
            <w:r w:rsidRPr="00BF0EEF">
              <w:lastRenderedPageBreak/>
              <w:t>EASL 2018</w:t>
            </w:r>
          </w:p>
        </w:tc>
        <w:tc>
          <w:tcPr>
            <w:tcW w:w="4571" w:type="dxa"/>
            <w:noWrap/>
            <w:hideMark/>
          </w:tcPr>
          <w:p w14:paraId="4F2FA0A1" w14:textId="77777777" w:rsidR="00EA5815" w:rsidRPr="00BF0EEF" w:rsidRDefault="00EA5815" w:rsidP="001016AD">
            <w:r w:rsidRPr="00BF0EEF">
              <w:t>Healthcare associated and nosocomial SBP is more likely to harbour resistance to antibiotics. Piperacillin/tazobactam should be given in areas with low prevalence of multi-drug resistance while carbapenem should be used in areas with high prevalence of ESBL producing Enterobacteriaceae. Carbapenem should be combined with glycopeptides or daptomycin or linezolid in areas with high prevalence of gram positive MDR bacteria (I;1).</w:t>
            </w:r>
          </w:p>
        </w:tc>
        <w:tc>
          <w:tcPr>
            <w:tcW w:w="1796" w:type="dxa"/>
            <w:noWrap/>
            <w:hideMark/>
          </w:tcPr>
          <w:p w14:paraId="713228B6" w14:textId="77777777" w:rsidR="00EA5815" w:rsidRPr="00BF0EEF" w:rsidRDefault="00EA5815" w:rsidP="001016AD">
            <w:r w:rsidRPr="00BF0EEF">
              <w:t>Strong</w:t>
            </w:r>
          </w:p>
        </w:tc>
        <w:tc>
          <w:tcPr>
            <w:tcW w:w="1470" w:type="dxa"/>
            <w:noWrap/>
          </w:tcPr>
          <w:p w14:paraId="2C50C15C" w14:textId="77777777" w:rsidR="00EA5815" w:rsidRPr="00BF0EEF" w:rsidRDefault="00EA5815" w:rsidP="001016AD">
            <w:r w:rsidRPr="00BF0EEF">
              <w:t>Cochrane: SBP treatment</w:t>
            </w:r>
          </w:p>
        </w:tc>
        <w:tc>
          <w:tcPr>
            <w:tcW w:w="1985" w:type="dxa"/>
            <w:shd w:val="clear" w:color="auto" w:fill="FF0000"/>
            <w:noWrap/>
            <w:hideMark/>
          </w:tcPr>
          <w:p w14:paraId="3116A7FC" w14:textId="77777777" w:rsidR="00EA5815" w:rsidRPr="00BF0EEF" w:rsidRDefault="00EA5815" w:rsidP="001016AD">
            <w:r w:rsidRPr="00BF0EEF">
              <w:t>No</w:t>
            </w:r>
          </w:p>
        </w:tc>
        <w:tc>
          <w:tcPr>
            <w:tcW w:w="4677" w:type="dxa"/>
            <w:noWrap/>
            <w:hideMark/>
          </w:tcPr>
          <w:p w14:paraId="4D3745EA" w14:textId="77777777" w:rsidR="00EA5815" w:rsidRPr="00BF0EEF" w:rsidRDefault="00EA5815" w:rsidP="001016AD">
            <w:r w:rsidRPr="00BF0EEF">
              <w:t>-</w:t>
            </w:r>
          </w:p>
        </w:tc>
      </w:tr>
      <w:tr w:rsidR="00EA5815" w:rsidRPr="00BF0EEF" w14:paraId="1EF30241" w14:textId="77777777" w:rsidTr="00EA5815">
        <w:trPr>
          <w:trHeight w:val="300"/>
        </w:trPr>
        <w:tc>
          <w:tcPr>
            <w:tcW w:w="1094" w:type="dxa"/>
            <w:noWrap/>
            <w:hideMark/>
          </w:tcPr>
          <w:p w14:paraId="0076D337" w14:textId="77777777" w:rsidR="00EA5815" w:rsidRPr="00BF0EEF" w:rsidRDefault="00EA5815" w:rsidP="001016AD">
            <w:r w:rsidRPr="00BF0EEF">
              <w:t>AASLD 2017</w:t>
            </w:r>
          </w:p>
        </w:tc>
        <w:tc>
          <w:tcPr>
            <w:tcW w:w="4571" w:type="dxa"/>
            <w:noWrap/>
            <w:hideMark/>
          </w:tcPr>
          <w:p w14:paraId="6991A6D7" w14:textId="77777777" w:rsidR="00EA5815" w:rsidRPr="00BF0EEF" w:rsidRDefault="00EA5815" w:rsidP="001016AD">
            <w:r w:rsidRPr="00BF0EEF">
              <w:t>Either traditional NSBBs (propranolol, nadolol), carvedilol, or EVL is recommended for the prevention of first VH (primary prophylaxis) in patients with medium or large varices</w:t>
            </w:r>
          </w:p>
        </w:tc>
        <w:tc>
          <w:tcPr>
            <w:tcW w:w="1796" w:type="dxa"/>
            <w:noWrap/>
            <w:hideMark/>
          </w:tcPr>
          <w:p w14:paraId="13BA7959" w14:textId="77777777" w:rsidR="00EA5815" w:rsidRPr="00BF0EEF" w:rsidRDefault="00EA5815" w:rsidP="001016AD">
            <w:r w:rsidRPr="00BF0EEF">
              <w:t>Strong</w:t>
            </w:r>
          </w:p>
        </w:tc>
        <w:tc>
          <w:tcPr>
            <w:tcW w:w="1470" w:type="dxa"/>
            <w:noWrap/>
          </w:tcPr>
          <w:p w14:paraId="73CE1835" w14:textId="77777777" w:rsidR="00EA5815" w:rsidRPr="00BF0EEF" w:rsidRDefault="00EA5815" w:rsidP="001016AD">
            <w:r w:rsidRPr="00BF0EEF">
              <w:t>Cochrane: primary prevention variceal bleeding</w:t>
            </w:r>
          </w:p>
        </w:tc>
        <w:tc>
          <w:tcPr>
            <w:tcW w:w="1985" w:type="dxa"/>
            <w:shd w:val="clear" w:color="auto" w:fill="FF0000"/>
            <w:noWrap/>
            <w:hideMark/>
          </w:tcPr>
          <w:p w14:paraId="44839108" w14:textId="77777777" w:rsidR="00EA5815" w:rsidRPr="00BF0EEF" w:rsidRDefault="00EA5815" w:rsidP="001016AD">
            <w:r w:rsidRPr="00BF0EEF">
              <w:t>No</w:t>
            </w:r>
          </w:p>
        </w:tc>
        <w:tc>
          <w:tcPr>
            <w:tcW w:w="4677" w:type="dxa"/>
            <w:noWrap/>
            <w:hideMark/>
          </w:tcPr>
          <w:p w14:paraId="065FA96A" w14:textId="77777777" w:rsidR="00EA5815" w:rsidRPr="00BF0EEF" w:rsidRDefault="00EA5815" w:rsidP="001016AD">
            <w:r w:rsidRPr="00BF0EEF">
              <w:t>-</w:t>
            </w:r>
          </w:p>
        </w:tc>
      </w:tr>
      <w:tr w:rsidR="00EA5815" w:rsidRPr="00BF0EEF" w14:paraId="3AD10C8F" w14:textId="77777777" w:rsidTr="00EA5815">
        <w:trPr>
          <w:trHeight w:val="300"/>
        </w:trPr>
        <w:tc>
          <w:tcPr>
            <w:tcW w:w="1094" w:type="dxa"/>
            <w:noWrap/>
            <w:hideMark/>
          </w:tcPr>
          <w:p w14:paraId="6BAA3AAC" w14:textId="77777777" w:rsidR="00EA5815" w:rsidRPr="00BF0EEF" w:rsidRDefault="00EA5815" w:rsidP="001016AD">
            <w:r w:rsidRPr="00BF0EEF">
              <w:lastRenderedPageBreak/>
              <w:t>AASLD 2017</w:t>
            </w:r>
          </w:p>
        </w:tc>
        <w:tc>
          <w:tcPr>
            <w:tcW w:w="4571" w:type="dxa"/>
            <w:noWrap/>
            <w:hideMark/>
          </w:tcPr>
          <w:p w14:paraId="7C99C820" w14:textId="77777777" w:rsidR="00EA5815" w:rsidRPr="00BF0EEF" w:rsidRDefault="00EA5815" w:rsidP="001016AD">
            <w:r w:rsidRPr="00BF0EEF">
              <w:t>Combination therapy NSBB plus EVL is not recommended in this setting</w:t>
            </w:r>
          </w:p>
        </w:tc>
        <w:tc>
          <w:tcPr>
            <w:tcW w:w="1796" w:type="dxa"/>
            <w:noWrap/>
            <w:hideMark/>
          </w:tcPr>
          <w:p w14:paraId="329F6657" w14:textId="77777777" w:rsidR="00EA5815" w:rsidRPr="00BF0EEF" w:rsidRDefault="00EA5815" w:rsidP="001016AD">
            <w:r w:rsidRPr="00BF0EEF">
              <w:t>Strong</w:t>
            </w:r>
          </w:p>
        </w:tc>
        <w:tc>
          <w:tcPr>
            <w:tcW w:w="1470" w:type="dxa"/>
            <w:noWrap/>
          </w:tcPr>
          <w:p w14:paraId="2825F50B" w14:textId="77777777" w:rsidR="00EA5815" w:rsidRPr="00BF0EEF" w:rsidRDefault="00EA5815" w:rsidP="001016AD">
            <w:r w:rsidRPr="00BF0EEF">
              <w:t>Cochrane: primary prevention variceal bleeding</w:t>
            </w:r>
          </w:p>
        </w:tc>
        <w:tc>
          <w:tcPr>
            <w:tcW w:w="1985" w:type="dxa"/>
            <w:shd w:val="clear" w:color="auto" w:fill="FF0000"/>
            <w:noWrap/>
            <w:hideMark/>
          </w:tcPr>
          <w:p w14:paraId="53366DE1" w14:textId="77777777" w:rsidR="00EA5815" w:rsidRPr="00BF0EEF" w:rsidRDefault="00EA5815" w:rsidP="001016AD">
            <w:r w:rsidRPr="00BF0EEF">
              <w:t>No</w:t>
            </w:r>
          </w:p>
        </w:tc>
        <w:tc>
          <w:tcPr>
            <w:tcW w:w="4677" w:type="dxa"/>
            <w:noWrap/>
            <w:hideMark/>
          </w:tcPr>
          <w:p w14:paraId="6A222422" w14:textId="77777777" w:rsidR="00EA5815" w:rsidRPr="00BF0EEF" w:rsidRDefault="00EA5815" w:rsidP="001016AD">
            <w:r w:rsidRPr="00BF0EEF">
              <w:t>Although not mentioned in the abstract of the Cochrane review, there is considerable uncertainty in the benefit of NSBBD plus EVL. Therefore, there is agreement in the two statements, but not in the strength</w:t>
            </w:r>
          </w:p>
        </w:tc>
      </w:tr>
      <w:tr w:rsidR="00EA5815" w:rsidRPr="00BF0EEF" w14:paraId="00368C19" w14:textId="77777777" w:rsidTr="00EA5815">
        <w:trPr>
          <w:trHeight w:val="300"/>
        </w:trPr>
        <w:tc>
          <w:tcPr>
            <w:tcW w:w="1094" w:type="dxa"/>
            <w:noWrap/>
            <w:hideMark/>
          </w:tcPr>
          <w:p w14:paraId="00DBAC7C" w14:textId="77777777" w:rsidR="00EA5815" w:rsidRPr="00BF0EEF" w:rsidRDefault="00EA5815" w:rsidP="001016AD">
            <w:r w:rsidRPr="00BF0EEF">
              <w:t>AASLD 2017</w:t>
            </w:r>
          </w:p>
        </w:tc>
        <w:tc>
          <w:tcPr>
            <w:tcW w:w="4571" w:type="dxa"/>
            <w:noWrap/>
            <w:hideMark/>
          </w:tcPr>
          <w:p w14:paraId="0674BF0F" w14:textId="77777777" w:rsidR="00EA5815" w:rsidRPr="00BF0EEF" w:rsidRDefault="00EA5815" w:rsidP="001016AD">
            <w:r w:rsidRPr="00BF0EEF">
              <w:t>TIPS placement is not recommended in the prevention of first VH</w:t>
            </w:r>
          </w:p>
        </w:tc>
        <w:tc>
          <w:tcPr>
            <w:tcW w:w="1796" w:type="dxa"/>
            <w:noWrap/>
            <w:hideMark/>
          </w:tcPr>
          <w:p w14:paraId="47D243CB" w14:textId="77777777" w:rsidR="00EA5815" w:rsidRPr="00BF0EEF" w:rsidRDefault="00EA5815" w:rsidP="001016AD">
            <w:r w:rsidRPr="00BF0EEF">
              <w:t>Strong</w:t>
            </w:r>
          </w:p>
        </w:tc>
        <w:tc>
          <w:tcPr>
            <w:tcW w:w="1470" w:type="dxa"/>
            <w:noWrap/>
          </w:tcPr>
          <w:p w14:paraId="687FA190" w14:textId="77777777" w:rsidR="00EA5815" w:rsidRPr="00BF0EEF" w:rsidRDefault="00EA5815" w:rsidP="001016AD">
            <w:r w:rsidRPr="00BF0EEF">
              <w:t>Cochrane: primary prevention variceal bleeding</w:t>
            </w:r>
          </w:p>
        </w:tc>
        <w:tc>
          <w:tcPr>
            <w:tcW w:w="1985" w:type="dxa"/>
            <w:shd w:val="clear" w:color="auto" w:fill="FF0000"/>
            <w:noWrap/>
            <w:hideMark/>
          </w:tcPr>
          <w:p w14:paraId="0365F199" w14:textId="77777777" w:rsidR="00EA5815" w:rsidRPr="00BF0EEF" w:rsidRDefault="00EA5815" w:rsidP="001016AD">
            <w:r w:rsidRPr="00BF0EEF">
              <w:t>No</w:t>
            </w:r>
          </w:p>
        </w:tc>
        <w:tc>
          <w:tcPr>
            <w:tcW w:w="4677" w:type="dxa"/>
            <w:noWrap/>
            <w:hideMark/>
          </w:tcPr>
          <w:p w14:paraId="78F23DB7" w14:textId="77777777" w:rsidR="00EA5815" w:rsidRPr="00BF0EEF" w:rsidRDefault="00EA5815" w:rsidP="001016AD">
            <w:r w:rsidRPr="00BF0EEF">
              <w:t>Although not mentioned in the abstract of the Cochrane review, there is considerable uncertainty in the benefit of TIPS. Therefore, there is agreement in the two statements, but not in the strength</w:t>
            </w:r>
          </w:p>
        </w:tc>
      </w:tr>
      <w:tr w:rsidR="00EA5815" w:rsidRPr="00BF0EEF" w14:paraId="00FE267B" w14:textId="77777777" w:rsidTr="00EA5815">
        <w:trPr>
          <w:trHeight w:val="300"/>
        </w:trPr>
        <w:tc>
          <w:tcPr>
            <w:tcW w:w="1094" w:type="dxa"/>
            <w:noWrap/>
            <w:hideMark/>
          </w:tcPr>
          <w:p w14:paraId="47A93CE0" w14:textId="77777777" w:rsidR="00EA5815" w:rsidRPr="00BF0EEF" w:rsidRDefault="00EA5815" w:rsidP="001016AD">
            <w:r w:rsidRPr="00BF0EEF">
              <w:t>AASLD 2017</w:t>
            </w:r>
          </w:p>
        </w:tc>
        <w:tc>
          <w:tcPr>
            <w:tcW w:w="4571" w:type="dxa"/>
            <w:noWrap/>
            <w:hideMark/>
          </w:tcPr>
          <w:p w14:paraId="42913425" w14:textId="77777777" w:rsidR="00EA5815" w:rsidRPr="00BF0EEF" w:rsidRDefault="00EA5815" w:rsidP="001016AD">
            <w:r w:rsidRPr="00BF0EEF">
              <w:t>NSBB is the recommended therapy for patients with high-risk small EV</w:t>
            </w:r>
          </w:p>
        </w:tc>
        <w:tc>
          <w:tcPr>
            <w:tcW w:w="1796" w:type="dxa"/>
            <w:noWrap/>
            <w:hideMark/>
          </w:tcPr>
          <w:p w14:paraId="578A3E57" w14:textId="77777777" w:rsidR="00EA5815" w:rsidRPr="00BF0EEF" w:rsidRDefault="00EA5815" w:rsidP="001016AD">
            <w:r w:rsidRPr="00BF0EEF">
              <w:t>Strong</w:t>
            </w:r>
          </w:p>
        </w:tc>
        <w:tc>
          <w:tcPr>
            <w:tcW w:w="1470" w:type="dxa"/>
            <w:noWrap/>
          </w:tcPr>
          <w:p w14:paraId="6D8673B5" w14:textId="77777777" w:rsidR="00EA5815" w:rsidRPr="00BF0EEF" w:rsidRDefault="00EA5815" w:rsidP="001016AD">
            <w:r w:rsidRPr="00BF0EEF">
              <w:t>Cochrane: primary prevention variceal bleeding</w:t>
            </w:r>
          </w:p>
        </w:tc>
        <w:tc>
          <w:tcPr>
            <w:tcW w:w="1985" w:type="dxa"/>
            <w:shd w:val="clear" w:color="auto" w:fill="FF0000"/>
            <w:noWrap/>
            <w:hideMark/>
          </w:tcPr>
          <w:p w14:paraId="5A11DA5E" w14:textId="77777777" w:rsidR="00EA5815" w:rsidRPr="00BF0EEF" w:rsidRDefault="00EA5815" w:rsidP="001016AD">
            <w:r w:rsidRPr="00BF0EEF">
              <w:t>No</w:t>
            </w:r>
          </w:p>
        </w:tc>
        <w:tc>
          <w:tcPr>
            <w:tcW w:w="4677" w:type="dxa"/>
            <w:noWrap/>
            <w:hideMark/>
          </w:tcPr>
          <w:p w14:paraId="79F32C79" w14:textId="77777777" w:rsidR="00EA5815" w:rsidRPr="00BF0EEF" w:rsidRDefault="00EA5815" w:rsidP="001016AD">
            <w:r w:rsidRPr="00BF0EEF">
              <w:t>Although not mentioned in the abstract of the Cochrane review, among the different treatments, betablockers ranks highest in terms of decreasing mortality and better than endoscopic treatments in terms of adverse events</w:t>
            </w:r>
          </w:p>
        </w:tc>
      </w:tr>
      <w:tr w:rsidR="00EA5815" w:rsidRPr="00BF0EEF" w14:paraId="3CA413C9" w14:textId="77777777" w:rsidTr="00EA5815">
        <w:trPr>
          <w:trHeight w:val="300"/>
        </w:trPr>
        <w:tc>
          <w:tcPr>
            <w:tcW w:w="1094" w:type="dxa"/>
            <w:noWrap/>
            <w:hideMark/>
          </w:tcPr>
          <w:p w14:paraId="3116EE5D" w14:textId="77777777" w:rsidR="00EA5815" w:rsidRPr="00BF0EEF" w:rsidRDefault="00EA5815" w:rsidP="001016AD">
            <w:r w:rsidRPr="00BF0EEF">
              <w:lastRenderedPageBreak/>
              <w:t>BSG 2015</w:t>
            </w:r>
          </w:p>
        </w:tc>
        <w:tc>
          <w:tcPr>
            <w:tcW w:w="4571" w:type="dxa"/>
            <w:noWrap/>
            <w:hideMark/>
          </w:tcPr>
          <w:p w14:paraId="57C329AC" w14:textId="77777777" w:rsidR="00EA5815" w:rsidRPr="00BF0EEF" w:rsidRDefault="00EA5815" w:rsidP="001016AD">
            <w:r w:rsidRPr="00BF0EEF">
              <w:t>We recommend non-cardioselective β blockers (NSBB) or variceal band ligation (VBL). We suggest pharmacological treatment with propranolol as first line. VBL is offered if there are contraindications to NSBB. The choice of VBL or NSBB should also take into account patient choice</w:t>
            </w:r>
          </w:p>
        </w:tc>
        <w:tc>
          <w:tcPr>
            <w:tcW w:w="1796" w:type="dxa"/>
            <w:noWrap/>
            <w:hideMark/>
          </w:tcPr>
          <w:p w14:paraId="75228030" w14:textId="77777777" w:rsidR="00EA5815" w:rsidRPr="00BF0EEF" w:rsidRDefault="00EA5815" w:rsidP="001016AD">
            <w:r w:rsidRPr="00BF0EEF">
              <w:t>Strong</w:t>
            </w:r>
          </w:p>
        </w:tc>
        <w:tc>
          <w:tcPr>
            <w:tcW w:w="1470" w:type="dxa"/>
            <w:noWrap/>
          </w:tcPr>
          <w:p w14:paraId="479CABB8" w14:textId="77777777" w:rsidR="00EA5815" w:rsidRPr="00BF0EEF" w:rsidRDefault="00EA5815" w:rsidP="001016AD">
            <w:r w:rsidRPr="00BF0EEF">
              <w:t>Cochrane: primary prevention variceal bleeding</w:t>
            </w:r>
          </w:p>
        </w:tc>
        <w:tc>
          <w:tcPr>
            <w:tcW w:w="1985" w:type="dxa"/>
            <w:shd w:val="clear" w:color="auto" w:fill="FF0000"/>
            <w:noWrap/>
            <w:hideMark/>
          </w:tcPr>
          <w:p w14:paraId="60749C77" w14:textId="77777777" w:rsidR="00EA5815" w:rsidRPr="00BF0EEF" w:rsidRDefault="00EA5815" w:rsidP="001016AD">
            <w:r w:rsidRPr="00BF0EEF">
              <w:t>No</w:t>
            </w:r>
          </w:p>
        </w:tc>
        <w:tc>
          <w:tcPr>
            <w:tcW w:w="4677" w:type="dxa"/>
            <w:noWrap/>
            <w:hideMark/>
          </w:tcPr>
          <w:p w14:paraId="74A36D46" w14:textId="77777777" w:rsidR="00EA5815" w:rsidRPr="00BF0EEF" w:rsidRDefault="00EA5815" w:rsidP="001016AD">
            <w:r w:rsidRPr="00BF0EEF">
              <w:t>-</w:t>
            </w:r>
          </w:p>
        </w:tc>
      </w:tr>
      <w:tr w:rsidR="00EA5815" w:rsidRPr="00BF0EEF" w14:paraId="10231BC6" w14:textId="77777777" w:rsidTr="00EA5815">
        <w:trPr>
          <w:trHeight w:val="300"/>
        </w:trPr>
        <w:tc>
          <w:tcPr>
            <w:tcW w:w="1094" w:type="dxa"/>
            <w:noWrap/>
            <w:hideMark/>
          </w:tcPr>
          <w:p w14:paraId="7D97DB82" w14:textId="77777777" w:rsidR="00EA5815" w:rsidRPr="00BF0EEF" w:rsidRDefault="00EA5815" w:rsidP="001016AD">
            <w:r w:rsidRPr="00BF0EEF">
              <w:t>BSG 2015</w:t>
            </w:r>
          </w:p>
        </w:tc>
        <w:tc>
          <w:tcPr>
            <w:tcW w:w="4571" w:type="dxa"/>
            <w:noWrap/>
            <w:hideMark/>
          </w:tcPr>
          <w:p w14:paraId="45CD1418" w14:textId="77777777" w:rsidR="00EA5815" w:rsidRPr="00BF0EEF" w:rsidRDefault="00EA5815" w:rsidP="001016AD">
            <w:r w:rsidRPr="00BF0EEF">
              <w:t>If grade I varices and red signs or grade 2– 3 varices are diagnosed, we recommend that patients have primary prophylaxis irrespective of the severity of the liver disease (level 1a, grade A).</w:t>
            </w:r>
          </w:p>
        </w:tc>
        <w:tc>
          <w:tcPr>
            <w:tcW w:w="1796" w:type="dxa"/>
            <w:noWrap/>
            <w:hideMark/>
          </w:tcPr>
          <w:p w14:paraId="6788BEF3" w14:textId="77777777" w:rsidR="00EA5815" w:rsidRPr="00BF0EEF" w:rsidRDefault="00EA5815" w:rsidP="001016AD">
            <w:r w:rsidRPr="00BF0EEF">
              <w:t>Strong</w:t>
            </w:r>
          </w:p>
        </w:tc>
        <w:tc>
          <w:tcPr>
            <w:tcW w:w="1470" w:type="dxa"/>
            <w:noWrap/>
          </w:tcPr>
          <w:p w14:paraId="04124F24" w14:textId="77777777" w:rsidR="00EA5815" w:rsidRPr="00BF0EEF" w:rsidRDefault="00EA5815" w:rsidP="001016AD">
            <w:r w:rsidRPr="00BF0EEF">
              <w:t>Cochrane: primary prevention variceal bleeding</w:t>
            </w:r>
          </w:p>
        </w:tc>
        <w:tc>
          <w:tcPr>
            <w:tcW w:w="1985" w:type="dxa"/>
            <w:shd w:val="clear" w:color="auto" w:fill="FF0000"/>
            <w:noWrap/>
            <w:hideMark/>
          </w:tcPr>
          <w:p w14:paraId="4D72C9E8" w14:textId="77777777" w:rsidR="00EA5815" w:rsidRPr="00BF0EEF" w:rsidRDefault="00EA5815" w:rsidP="001016AD">
            <w:r w:rsidRPr="00BF0EEF">
              <w:t>No</w:t>
            </w:r>
          </w:p>
        </w:tc>
        <w:tc>
          <w:tcPr>
            <w:tcW w:w="4677" w:type="dxa"/>
            <w:noWrap/>
            <w:hideMark/>
          </w:tcPr>
          <w:p w14:paraId="47B89B1A" w14:textId="77777777" w:rsidR="00EA5815" w:rsidRPr="00BF0EEF" w:rsidRDefault="00EA5815" w:rsidP="001016AD">
            <w:r w:rsidRPr="00BF0EEF">
              <w:t>-</w:t>
            </w:r>
          </w:p>
        </w:tc>
      </w:tr>
      <w:tr w:rsidR="00EA5815" w:rsidRPr="00BF0EEF" w14:paraId="592F72FC" w14:textId="77777777" w:rsidTr="00EA5815">
        <w:trPr>
          <w:trHeight w:val="300"/>
        </w:trPr>
        <w:tc>
          <w:tcPr>
            <w:tcW w:w="1094" w:type="dxa"/>
            <w:noWrap/>
            <w:hideMark/>
          </w:tcPr>
          <w:p w14:paraId="2DED40EA" w14:textId="77777777" w:rsidR="00EA5815" w:rsidRPr="00BF0EEF" w:rsidRDefault="00EA5815" w:rsidP="001016AD">
            <w:r w:rsidRPr="00BF0EEF">
              <w:t>BSG 2015</w:t>
            </w:r>
          </w:p>
        </w:tc>
        <w:tc>
          <w:tcPr>
            <w:tcW w:w="4571" w:type="dxa"/>
            <w:noWrap/>
            <w:hideMark/>
          </w:tcPr>
          <w:p w14:paraId="01E01D84" w14:textId="77777777" w:rsidR="00EA5815" w:rsidRPr="00BF0EEF" w:rsidRDefault="00EA5815" w:rsidP="001016AD">
            <w:r w:rsidRPr="00BF0EEF">
              <w:t>Shunt surgery or transjugular intrahepatic portosystemic stent shunt (TIPSS) is not recommended as primary prophylaxis (level 1a, grade A).</w:t>
            </w:r>
          </w:p>
        </w:tc>
        <w:tc>
          <w:tcPr>
            <w:tcW w:w="1796" w:type="dxa"/>
            <w:noWrap/>
            <w:hideMark/>
          </w:tcPr>
          <w:p w14:paraId="0DD8EF87" w14:textId="77777777" w:rsidR="00EA5815" w:rsidRPr="00BF0EEF" w:rsidRDefault="00EA5815" w:rsidP="001016AD">
            <w:r w:rsidRPr="00BF0EEF">
              <w:t>Strong</w:t>
            </w:r>
          </w:p>
        </w:tc>
        <w:tc>
          <w:tcPr>
            <w:tcW w:w="1470" w:type="dxa"/>
            <w:noWrap/>
          </w:tcPr>
          <w:p w14:paraId="5669C5B7" w14:textId="77777777" w:rsidR="00EA5815" w:rsidRPr="00BF0EEF" w:rsidRDefault="00EA5815" w:rsidP="001016AD">
            <w:r w:rsidRPr="00BF0EEF">
              <w:t xml:space="preserve">Cochrane: primary prevention </w:t>
            </w:r>
            <w:r w:rsidRPr="00BF0EEF">
              <w:lastRenderedPageBreak/>
              <w:t>variceal bleeding</w:t>
            </w:r>
          </w:p>
        </w:tc>
        <w:tc>
          <w:tcPr>
            <w:tcW w:w="1985" w:type="dxa"/>
            <w:shd w:val="clear" w:color="auto" w:fill="FF0000"/>
            <w:noWrap/>
            <w:hideMark/>
          </w:tcPr>
          <w:p w14:paraId="32D2ECC0" w14:textId="77777777" w:rsidR="00EA5815" w:rsidRPr="00BF0EEF" w:rsidRDefault="00EA5815" w:rsidP="001016AD">
            <w:r w:rsidRPr="00BF0EEF">
              <w:lastRenderedPageBreak/>
              <w:t>No</w:t>
            </w:r>
          </w:p>
        </w:tc>
        <w:tc>
          <w:tcPr>
            <w:tcW w:w="4677" w:type="dxa"/>
            <w:noWrap/>
            <w:hideMark/>
          </w:tcPr>
          <w:p w14:paraId="60D15179" w14:textId="77777777" w:rsidR="00EA5815" w:rsidRPr="00BF0EEF" w:rsidRDefault="00EA5815" w:rsidP="001016AD">
            <w:r w:rsidRPr="00BF0EEF">
              <w:t>While we are not recomme</w:t>
            </w:r>
            <w:r>
              <w:t>n</w:t>
            </w:r>
            <w:r w:rsidRPr="00BF0EEF">
              <w:t>ding TIPS as the primary prevention of choice</w:t>
            </w:r>
            <w:r>
              <w:t xml:space="preserve"> as well</w:t>
            </w:r>
            <w:r w:rsidRPr="00BF0EEF">
              <w:t>, there is also no evidence to make a strong recommendation against TIPS</w:t>
            </w:r>
          </w:p>
        </w:tc>
      </w:tr>
      <w:tr w:rsidR="00EA5815" w:rsidRPr="00BF0EEF" w14:paraId="3E7E97AF" w14:textId="77777777" w:rsidTr="00EA5815">
        <w:trPr>
          <w:trHeight w:val="300"/>
        </w:trPr>
        <w:tc>
          <w:tcPr>
            <w:tcW w:w="1094" w:type="dxa"/>
            <w:noWrap/>
            <w:hideMark/>
          </w:tcPr>
          <w:p w14:paraId="0C5B1A32" w14:textId="77777777" w:rsidR="00EA5815" w:rsidRPr="00BF0EEF" w:rsidRDefault="00EA5815" w:rsidP="001016AD">
            <w:r w:rsidRPr="00BF0EEF">
              <w:t>BSG 2015</w:t>
            </w:r>
          </w:p>
        </w:tc>
        <w:tc>
          <w:tcPr>
            <w:tcW w:w="4571" w:type="dxa"/>
            <w:noWrap/>
            <w:hideMark/>
          </w:tcPr>
          <w:p w14:paraId="1E08B22E" w14:textId="77777777" w:rsidR="00EA5815" w:rsidRPr="00BF0EEF" w:rsidRDefault="00EA5815" w:rsidP="001016AD">
            <w:r w:rsidRPr="00BF0EEF">
              <w:t>Sclerotherapy is not recommended as primary prophylaxis</w:t>
            </w:r>
          </w:p>
        </w:tc>
        <w:tc>
          <w:tcPr>
            <w:tcW w:w="1796" w:type="dxa"/>
            <w:noWrap/>
            <w:hideMark/>
          </w:tcPr>
          <w:p w14:paraId="4EA84329" w14:textId="77777777" w:rsidR="00EA5815" w:rsidRPr="00BF0EEF" w:rsidRDefault="00EA5815" w:rsidP="001016AD">
            <w:r w:rsidRPr="00BF0EEF">
              <w:t>Strong</w:t>
            </w:r>
          </w:p>
        </w:tc>
        <w:tc>
          <w:tcPr>
            <w:tcW w:w="1470" w:type="dxa"/>
            <w:noWrap/>
          </w:tcPr>
          <w:p w14:paraId="28255B6E" w14:textId="77777777" w:rsidR="00EA5815" w:rsidRPr="00BF0EEF" w:rsidRDefault="00EA5815" w:rsidP="001016AD">
            <w:r w:rsidRPr="00BF0EEF">
              <w:t>Cochrane: primary prevention variceal bleeding</w:t>
            </w:r>
          </w:p>
        </w:tc>
        <w:tc>
          <w:tcPr>
            <w:tcW w:w="1985" w:type="dxa"/>
            <w:shd w:val="clear" w:color="auto" w:fill="FF0000"/>
            <w:noWrap/>
            <w:hideMark/>
          </w:tcPr>
          <w:p w14:paraId="3C315524" w14:textId="77777777" w:rsidR="00EA5815" w:rsidRPr="00BF0EEF" w:rsidRDefault="00EA5815" w:rsidP="001016AD">
            <w:r w:rsidRPr="00BF0EEF">
              <w:t>No</w:t>
            </w:r>
          </w:p>
        </w:tc>
        <w:tc>
          <w:tcPr>
            <w:tcW w:w="4677" w:type="dxa"/>
            <w:noWrap/>
            <w:hideMark/>
          </w:tcPr>
          <w:p w14:paraId="4B9C192C" w14:textId="77777777" w:rsidR="00EA5815" w:rsidRPr="00BF0EEF" w:rsidRDefault="00EA5815" w:rsidP="001016AD">
            <w:r w:rsidRPr="00BF0EEF">
              <w:t>While we are not recomme</w:t>
            </w:r>
            <w:r>
              <w:t>n</w:t>
            </w:r>
            <w:r w:rsidRPr="00BF0EEF">
              <w:t xml:space="preserve">ding </w:t>
            </w:r>
            <w:r>
              <w:t>sclerotherapy</w:t>
            </w:r>
            <w:r w:rsidRPr="00BF0EEF">
              <w:t xml:space="preserve"> as the primary prevention of choice, there is also no evidence to make a strong recommendation against sclerotherapy</w:t>
            </w:r>
          </w:p>
        </w:tc>
      </w:tr>
      <w:tr w:rsidR="00EA5815" w:rsidRPr="00BF0EEF" w14:paraId="367FA5B1" w14:textId="77777777" w:rsidTr="00EA5815">
        <w:trPr>
          <w:trHeight w:val="300"/>
        </w:trPr>
        <w:tc>
          <w:tcPr>
            <w:tcW w:w="1094" w:type="dxa"/>
            <w:noWrap/>
            <w:hideMark/>
          </w:tcPr>
          <w:p w14:paraId="198DE13B" w14:textId="77777777" w:rsidR="00EA5815" w:rsidRPr="00BF0EEF" w:rsidRDefault="00EA5815" w:rsidP="001016AD">
            <w:r w:rsidRPr="00BF0EEF">
              <w:t>EASL 2018</w:t>
            </w:r>
          </w:p>
        </w:tc>
        <w:tc>
          <w:tcPr>
            <w:tcW w:w="4571" w:type="dxa"/>
            <w:noWrap/>
            <w:hideMark/>
          </w:tcPr>
          <w:p w14:paraId="730640F0" w14:textId="77777777" w:rsidR="00EA5815" w:rsidRPr="00BF0EEF" w:rsidRDefault="00EA5815" w:rsidP="001016AD">
            <w:r w:rsidRPr="00BF0EEF">
              <w:t>Primary prophylaxis must be initiated upon detection of ‘‘high-risk varices” (i.e. small varices with red signs, medium or large varices irrespective of Child-Pugh classification or small varices in Child-Pugh C patients) because of increased risk of VH (I;1).</w:t>
            </w:r>
          </w:p>
        </w:tc>
        <w:tc>
          <w:tcPr>
            <w:tcW w:w="1796" w:type="dxa"/>
            <w:noWrap/>
            <w:hideMark/>
          </w:tcPr>
          <w:p w14:paraId="51F63358" w14:textId="77777777" w:rsidR="00EA5815" w:rsidRPr="00BF0EEF" w:rsidRDefault="00EA5815" w:rsidP="001016AD">
            <w:r w:rsidRPr="00BF0EEF">
              <w:t>Strong</w:t>
            </w:r>
          </w:p>
        </w:tc>
        <w:tc>
          <w:tcPr>
            <w:tcW w:w="1470" w:type="dxa"/>
            <w:noWrap/>
          </w:tcPr>
          <w:p w14:paraId="6D1C900E" w14:textId="77777777" w:rsidR="00EA5815" w:rsidRPr="00BF0EEF" w:rsidRDefault="00EA5815" w:rsidP="001016AD">
            <w:r w:rsidRPr="00BF0EEF">
              <w:t>Cochrane: primary prevention variceal bleeding</w:t>
            </w:r>
          </w:p>
        </w:tc>
        <w:tc>
          <w:tcPr>
            <w:tcW w:w="1985" w:type="dxa"/>
            <w:shd w:val="clear" w:color="auto" w:fill="FF0000"/>
            <w:noWrap/>
            <w:hideMark/>
          </w:tcPr>
          <w:p w14:paraId="7BCF6829" w14:textId="77777777" w:rsidR="00EA5815" w:rsidRPr="00BF0EEF" w:rsidRDefault="00EA5815" w:rsidP="001016AD">
            <w:r w:rsidRPr="00BF0EEF">
              <w:t>No</w:t>
            </w:r>
          </w:p>
        </w:tc>
        <w:tc>
          <w:tcPr>
            <w:tcW w:w="4677" w:type="dxa"/>
            <w:noWrap/>
            <w:hideMark/>
          </w:tcPr>
          <w:p w14:paraId="5EDBEF7E" w14:textId="77777777" w:rsidR="00EA5815" w:rsidRPr="00BF0EEF" w:rsidRDefault="00EA5815" w:rsidP="001016AD">
            <w:r w:rsidRPr="00BF0EEF">
              <w:t>-</w:t>
            </w:r>
          </w:p>
        </w:tc>
      </w:tr>
      <w:tr w:rsidR="00EA5815" w:rsidRPr="00BF0EEF" w14:paraId="600BC97D" w14:textId="77777777" w:rsidTr="00EA5815">
        <w:trPr>
          <w:trHeight w:val="300"/>
        </w:trPr>
        <w:tc>
          <w:tcPr>
            <w:tcW w:w="1094" w:type="dxa"/>
            <w:noWrap/>
            <w:hideMark/>
          </w:tcPr>
          <w:p w14:paraId="5A0446E0" w14:textId="77777777" w:rsidR="00EA5815" w:rsidRPr="00BF0EEF" w:rsidRDefault="00EA5815" w:rsidP="001016AD">
            <w:r w:rsidRPr="00BF0EEF">
              <w:t>EASL 2018</w:t>
            </w:r>
          </w:p>
        </w:tc>
        <w:tc>
          <w:tcPr>
            <w:tcW w:w="4571" w:type="dxa"/>
            <w:noWrap/>
            <w:hideMark/>
          </w:tcPr>
          <w:p w14:paraId="711FD577" w14:textId="77777777" w:rsidR="00EA5815" w:rsidRPr="00BF0EEF" w:rsidRDefault="00EA5815" w:rsidP="001016AD">
            <w:r w:rsidRPr="00BF0EEF">
              <w:t>Patients with small varices with red wale marks or Child-Pugh C should be treated with NSBBs (III;1).</w:t>
            </w:r>
          </w:p>
        </w:tc>
        <w:tc>
          <w:tcPr>
            <w:tcW w:w="1796" w:type="dxa"/>
            <w:noWrap/>
            <w:hideMark/>
          </w:tcPr>
          <w:p w14:paraId="6D4D2B1E" w14:textId="77777777" w:rsidR="00EA5815" w:rsidRPr="00BF0EEF" w:rsidRDefault="00EA5815" w:rsidP="001016AD">
            <w:r w:rsidRPr="00BF0EEF">
              <w:t>Strong</w:t>
            </w:r>
          </w:p>
        </w:tc>
        <w:tc>
          <w:tcPr>
            <w:tcW w:w="1470" w:type="dxa"/>
            <w:noWrap/>
          </w:tcPr>
          <w:p w14:paraId="447C0586" w14:textId="77777777" w:rsidR="00EA5815" w:rsidRPr="00BF0EEF" w:rsidRDefault="00EA5815" w:rsidP="001016AD">
            <w:r w:rsidRPr="00BF0EEF">
              <w:t xml:space="preserve">Cochrane: primary prevention </w:t>
            </w:r>
            <w:r w:rsidRPr="00BF0EEF">
              <w:lastRenderedPageBreak/>
              <w:t>variceal bleeding</w:t>
            </w:r>
          </w:p>
        </w:tc>
        <w:tc>
          <w:tcPr>
            <w:tcW w:w="1985" w:type="dxa"/>
            <w:shd w:val="clear" w:color="auto" w:fill="FF0000"/>
            <w:noWrap/>
            <w:hideMark/>
          </w:tcPr>
          <w:p w14:paraId="64ECC79C" w14:textId="77777777" w:rsidR="00EA5815" w:rsidRPr="00BF0EEF" w:rsidRDefault="00EA5815" w:rsidP="001016AD">
            <w:r w:rsidRPr="00BF0EEF">
              <w:lastRenderedPageBreak/>
              <w:t>No</w:t>
            </w:r>
          </w:p>
        </w:tc>
        <w:tc>
          <w:tcPr>
            <w:tcW w:w="4677" w:type="dxa"/>
            <w:noWrap/>
            <w:hideMark/>
          </w:tcPr>
          <w:p w14:paraId="6AB29505" w14:textId="77777777" w:rsidR="00EA5815" w:rsidRPr="00BF0EEF" w:rsidRDefault="00EA5815" w:rsidP="001016AD">
            <w:r w:rsidRPr="00BF0EEF">
              <w:t>-</w:t>
            </w:r>
          </w:p>
        </w:tc>
      </w:tr>
      <w:tr w:rsidR="00EA5815" w:rsidRPr="00BF0EEF" w14:paraId="23A013F7" w14:textId="77777777" w:rsidTr="00EA5815">
        <w:trPr>
          <w:trHeight w:val="300"/>
        </w:trPr>
        <w:tc>
          <w:tcPr>
            <w:tcW w:w="1094" w:type="dxa"/>
            <w:noWrap/>
            <w:hideMark/>
          </w:tcPr>
          <w:p w14:paraId="3F3DB719" w14:textId="77777777" w:rsidR="00EA5815" w:rsidRPr="00BF0EEF" w:rsidRDefault="00EA5815" w:rsidP="001016AD">
            <w:r w:rsidRPr="00BF0EEF">
              <w:t>EASL 2018</w:t>
            </w:r>
          </w:p>
        </w:tc>
        <w:tc>
          <w:tcPr>
            <w:tcW w:w="4571" w:type="dxa"/>
            <w:noWrap/>
            <w:hideMark/>
          </w:tcPr>
          <w:p w14:paraId="3DA60922" w14:textId="77777777" w:rsidR="00EA5815" w:rsidRPr="00BF0EEF" w:rsidRDefault="00EA5815" w:rsidP="001016AD">
            <w:r w:rsidRPr="00BF0EEF">
              <w:t>Patients with medium-large varices should be treated with either NSBBs or EBL (I;1).</w:t>
            </w:r>
          </w:p>
        </w:tc>
        <w:tc>
          <w:tcPr>
            <w:tcW w:w="1796" w:type="dxa"/>
            <w:noWrap/>
            <w:hideMark/>
          </w:tcPr>
          <w:p w14:paraId="25B92908" w14:textId="77777777" w:rsidR="00EA5815" w:rsidRPr="00BF0EEF" w:rsidRDefault="00EA5815" w:rsidP="001016AD">
            <w:r w:rsidRPr="00BF0EEF">
              <w:t>Strong</w:t>
            </w:r>
          </w:p>
        </w:tc>
        <w:tc>
          <w:tcPr>
            <w:tcW w:w="1470" w:type="dxa"/>
            <w:noWrap/>
          </w:tcPr>
          <w:p w14:paraId="4B67DCEA" w14:textId="77777777" w:rsidR="00EA5815" w:rsidRPr="00BF0EEF" w:rsidRDefault="00EA5815" w:rsidP="001016AD">
            <w:r w:rsidRPr="00BF0EEF">
              <w:t>Cochrane: primary prevention variceal bleeding</w:t>
            </w:r>
          </w:p>
        </w:tc>
        <w:tc>
          <w:tcPr>
            <w:tcW w:w="1985" w:type="dxa"/>
            <w:shd w:val="clear" w:color="auto" w:fill="FF0000"/>
            <w:noWrap/>
            <w:hideMark/>
          </w:tcPr>
          <w:p w14:paraId="6A92E202" w14:textId="77777777" w:rsidR="00EA5815" w:rsidRPr="00BF0EEF" w:rsidRDefault="00EA5815" w:rsidP="001016AD">
            <w:r w:rsidRPr="00BF0EEF">
              <w:t>No</w:t>
            </w:r>
          </w:p>
        </w:tc>
        <w:tc>
          <w:tcPr>
            <w:tcW w:w="4677" w:type="dxa"/>
            <w:noWrap/>
            <w:hideMark/>
          </w:tcPr>
          <w:p w14:paraId="1FF5613D" w14:textId="77777777" w:rsidR="00EA5815" w:rsidRPr="00BF0EEF" w:rsidRDefault="00EA5815" w:rsidP="001016AD">
            <w:r w:rsidRPr="00BF0EEF">
              <w:t>-</w:t>
            </w:r>
          </w:p>
        </w:tc>
      </w:tr>
      <w:tr w:rsidR="00EA5815" w:rsidRPr="00BF0EEF" w14:paraId="75631777" w14:textId="77777777" w:rsidTr="00EA5815">
        <w:trPr>
          <w:trHeight w:val="300"/>
        </w:trPr>
        <w:tc>
          <w:tcPr>
            <w:tcW w:w="1094" w:type="dxa"/>
            <w:noWrap/>
            <w:hideMark/>
          </w:tcPr>
          <w:p w14:paraId="4F2AA40D" w14:textId="77777777" w:rsidR="00EA5815" w:rsidRPr="00BF0EEF" w:rsidRDefault="00EA5815" w:rsidP="001016AD">
            <w:r w:rsidRPr="00BF0EEF">
              <w:t>EASL 2018</w:t>
            </w:r>
          </w:p>
        </w:tc>
        <w:tc>
          <w:tcPr>
            <w:tcW w:w="4571" w:type="dxa"/>
            <w:noWrap/>
            <w:hideMark/>
          </w:tcPr>
          <w:p w14:paraId="31E45ED7" w14:textId="77777777" w:rsidR="00EA5815" w:rsidRPr="00BF0EEF" w:rsidRDefault="00EA5815" w:rsidP="001016AD">
            <w:r w:rsidRPr="00BF0EEF">
              <w:t>NSBBs could be preferred because in addition to lowering portal pressure, they also exert other potential beneficial effects (II-2;2). [Follows 'Patients with medium-large varices should be treated with either NSBBs or EBL (I;1).']</w:t>
            </w:r>
          </w:p>
        </w:tc>
        <w:tc>
          <w:tcPr>
            <w:tcW w:w="1796" w:type="dxa"/>
            <w:noWrap/>
            <w:hideMark/>
          </w:tcPr>
          <w:p w14:paraId="211728F6" w14:textId="77777777" w:rsidR="00EA5815" w:rsidRPr="00BF0EEF" w:rsidRDefault="00EA5815" w:rsidP="001016AD">
            <w:r w:rsidRPr="00BF0EEF">
              <w:t>Weak</w:t>
            </w:r>
          </w:p>
        </w:tc>
        <w:tc>
          <w:tcPr>
            <w:tcW w:w="1470" w:type="dxa"/>
            <w:noWrap/>
          </w:tcPr>
          <w:p w14:paraId="108B2A74" w14:textId="77777777" w:rsidR="00EA5815" w:rsidRPr="00BF0EEF" w:rsidRDefault="00EA5815" w:rsidP="001016AD">
            <w:r w:rsidRPr="00BF0EEF">
              <w:t>Cochrane: primary prevention variceal bleeding</w:t>
            </w:r>
          </w:p>
        </w:tc>
        <w:tc>
          <w:tcPr>
            <w:tcW w:w="1985" w:type="dxa"/>
            <w:shd w:val="clear" w:color="auto" w:fill="92D050"/>
            <w:noWrap/>
            <w:hideMark/>
          </w:tcPr>
          <w:p w14:paraId="45E869C0" w14:textId="77777777" w:rsidR="00EA5815" w:rsidRPr="00BF0EEF" w:rsidRDefault="00EA5815" w:rsidP="001016AD">
            <w:r w:rsidRPr="00BF0EEF">
              <w:t>Yes</w:t>
            </w:r>
          </w:p>
        </w:tc>
        <w:tc>
          <w:tcPr>
            <w:tcW w:w="4677" w:type="dxa"/>
            <w:noWrap/>
            <w:hideMark/>
          </w:tcPr>
          <w:p w14:paraId="002DBAC7" w14:textId="77777777" w:rsidR="00EA5815" w:rsidRPr="00BF0EEF" w:rsidRDefault="00EA5815" w:rsidP="001016AD">
            <w:r w:rsidRPr="00BF0EEF">
              <w:t>-</w:t>
            </w:r>
          </w:p>
        </w:tc>
      </w:tr>
      <w:tr w:rsidR="00EA5815" w:rsidRPr="00BF0EEF" w14:paraId="25FB3D48" w14:textId="77777777" w:rsidTr="00EA5815">
        <w:trPr>
          <w:trHeight w:val="300"/>
        </w:trPr>
        <w:tc>
          <w:tcPr>
            <w:tcW w:w="1094" w:type="dxa"/>
            <w:noWrap/>
            <w:hideMark/>
          </w:tcPr>
          <w:p w14:paraId="758832C1" w14:textId="77777777" w:rsidR="00EA5815" w:rsidRPr="00BF0EEF" w:rsidRDefault="00EA5815" w:rsidP="001016AD">
            <w:r w:rsidRPr="00BF0EEF">
              <w:t>NICE NG50</w:t>
            </w:r>
          </w:p>
        </w:tc>
        <w:tc>
          <w:tcPr>
            <w:tcW w:w="4571" w:type="dxa"/>
            <w:noWrap/>
            <w:hideMark/>
          </w:tcPr>
          <w:p w14:paraId="05100E61" w14:textId="77777777" w:rsidR="00EA5815" w:rsidRPr="00BF0EEF" w:rsidRDefault="00EA5815" w:rsidP="001016AD">
            <w:r w:rsidRPr="00BF0EEF">
              <w:t>Offer endoscopic variceal band ligation for the primary prevention of bleeding for people with cirrhosis who have medium to large oesophageal varices.</w:t>
            </w:r>
          </w:p>
        </w:tc>
        <w:tc>
          <w:tcPr>
            <w:tcW w:w="1796" w:type="dxa"/>
            <w:noWrap/>
            <w:hideMark/>
          </w:tcPr>
          <w:p w14:paraId="540440E1" w14:textId="77777777" w:rsidR="00EA5815" w:rsidRPr="00BF0EEF" w:rsidRDefault="00EA5815" w:rsidP="001016AD">
            <w:r w:rsidRPr="00BF0EEF">
              <w:t>Strong</w:t>
            </w:r>
          </w:p>
        </w:tc>
        <w:tc>
          <w:tcPr>
            <w:tcW w:w="1470" w:type="dxa"/>
            <w:noWrap/>
          </w:tcPr>
          <w:p w14:paraId="4239E6EF" w14:textId="77777777" w:rsidR="00EA5815" w:rsidRPr="00BF0EEF" w:rsidRDefault="00EA5815" w:rsidP="001016AD">
            <w:r w:rsidRPr="00BF0EEF">
              <w:t xml:space="preserve">Cochrane: primary prevention </w:t>
            </w:r>
            <w:r w:rsidRPr="00BF0EEF">
              <w:lastRenderedPageBreak/>
              <w:t>variceal bleeding</w:t>
            </w:r>
          </w:p>
        </w:tc>
        <w:tc>
          <w:tcPr>
            <w:tcW w:w="1985" w:type="dxa"/>
            <w:shd w:val="clear" w:color="auto" w:fill="FF0000"/>
            <w:noWrap/>
            <w:hideMark/>
          </w:tcPr>
          <w:p w14:paraId="425D2794" w14:textId="77777777" w:rsidR="00EA5815" w:rsidRPr="00BF0EEF" w:rsidRDefault="00EA5815" w:rsidP="001016AD">
            <w:r w:rsidRPr="00BF0EEF">
              <w:lastRenderedPageBreak/>
              <w:t>No</w:t>
            </w:r>
          </w:p>
        </w:tc>
        <w:tc>
          <w:tcPr>
            <w:tcW w:w="4677" w:type="dxa"/>
            <w:noWrap/>
            <w:hideMark/>
          </w:tcPr>
          <w:p w14:paraId="0AC440EB" w14:textId="77777777" w:rsidR="00EA5815" w:rsidRPr="00BF0EEF" w:rsidRDefault="00EA5815" w:rsidP="001016AD">
            <w:r w:rsidRPr="00BF0EEF">
              <w:t>-</w:t>
            </w:r>
          </w:p>
        </w:tc>
      </w:tr>
      <w:tr w:rsidR="00EA5815" w:rsidRPr="00BF0EEF" w14:paraId="369A3D2E" w14:textId="77777777" w:rsidTr="00EA5815">
        <w:trPr>
          <w:trHeight w:val="300"/>
        </w:trPr>
        <w:tc>
          <w:tcPr>
            <w:tcW w:w="1094" w:type="dxa"/>
            <w:noWrap/>
            <w:hideMark/>
          </w:tcPr>
          <w:p w14:paraId="326AB8B1" w14:textId="77777777" w:rsidR="00EA5815" w:rsidRPr="00BF0EEF" w:rsidRDefault="00EA5815" w:rsidP="001016AD">
            <w:r w:rsidRPr="00BF0EEF">
              <w:t>AASLD 2017</w:t>
            </w:r>
          </w:p>
        </w:tc>
        <w:tc>
          <w:tcPr>
            <w:tcW w:w="4571" w:type="dxa"/>
            <w:noWrap/>
            <w:hideMark/>
          </w:tcPr>
          <w:p w14:paraId="433C275B" w14:textId="77777777" w:rsidR="00EA5815" w:rsidRPr="00BF0EEF" w:rsidRDefault="00EA5815" w:rsidP="001016AD">
            <w:r w:rsidRPr="00BF0EEF">
              <w:t>If a variceal source is confirmed/suspected, EVL should be performed.</w:t>
            </w:r>
          </w:p>
        </w:tc>
        <w:tc>
          <w:tcPr>
            <w:tcW w:w="1796" w:type="dxa"/>
            <w:noWrap/>
            <w:hideMark/>
          </w:tcPr>
          <w:p w14:paraId="75BEABB7" w14:textId="77777777" w:rsidR="00EA5815" w:rsidRPr="00BF0EEF" w:rsidRDefault="00EA5815" w:rsidP="001016AD">
            <w:r w:rsidRPr="00BF0EEF">
              <w:t>Strong</w:t>
            </w:r>
          </w:p>
        </w:tc>
        <w:tc>
          <w:tcPr>
            <w:tcW w:w="1470" w:type="dxa"/>
            <w:noWrap/>
          </w:tcPr>
          <w:p w14:paraId="2ECE8DA2" w14:textId="77777777" w:rsidR="00EA5815" w:rsidRPr="00BF0EEF" w:rsidRDefault="00EA5815" w:rsidP="001016AD">
            <w:r w:rsidRPr="00BF0EEF">
              <w:t>Cochrane: treatment variceal bleeding</w:t>
            </w:r>
          </w:p>
        </w:tc>
        <w:tc>
          <w:tcPr>
            <w:tcW w:w="1985" w:type="dxa"/>
            <w:shd w:val="clear" w:color="auto" w:fill="FF0000"/>
            <w:noWrap/>
            <w:hideMark/>
          </w:tcPr>
          <w:p w14:paraId="451C46F5" w14:textId="77777777" w:rsidR="00EA5815" w:rsidRPr="00BF0EEF" w:rsidRDefault="00EA5815" w:rsidP="001016AD">
            <w:r w:rsidRPr="00BF0EEF">
              <w:t>No</w:t>
            </w:r>
          </w:p>
        </w:tc>
        <w:tc>
          <w:tcPr>
            <w:tcW w:w="4677" w:type="dxa"/>
            <w:noWrap/>
            <w:hideMark/>
          </w:tcPr>
          <w:p w14:paraId="68DB0D4D" w14:textId="77777777" w:rsidR="00EA5815" w:rsidRPr="00BF0EEF" w:rsidRDefault="00EA5815" w:rsidP="001016AD">
            <w:r w:rsidRPr="00BF0EEF">
              <w:t>-</w:t>
            </w:r>
          </w:p>
        </w:tc>
      </w:tr>
      <w:tr w:rsidR="00EA5815" w:rsidRPr="00BF0EEF" w14:paraId="45EC8940" w14:textId="77777777" w:rsidTr="00EA5815">
        <w:trPr>
          <w:trHeight w:val="300"/>
        </w:trPr>
        <w:tc>
          <w:tcPr>
            <w:tcW w:w="1094" w:type="dxa"/>
            <w:noWrap/>
            <w:hideMark/>
          </w:tcPr>
          <w:p w14:paraId="5629F15D" w14:textId="77777777" w:rsidR="00EA5815" w:rsidRPr="00BF0EEF" w:rsidRDefault="00EA5815" w:rsidP="001016AD">
            <w:bookmarkStart w:id="4" w:name="_Hlk112208906"/>
            <w:r w:rsidRPr="00BF0EEF">
              <w:t>AASLD 2017</w:t>
            </w:r>
          </w:p>
        </w:tc>
        <w:tc>
          <w:tcPr>
            <w:tcW w:w="4571" w:type="dxa"/>
            <w:noWrap/>
            <w:hideMark/>
          </w:tcPr>
          <w:p w14:paraId="221D6CF4" w14:textId="77777777" w:rsidR="00EA5815" w:rsidRPr="00BF0EEF" w:rsidRDefault="00EA5815" w:rsidP="001016AD">
            <w:r w:rsidRPr="00BF0EEF">
              <w:t>In patients at high risk of failure or rebleeding (CTP class C cirrhosis or CTP class B with active bleeding on endoscopy) who have no contraindications for TIPS, an “early” (preemptive) TIPS within 72 hours from EGD/ EVL may benefit selected patients.</w:t>
            </w:r>
          </w:p>
        </w:tc>
        <w:tc>
          <w:tcPr>
            <w:tcW w:w="1796" w:type="dxa"/>
            <w:noWrap/>
            <w:hideMark/>
          </w:tcPr>
          <w:p w14:paraId="5DE9A342" w14:textId="77777777" w:rsidR="00EA5815" w:rsidRPr="00BF0EEF" w:rsidRDefault="00EA5815" w:rsidP="001016AD">
            <w:r w:rsidRPr="00BF0EEF">
              <w:t>Weak</w:t>
            </w:r>
          </w:p>
        </w:tc>
        <w:tc>
          <w:tcPr>
            <w:tcW w:w="1470" w:type="dxa"/>
            <w:noWrap/>
          </w:tcPr>
          <w:p w14:paraId="6728F3EA" w14:textId="77777777" w:rsidR="00EA5815" w:rsidRPr="00BF0EEF" w:rsidRDefault="00EA5815" w:rsidP="001016AD">
            <w:r w:rsidRPr="00BF0EEF">
              <w:t>Cochrane: treatment variceal bleeding</w:t>
            </w:r>
          </w:p>
        </w:tc>
        <w:tc>
          <w:tcPr>
            <w:tcW w:w="1985" w:type="dxa"/>
            <w:shd w:val="clear" w:color="auto" w:fill="FF0000"/>
            <w:noWrap/>
            <w:hideMark/>
          </w:tcPr>
          <w:p w14:paraId="29224927" w14:textId="77777777" w:rsidR="00EA5815" w:rsidRPr="00BF0EEF" w:rsidRDefault="00EA5815" w:rsidP="001016AD">
            <w:r w:rsidRPr="00BF0EEF">
              <w:t>No</w:t>
            </w:r>
          </w:p>
        </w:tc>
        <w:tc>
          <w:tcPr>
            <w:tcW w:w="4677" w:type="dxa"/>
            <w:noWrap/>
            <w:hideMark/>
          </w:tcPr>
          <w:p w14:paraId="235D1B49" w14:textId="77777777" w:rsidR="00EA5815" w:rsidRPr="00BF0EEF" w:rsidRDefault="00EA5815" w:rsidP="001016AD">
            <w:r w:rsidRPr="00BF0EEF">
              <w:t>The evidence related to TIPS was assessed in Cochrane and there is no evidence to support this recommendation</w:t>
            </w:r>
          </w:p>
        </w:tc>
      </w:tr>
      <w:bookmarkEnd w:id="4"/>
      <w:tr w:rsidR="00EA5815" w:rsidRPr="00BF0EEF" w14:paraId="7981EB7B" w14:textId="77777777" w:rsidTr="00EA5815">
        <w:trPr>
          <w:trHeight w:val="300"/>
        </w:trPr>
        <w:tc>
          <w:tcPr>
            <w:tcW w:w="1094" w:type="dxa"/>
            <w:noWrap/>
            <w:hideMark/>
          </w:tcPr>
          <w:p w14:paraId="1E5A2BE7" w14:textId="77777777" w:rsidR="00EA5815" w:rsidRPr="00BF0EEF" w:rsidRDefault="00EA5815" w:rsidP="001016AD">
            <w:r w:rsidRPr="00BF0EEF">
              <w:t>BSG 2015</w:t>
            </w:r>
          </w:p>
        </w:tc>
        <w:tc>
          <w:tcPr>
            <w:tcW w:w="4571" w:type="dxa"/>
            <w:noWrap/>
            <w:hideMark/>
          </w:tcPr>
          <w:p w14:paraId="0452F39F" w14:textId="77777777" w:rsidR="00EA5815" w:rsidRPr="00BF0EEF" w:rsidRDefault="00EA5815" w:rsidP="001016AD">
            <w:r w:rsidRPr="00BF0EEF">
              <w:t>Variceal band ligation is recommended as the preferred endoscopic method</w:t>
            </w:r>
          </w:p>
        </w:tc>
        <w:tc>
          <w:tcPr>
            <w:tcW w:w="1796" w:type="dxa"/>
            <w:noWrap/>
            <w:hideMark/>
          </w:tcPr>
          <w:p w14:paraId="7D58BECC" w14:textId="77777777" w:rsidR="00EA5815" w:rsidRPr="00BF0EEF" w:rsidRDefault="00EA5815" w:rsidP="001016AD">
            <w:r w:rsidRPr="00BF0EEF">
              <w:t>Strong</w:t>
            </w:r>
          </w:p>
        </w:tc>
        <w:tc>
          <w:tcPr>
            <w:tcW w:w="1470" w:type="dxa"/>
            <w:noWrap/>
          </w:tcPr>
          <w:p w14:paraId="509CA679" w14:textId="77777777" w:rsidR="00EA5815" w:rsidRPr="00BF0EEF" w:rsidRDefault="00EA5815" w:rsidP="001016AD">
            <w:r w:rsidRPr="00BF0EEF">
              <w:t>Cochrane: treatment variceal bleeding</w:t>
            </w:r>
          </w:p>
        </w:tc>
        <w:tc>
          <w:tcPr>
            <w:tcW w:w="1985" w:type="dxa"/>
            <w:shd w:val="clear" w:color="auto" w:fill="FF0000"/>
            <w:noWrap/>
            <w:hideMark/>
          </w:tcPr>
          <w:p w14:paraId="24AB4E4B" w14:textId="77777777" w:rsidR="00EA5815" w:rsidRPr="00BF0EEF" w:rsidRDefault="00EA5815" w:rsidP="001016AD">
            <w:r w:rsidRPr="00BF0EEF">
              <w:t>No</w:t>
            </w:r>
          </w:p>
        </w:tc>
        <w:tc>
          <w:tcPr>
            <w:tcW w:w="4677" w:type="dxa"/>
            <w:noWrap/>
            <w:hideMark/>
          </w:tcPr>
          <w:p w14:paraId="5AE76105" w14:textId="77777777" w:rsidR="00EA5815" w:rsidRPr="00BF0EEF" w:rsidRDefault="00EA5815" w:rsidP="001016AD">
            <w:r w:rsidRPr="00BF0EEF">
              <w:t>-</w:t>
            </w:r>
          </w:p>
        </w:tc>
      </w:tr>
      <w:tr w:rsidR="00EA5815" w:rsidRPr="00BF0EEF" w14:paraId="21DA69D0" w14:textId="77777777" w:rsidTr="00EA5815">
        <w:trPr>
          <w:trHeight w:val="300"/>
        </w:trPr>
        <w:tc>
          <w:tcPr>
            <w:tcW w:w="1094" w:type="dxa"/>
            <w:noWrap/>
            <w:hideMark/>
          </w:tcPr>
          <w:p w14:paraId="0833D8C1" w14:textId="77777777" w:rsidR="00EA5815" w:rsidRPr="00BF0EEF" w:rsidRDefault="00EA5815" w:rsidP="001016AD">
            <w:r w:rsidRPr="00BF0EEF">
              <w:lastRenderedPageBreak/>
              <w:t>EASL 2018</w:t>
            </w:r>
          </w:p>
        </w:tc>
        <w:tc>
          <w:tcPr>
            <w:tcW w:w="4571" w:type="dxa"/>
            <w:noWrap/>
            <w:hideMark/>
          </w:tcPr>
          <w:p w14:paraId="480F1C62" w14:textId="77777777" w:rsidR="00EA5815" w:rsidRPr="00BF0EEF" w:rsidRDefault="00EA5815" w:rsidP="001016AD">
            <w:r w:rsidRPr="00BF0EEF">
              <w:t>The combination of vasoactive drugs and ligation is recommended as the first therapeutic option in acute variceal bleeding (I;1).</w:t>
            </w:r>
          </w:p>
        </w:tc>
        <w:tc>
          <w:tcPr>
            <w:tcW w:w="1796" w:type="dxa"/>
            <w:noWrap/>
            <w:hideMark/>
          </w:tcPr>
          <w:p w14:paraId="06C0C541" w14:textId="77777777" w:rsidR="00EA5815" w:rsidRPr="00BF0EEF" w:rsidRDefault="00EA5815" w:rsidP="001016AD">
            <w:r w:rsidRPr="00BF0EEF">
              <w:t>Strong</w:t>
            </w:r>
          </w:p>
        </w:tc>
        <w:tc>
          <w:tcPr>
            <w:tcW w:w="1470" w:type="dxa"/>
            <w:noWrap/>
          </w:tcPr>
          <w:p w14:paraId="2C5C0670" w14:textId="77777777" w:rsidR="00EA5815" w:rsidRPr="00BF0EEF" w:rsidRDefault="00EA5815" w:rsidP="001016AD">
            <w:r w:rsidRPr="00BF0EEF">
              <w:t>Cochrane: treatment variceal bleeding</w:t>
            </w:r>
          </w:p>
        </w:tc>
        <w:tc>
          <w:tcPr>
            <w:tcW w:w="1985" w:type="dxa"/>
            <w:shd w:val="clear" w:color="auto" w:fill="FF0000"/>
            <w:noWrap/>
            <w:hideMark/>
          </w:tcPr>
          <w:p w14:paraId="616FB686" w14:textId="77777777" w:rsidR="00EA5815" w:rsidRPr="00BF0EEF" w:rsidRDefault="00EA5815" w:rsidP="001016AD">
            <w:r w:rsidRPr="00BF0EEF">
              <w:t>No</w:t>
            </w:r>
          </w:p>
        </w:tc>
        <w:tc>
          <w:tcPr>
            <w:tcW w:w="4677" w:type="dxa"/>
            <w:noWrap/>
            <w:hideMark/>
          </w:tcPr>
          <w:p w14:paraId="15BA2998" w14:textId="77777777" w:rsidR="00EA5815" w:rsidRPr="00BF0EEF" w:rsidRDefault="00EA5815" w:rsidP="001016AD">
            <w:r w:rsidRPr="00BF0EEF">
              <w:t>-</w:t>
            </w:r>
          </w:p>
        </w:tc>
      </w:tr>
      <w:tr w:rsidR="00EA5815" w:rsidRPr="00BF0EEF" w14:paraId="74A625A0" w14:textId="77777777" w:rsidTr="00EA5815">
        <w:trPr>
          <w:trHeight w:val="300"/>
        </w:trPr>
        <w:tc>
          <w:tcPr>
            <w:tcW w:w="1094" w:type="dxa"/>
            <w:noWrap/>
            <w:hideMark/>
          </w:tcPr>
          <w:p w14:paraId="531A0FE0" w14:textId="77777777" w:rsidR="00EA5815" w:rsidRPr="00BF0EEF" w:rsidRDefault="00EA5815" w:rsidP="001016AD">
            <w:r w:rsidRPr="00BF0EEF">
              <w:t>EASL 2018</w:t>
            </w:r>
          </w:p>
        </w:tc>
        <w:tc>
          <w:tcPr>
            <w:tcW w:w="4571" w:type="dxa"/>
            <w:noWrap/>
            <w:hideMark/>
          </w:tcPr>
          <w:p w14:paraId="29DFF0DF" w14:textId="77777777" w:rsidR="00EA5815" w:rsidRPr="00BF0EEF" w:rsidRDefault="00EA5815" w:rsidP="001016AD">
            <w:r w:rsidRPr="00BF0EEF">
              <w:t>When acute variceal bleeding is confirmed by endoscopy, variceal ligation should be performed within the same procedure (I;1).</w:t>
            </w:r>
          </w:p>
        </w:tc>
        <w:tc>
          <w:tcPr>
            <w:tcW w:w="1796" w:type="dxa"/>
            <w:noWrap/>
            <w:hideMark/>
          </w:tcPr>
          <w:p w14:paraId="0F287574" w14:textId="77777777" w:rsidR="00EA5815" w:rsidRPr="00BF0EEF" w:rsidRDefault="00EA5815" w:rsidP="001016AD">
            <w:r w:rsidRPr="00BF0EEF">
              <w:t>Strong</w:t>
            </w:r>
          </w:p>
        </w:tc>
        <w:tc>
          <w:tcPr>
            <w:tcW w:w="1470" w:type="dxa"/>
            <w:noWrap/>
          </w:tcPr>
          <w:p w14:paraId="1E2E9FD6" w14:textId="77777777" w:rsidR="00EA5815" w:rsidRPr="00BF0EEF" w:rsidRDefault="00EA5815" w:rsidP="001016AD">
            <w:r w:rsidRPr="00BF0EEF">
              <w:t>Cochrane: treatment variceal bleeding</w:t>
            </w:r>
          </w:p>
        </w:tc>
        <w:tc>
          <w:tcPr>
            <w:tcW w:w="1985" w:type="dxa"/>
            <w:shd w:val="clear" w:color="auto" w:fill="FF0000"/>
            <w:noWrap/>
            <w:hideMark/>
          </w:tcPr>
          <w:p w14:paraId="7DB68D29" w14:textId="77777777" w:rsidR="00EA5815" w:rsidRPr="00BF0EEF" w:rsidRDefault="00EA5815" w:rsidP="001016AD">
            <w:r w:rsidRPr="00BF0EEF">
              <w:t>No</w:t>
            </w:r>
          </w:p>
        </w:tc>
        <w:tc>
          <w:tcPr>
            <w:tcW w:w="4677" w:type="dxa"/>
            <w:noWrap/>
            <w:hideMark/>
          </w:tcPr>
          <w:p w14:paraId="5F52557A" w14:textId="77777777" w:rsidR="00EA5815" w:rsidRPr="00BF0EEF" w:rsidRDefault="00EA5815" w:rsidP="001016AD">
            <w:r w:rsidRPr="00BF0EEF">
              <w:t>We have only evaluated the statement about variceal band ligation and not the timing. Therefore the agreement does not refer to the timing</w:t>
            </w:r>
          </w:p>
        </w:tc>
      </w:tr>
      <w:tr w:rsidR="00EA5815" w:rsidRPr="00BF0EEF" w14:paraId="3CFF5549" w14:textId="77777777" w:rsidTr="00EA5815">
        <w:trPr>
          <w:trHeight w:val="300"/>
        </w:trPr>
        <w:tc>
          <w:tcPr>
            <w:tcW w:w="1094" w:type="dxa"/>
            <w:noWrap/>
            <w:hideMark/>
          </w:tcPr>
          <w:p w14:paraId="24FE5214" w14:textId="77777777" w:rsidR="00EA5815" w:rsidRPr="00BF0EEF" w:rsidRDefault="00EA5815" w:rsidP="001016AD">
            <w:bookmarkStart w:id="5" w:name="_Hlk112208938"/>
            <w:r w:rsidRPr="00BF0EEF">
              <w:t>EASL 2018</w:t>
            </w:r>
          </w:p>
        </w:tc>
        <w:tc>
          <w:tcPr>
            <w:tcW w:w="4571" w:type="dxa"/>
            <w:noWrap/>
            <w:hideMark/>
          </w:tcPr>
          <w:p w14:paraId="4B9F92EB" w14:textId="77777777" w:rsidR="00EA5815" w:rsidRPr="00BF0EEF" w:rsidRDefault="00EA5815" w:rsidP="001016AD">
            <w:r w:rsidRPr="00BF0EEF">
              <w:t>Early pre-emptive covered TIPS (placed within 24–72 h) can be suggested in selected high-risk patients, such as those with Child class C with score &lt;14 (I;2).</w:t>
            </w:r>
          </w:p>
        </w:tc>
        <w:tc>
          <w:tcPr>
            <w:tcW w:w="1796" w:type="dxa"/>
            <w:noWrap/>
            <w:hideMark/>
          </w:tcPr>
          <w:p w14:paraId="43D4306A" w14:textId="77777777" w:rsidR="00EA5815" w:rsidRPr="00BF0EEF" w:rsidRDefault="00EA5815" w:rsidP="001016AD">
            <w:r w:rsidRPr="00BF0EEF">
              <w:t>Weak</w:t>
            </w:r>
          </w:p>
        </w:tc>
        <w:tc>
          <w:tcPr>
            <w:tcW w:w="1470" w:type="dxa"/>
            <w:noWrap/>
          </w:tcPr>
          <w:p w14:paraId="3E5233B1" w14:textId="77777777" w:rsidR="00EA5815" w:rsidRPr="00BF0EEF" w:rsidRDefault="00EA5815" w:rsidP="001016AD">
            <w:r w:rsidRPr="00BF0EEF">
              <w:t>Cochrane: treatment variceal bleeding</w:t>
            </w:r>
          </w:p>
        </w:tc>
        <w:tc>
          <w:tcPr>
            <w:tcW w:w="1985" w:type="dxa"/>
            <w:shd w:val="clear" w:color="auto" w:fill="FF0000"/>
            <w:noWrap/>
            <w:hideMark/>
          </w:tcPr>
          <w:p w14:paraId="7295D754" w14:textId="77777777" w:rsidR="00EA5815" w:rsidRPr="00BF0EEF" w:rsidRDefault="00EA5815" w:rsidP="001016AD">
            <w:r w:rsidRPr="00BF0EEF">
              <w:t>No</w:t>
            </w:r>
          </w:p>
        </w:tc>
        <w:tc>
          <w:tcPr>
            <w:tcW w:w="4677" w:type="dxa"/>
            <w:noWrap/>
            <w:hideMark/>
          </w:tcPr>
          <w:p w14:paraId="79729D09" w14:textId="77777777" w:rsidR="00EA5815" w:rsidRPr="00BF0EEF" w:rsidRDefault="00EA5815" w:rsidP="001016AD">
            <w:r w:rsidRPr="00BF0EEF">
              <w:t>The evidence related to TIPS was assessed in Cochrane and there is no evidence to support this recommendation</w:t>
            </w:r>
          </w:p>
        </w:tc>
      </w:tr>
      <w:bookmarkEnd w:id="5"/>
      <w:tr w:rsidR="00EA5815" w:rsidRPr="00BF0EEF" w14:paraId="28147606" w14:textId="77777777" w:rsidTr="00EA5815">
        <w:trPr>
          <w:trHeight w:val="300"/>
        </w:trPr>
        <w:tc>
          <w:tcPr>
            <w:tcW w:w="1094" w:type="dxa"/>
            <w:noWrap/>
            <w:hideMark/>
          </w:tcPr>
          <w:p w14:paraId="2A77A477" w14:textId="77777777" w:rsidR="00EA5815" w:rsidRPr="00BF0EEF" w:rsidRDefault="00EA5815" w:rsidP="001016AD">
            <w:r w:rsidRPr="00BF0EEF">
              <w:t>NICE CG141</w:t>
            </w:r>
          </w:p>
        </w:tc>
        <w:tc>
          <w:tcPr>
            <w:tcW w:w="4571" w:type="dxa"/>
            <w:noWrap/>
            <w:hideMark/>
          </w:tcPr>
          <w:p w14:paraId="4AED45FE" w14:textId="77777777" w:rsidR="00EA5815" w:rsidRPr="00BF0EEF" w:rsidRDefault="00EA5815" w:rsidP="001016AD">
            <w:r w:rsidRPr="00BF0EEF">
              <w:t>1.5.3 Use band ligation in patients with upper gastrointestinal bleeding from oesophageal varices.</w:t>
            </w:r>
          </w:p>
        </w:tc>
        <w:tc>
          <w:tcPr>
            <w:tcW w:w="1796" w:type="dxa"/>
            <w:noWrap/>
            <w:hideMark/>
          </w:tcPr>
          <w:p w14:paraId="0BA2F62C" w14:textId="77777777" w:rsidR="00EA5815" w:rsidRPr="00BF0EEF" w:rsidRDefault="00EA5815" w:rsidP="001016AD">
            <w:r w:rsidRPr="00BF0EEF">
              <w:t>Strong</w:t>
            </w:r>
          </w:p>
        </w:tc>
        <w:tc>
          <w:tcPr>
            <w:tcW w:w="1470" w:type="dxa"/>
            <w:noWrap/>
          </w:tcPr>
          <w:p w14:paraId="05CAA1BF" w14:textId="77777777" w:rsidR="00EA5815" w:rsidRPr="00BF0EEF" w:rsidRDefault="00EA5815" w:rsidP="001016AD">
            <w:r w:rsidRPr="00BF0EEF">
              <w:t>Cochrane: treatment variceal bleeding</w:t>
            </w:r>
          </w:p>
        </w:tc>
        <w:tc>
          <w:tcPr>
            <w:tcW w:w="1985" w:type="dxa"/>
            <w:shd w:val="clear" w:color="auto" w:fill="FF0000"/>
            <w:noWrap/>
            <w:hideMark/>
          </w:tcPr>
          <w:p w14:paraId="49ABD2DC" w14:textId="77777777" w:rsidR="00EA5815" w:rsidRPr="00BF0EEF" w:rsidRDefault="00EA5815" w:rsidP="001016AD">
            <w:r w:rsidRPr="00BF0EEF">
              <w:t>No</w:t>
            </w:r>
          </w:p>
        </w:tc>
        <w:tc>
          <w:tcPr>
            <w:tcW w:w="4677" w:type="dxa"/>
            <w:noWrap/>
            <w:hideMark/>
          </w:tcPr>
          <w:p w14:paraId="5FC51DC8" w14:textId="77777777" w:rsidR="00EA5815" w:rsidRPr="00BF0EEF" w:rsidRDefault="00EA5815" w:rsidP="001016AD">
            <w:r w:rsidRPr="00BF0EEF">
              <w:t>-</w:t>
            </w:r>
          </w:p>
        </w:tc>
      </w:tr>
      <w:tr w:rsidR="00EA5815" w:rsidRPr="00BF0EEF" w14:paraId="3C4B687E" w14:textId="77777777" w:rsidTr="00EA5815">
        <w:trPr>
          <w:trHeight w:val="300"/>
        </w:trPr>
        <w:tc>
          <w:tcPr>
            <w:tcW w:w="1094" w:type="dxa"/>
            <w:noWrap/>
            <w:hideMark/>
          </w:tcPr>
          <w:p w14:paraId="34007B07" w14:textId="77777777" w:rsidR="00EA5815" w:rsidRPr="00BF0EEF" w:rsidRDefault="00EA5815" w:rsidP="001016AD">
            <w:r w:rsidRPr="00BF0EEF">
              <w:lastRenderedPageBreak/>
              <w:t>AASLD 2017</w:t>
            </w:r>
          </w:p>
        </w:tc>
        <w:tc>
          <w:tcPr>
            <w:tcW w:w="4571" w:type="dxa"/>
            <w:noWrap/>
            <w:hideMark/>
          </w:tcPr>
          <w:p w14:paraId="117C93E3" w14:textId="77777777" w:rsidR="00EA5815" w:rsidRPr="00BF0EEF" w:rsidRDefault="00EA5815" w:rsidP="001016AD">
            <w:r w:rsidRPr="00BF0EEF">
              <w:t>Combination of NSBB</w:t>
            </w:r>
            <w:r>
              <w:t xml:space="preserve"> + </w:t>
            </w:r>
            <w:r w:rsidRPr="00BF0EEF">
              <w:t>EVL is first-line therapy in the prevention of rebleeding</w:t>
            </w:r>
          </w:p>
        </w:tc>
        <w:tc>
          <w:tcPr>
            <w:tcW w:w="1796" w:type="dxa"/>
            <w:noWrap/>
            <w:hideMark/>
          </w:tcPr>
          <w:p w14:paraId="734224DB" w14:textId="77777777" w:rsidR="00EA5815" w:rsidRPr="00BF0EEF" w:rsidRDefault="00EA5815" w:rsidP="001016AD">
            <w:r w:rsidRPr="00BF0EEF">
              <w:t>Strong</w:t>
            </w:r>
          </w:p>
        </w:tc>
        <w:tc>
          <w:tcPr>
            <w:tcW w:w="1470" w:type="dxa"/>
            <w:noWrap/>
          </w:tcPr>
          <w:p w14:paraId="4B8CEB01" w14:textId="77777777" w:rsidR="00EA5815" w:rsidRPr="00BF0EEF" w:rsidRDefault="00EA5815" w:rsidP="001016AD">
            <w:r w:rsidRPr="00BF0EEF">
              <w:t>Cochrane:  secondary prevention variceal bleeding</w:t>
            </w:r>
          </w:p>
        </w:tc>
        <w:tc>
          <w:tcPr>
            <w:tcW w:w="1985" w:type="dxa"/>
            <w:shd w:val="clear" w:color="auto" w:fill="FF0000"/>
            <w:noWrap/>
            <w:hideMark/>
          </w:tcPr>
          <w:p w14:paraId="78207288" w14:textId="77777777" w:rsidR="00EA5815" w:rsidRPr="00BF0EEF" w:rsidRDefault="00EA5815" w:rsidP="001016AD">
            <w:r w:rsidRPr="00BF0EEF">
              <w:t>No</w:t>
            </w:r>
          </w:p>
        </w:tc>
        <w:tc>
          <w:tcPr>
            <w:tcW w:w="4677" w:type="dxa"/>
            <w:noWrap/>
            <w:hideMark/>
          </w:tcPr>
          <w:p w14:paraId="0FD6BE33" w14:textId="77777777" w:rsidR="00EA5815" w:rsidRPr="00BF0EEF" w:rsidRDefault="00EA5815" w:rsidP="001016AD">
            <w:r w:rsidRPr="00BF0EEF">
              <w:t>-</w:t>
            </w:r>
          </w:p>
        </w:tc>
      </w:tr>
      <w:tr w:rsidR="00EA5815" w:rsidRPr="00BF0EEF" w14:paraId="4433C3B9" w14:textId="77777777" w:rsidTr="00EA5815">
        <w:trPr>
          <w:trHeight w:val="300"/>
        </w:trPr>
        <w:tc>
          <w:tcPr>
            <w:tcW w:w="1094" w:type="dxa"/>
            <w:noWrap/>
            <w:hideMark/>
          </w:tcPr>
          <w:p w14:paraId="33F48BEE" w14:textId="77777777" w:rsidR="00EA5815" w:rsidRPr="00BF0EEF" w:rsidRDefault="00EA5815" w:rsidP="001016AD">
            <w:r w:rsidRPr="00BF0EEF">
              <w:t>BSG 2015</w:t>
            </w:r>
          </w:p>
        </w:tc>
        <w:tc>
          <w:tcPr>
            <w:tcW w:w="4571" w:type="dxa"/>
            <w:noWrap/>
            <w:hideMark/>
          </w:tcPr>
          <w:p w14:paraId="47A9015A" w14:textId="77777777" w:rsidR="00EA5815" w:rsidRPr="00BF0EEF" w:rsidRDefault="00EA5815" w:rsidP="001016AD">
            <w:r w:rsidRPr="00BF0EEF">
              <w:t>NSBB (propranolol or nadolol)</w:t>
            </w:r>
            <w:r>
              <w:t xml:space="preserve"> </w:t>
            </w:r>
            <w:r w:rsidRPr="00BF0EEF">
              <w:t>+</w:t>
            </w:r>
            <w:r>
              <w:t xml:space="preserve"> </w:t>
            </w:r>
            <w:r w:rsidRPr="00BF0EEF">
              <w:t>VBL combination therapy are recommended as secondary prophylaxis (level 1a, grade A).</w:t>
            </w:r>
          </w:p>
        </w:tc>
        <w:tc>
          <w:tcPr>
            <w:tcW w:w="1796" w:type="dxa"/>
            <w:noWrap/>
            <w:hideMark/>
          </w:tcPr>
          <w:p w14:paraId="39A5B602" w14:textId="77777777" w:rsidR="00EA5815" w:rsidRPr="00BF0EEF" w:rsidRDefault="00EA5815" w:rsidP="001016AD">
            <w:r w:rsidRPr="00BF0EEF">
              <w:t>Strong</w:t>
            </w:r>
          </w:p>
        </w:tc>
        <w:tc>
          <w:tcPr>
            <w:tcW w:w="1470" w:type="dxa"/>
            <w:noWrap/>
          </w:tcPr>
          <w:p w14:paraId="25443C2D" w14:textId="77777777" w:rsidR="00EA5815" w:rsidRPr="00BF0EEF" w:rsidRDefault="00EA5815" w:rsidP="001016AD">
            <w:r w:rsidRPr="00BF0EEF">
              <w:t>Cochrane:  secondary prevention variceal bleeding</w:t>
            </w:r>
          </w:p>
        </w:tc>
        <w:tc>
          <w:tcPr>
            <w:tcW w:w="1985" w:type="dxa"/>
            <w:shd w:val="clear" w:color="auto" w:fill="FF0000"/>
            <w:noWrap/>
            <w:hideMark/>
          </w:tcPr>
          <w:p w14:paraId="45C54ED5" w14:textId="77777777" w:rsidR="00EA5815" w:rsidRPr="00BF0EEF" w:rsidRDefault="00EA5815" w:rsidP="001016AD">
            <w:r w:rsidRPr="00BF0EEF">
              <w:t>No</w:t>
            </w:r>
          </w:p>
        </w:tc>
        <w:tc>
          <w:tcPr>
            <w:tcW w:w="4677" w:type="dxa"/>
            <w:noWrap/>
            <w:hideMark/>
          </w:tcPr>
          <w:p w14:paraId="3D6E1BF8" w14:textId="77777777" w:rsidR="00EA5815" w:rsidRPr="00BF0EEF" w:rsidRDefault="00EA5815" w:rsidP="001016AD">
            <w:r w:rsidRPr="00BF0EEF">
              <w:t>-</w:t>
            </w:r>
          </w:p>
        </w:tc>
      </w:tr>
      <w:tr w:rsidR="00EA5815" w:rsidRPr="00BF0EEF" w14:paraId="295A1C9F" w14:textId="77777777" w:rsidTr="00EA5815">
        <w:trPr>
          <w:trHeight w:val="300"/>
        </w:trPr>
        <w:tc>
          <w:tcPr>
            <w:tcW w:w="1094" w:type="dxa"/>
            <w:noWrap/>
            <w:hideMark/>
          </w:tcPr>
          <w:p w14:paraId="10E866C1" w14:textId="77777777" w:rsidR="00EA5815" w:rsidRPr="00BF0EEF" w:rsidRDefault="00EA5815" w:rsidP="001016AD">
            <w:r w:rsidRPr="00BF0EEF">
              <w:t>EASL 2018</w:t>
            </w:r>
          </w:p>
        </w:tc>
        <w:tc>
          <w:tcPr>
            <w:tcW w:w="4571" w:type="dxa"/>
            <w:noWrap/>
            <w:hideMark/>
          </w:tcPr>
          <w:p w14:paraId="3EBAA5B9" w14:textId="77777777" w:rsidR="00EA5815" w:rsidRPr="00BF0EEF" w:rsidRDefault="00EA5815" w:rsidP="001016AD">
            <w:r w:rsidRPr="00BF0EEF">
              <w:t>Combination therapy of NSBBs + EBL is recommended since it reduces the risk of rebleeding compared with monotherapy (I,1).</w:t>
            </w:r>
          </w:p>
        </w:tc>
        <w:tc>
          <w:tcPr>
            <w:tcW w:w="1796" w:type="dxa"/>
            <w:noWrap/>
            <w:hideMark/>
          </w:tcPr>
          <w:p w14:paraId="1974791C" w14:textId="77777777" w:rsidR="00EA5815" w:rsidRPr="00BF0EEF" w:rsidRDefault="00EA5815" w:rsidP="001016AD">
            <w:r w:rsidRPr="00BF0EEF">
              <w:t>Strong</w:t>
            </w:r>
          </w:p>
        </w:tc>
        <w:tc>
          <w:tcPr>
            <w:tcW w:w="1470" w:type="dxa"/>
            <w:noWrap/>
          </w:tcPr>
          <w:p w14:paraId="2456E4EA" w14:textId="77777777" w:rsidR="00EA5815" w:rsidRPr="00BF0EEF" w:rsidRDefault="00EA5815" w:rsidP="001016AD">
            <w:r w:rsidRPr="00BF0EEF">
              <w:t>Cochrane:  secondary prevention variceal bleeding</w:t>
            </w:r>
          </w:p>
        </w:tc>
        <w:tc>
          <w:tcPr>
            <w:tcW w:w="1985" w:type="dxa"/>
            <w:shd w:val="clear" w:color="auto" w:fill="FF0000"/>
            <w:noWrap/>
            <w:hideMark/>
          </w:tcPr>
          <w:p w14:paraId="3498B243" w14:textId="77777777" w:rsidR="00EA5815" w:rsidRPr="00BF0EEF" w:rsidRDefault="00EA5815" w:rsidP="001016AD">
            <w:r w:rsidRPr="00BF0EEF">
              <w:t>No</w:t>
            </w:r>
          </w:p>
        </w:tc>
        <w:tc>
          <w:tcPr>
            <w:tcW w:w="4677" w:type="dxa"/>
            <w:noWrap/>
            <w:hideMark/>
          </w:tcPr>
          <w:p w14:paraId="60FB723B" w14:textId="77777777" w:rsidR="00EA5815" w:rsidRPr="00BF0EEF" w:rsidRDefault="00EA5815" w:rsidP="001016AD">
            <w:r w:rsidRPr="00BF0EEF">
              <w:t>-</w:t>
            </w:r>
          </w:p>
        </w:tc>
      </w:tr>
    </w:tbl>
    <w:p w14:paraId="0108DBC7" w14:textId="77777777" w:rsidR="00EA5815" w:rsidRDefault="00EA5815" w:rsidP="00EA5815">
      <w:pPr>
        <w:spacing w:before="120"/>
      </w:pPr>
      <w:r w:rsidRPr="00BF0EEF">
        <w:t xml:space="preserve">Abbreviations: </w:t>
      </w:r>
    </w:p>
    <w:p w14:paraId="4BE416DE" w14:textId="77777777" w:rsidR="00EA5815" w:rsidRDefault="00EA5815" w:rsidP="00EA5815">
      <w:r>
        <w:t>AKI = acute kidney injury</w:t>
      </w:r>
    </w:p>
    <w:p w14:paraId="084E179F" w14:textId="77777777" w:rsidR="00EA5815" w:rsidRPr="00AC532C" w:rsidRDefault="00EA5815" w:rsidP="00EA5815">
      <w:r w:rsidRPr="00AC532C">
        <w:lastRenderedPageBreak/>
        <w:t>CTP = Child-Turcotte-Pugh</w:t>
      </w:r>
    </w:p>
    <w:p w14:paraId="36ECECF4" w14:textId="77777777" w:rsidR="00EA5815" w:rsidRDefault="00EA5815" w:rsidP="00EA5815">
      <w:r w:rsidRPr="00AC532C">
        <w:t>EBL = endoscopic band ligation</w:t>
      </w:r>
    </w:p>
    <w:p w14:paraId="3A4B1D57" w14:textId="77777777" w:rsidR="00EA5815" w:rsidRDefault="00EA5815" w:rsidP="00EA5815">
      <w:r w:rsidRPr="00AC532C">
        <w:t>EGD = esophagogastroduodenoscopy</w:t>
      </w:r>
    </w:p>
    <w:p w14:paraId="6EB15E21" w14:textId="77777777" w:rsidR="00EA5815" w:rsidRDefault="00EA5815" w:rsidP="00EA5815">
      <w:r w:rsidRPr="00AC532C">
        <w:t>ESBL = extended spectrum beta-lactamase</w:t>
      </w:r>
    </w:p>
    <w:p w14:paraId="25751BCA" w14:textId="77777777" w:rsidR="00EA5815" w:rsidRDefault="00EA5815" w:rsidP="00EA5815">
      <w:r>
        <w:t xml:space="preserve">EV = </w:t>
      </w:r>
      <w:r w:rsidRPr="00AC532C">
        <w:t>esophageal varices</w:t>
      </w:r>
    </w:p>
    <w:p w14:paraId="18B7DB58" w14:textId="77777777" w:rsidR="00EA5815" w:rsidRPr="00AC532C" w:rsidRDefault="00EA5815" w:rsidP="00EA5815">
      <w:r w:rsidRPr="00AC532C">
        <w:t>EVL = endoscopic variceal ligation</w:t>
      </w:r>
    </w:p>
    <w:p w14:paraId="606672F8" w14:textId="77777777" w:rsidR="00EA5815" w:rsidRDefault="00EA5815" w:rsidP="00EA5815">
      <w:r>
        <w:t>HE = hepatic encephalopathy</w:t>
      </w:r>
    </w:p>
    <w:p w14:paraId="5555702E" w14:textId="77777777" w:rsidR="00EA5815" w:rsidRPr="00AC532C" w:rsidRDefault="00EA5815" w:rsidP="00EA5815">
      <w:r>
        <w:t xml:space="preserve">HRS = hepato-renal </w:t>
      </w:r>
      <w:r w:rsidRPr="00AC532C">
        <w:t>syndrome</w:t>
      </w:r>
    </w:p>
    <w:p w14:paraId="49BD779E" w14:textId="77777777" w:rsidR="00EA5815" w:rsidRPr="00AC532C" w:rsidRDefault="00EA5815" w:rsidP="00EA5815">
      <w:r w:rsidRPr="00AC532C">
        <w:t xml:space="preserve">HRS-NAKI </w:t>
      </w:r>
      <w:r>
        <w:t xml:space="preserve">= </w:t>
      </w:r>
      <w:r w:rsidRPr="00AC532C">
        <w:t>hepato-renal syndrome non-acute kidney injury</w:t>
      </w:r>
    </w:p>
    <w:p w14:paraId="04A2B940" w14:textId="77777777" w:rsidR="00EA5815" w:rsidRDefault="00EA5815" w:rsidP="00EA5815">
      <w:r>
        <w:t xml:space="preserve">LVP = </w:t>
      </w:r>
      <w:r w:rsidRPr="00953365">
        <w:t>large-volume paracentesis</w:t>
      </w:r>
    </w:p>
    <w:p w14:paraId="71A97F59" w14:textId="77777777" w:rsidR="00EA5815" w:rsidRDefault="00EA5815" w:rsidP="00EA5815">
      <w:r w:rsidRPr="00AC532C">
        <w:t>MDR = multi-drug resistant</w:t>
      </w:r>
    </w:p>
    <w:p w14:paraId="0E8774E4" w14:textId="77777777" w:rsidR="00EA5815" w:rsidRDefault="00EA5815" w:rsidP="00EA5815">
      <w:r w:rsidRPr="00AC532C">
        <w:t>NSBB = non-selective beta-blocker</w:t>
      </w:r>
    </w:p>
    <w:p w14:paraId="7D9C1688" w14:textId="77777777" w:rsidR="00EA5815" w:rsidRDefault="00EA5815" w:rsidP="00EA5815">
      <w:r>
        <w:t>RA = refractory ascites</w:t>
      </w:r>
    </w:p>
    <w:p w14:paraId="68195916" w14:textId="77777777" w:rsidR="00EA5815" w:rsidRPr="00BF0EEF" w:rsidRDefault="00EA5815" w:rsidP="00EA5815">
      <w:r w:rsidRPr="00AC532C">
        <w:t>SBE = spontaneous bacterial empyema</w:t>
      </w:r>
    </w:p>
    <w:p w14:paraId="2F7BA099" w14:textId="77777777" w:rsidR="00EA5815" w:rsidRDefault="00EA5815" w:rsidP="00EA5815">
      <w:r>
        <w:t>SBP = spontaneous bacterial peritonitis</w:t>
      </w:r>
    </w:p>
    <w:p w14:paraId="34CCCDDF" w14:textId="77777777" w:rsidR="00EA5815" w:rsidRDefault="00EA5815" w:rsidP="00EA5815">
      <w:r w:rsidRPr="00953365">
        <w:t xml:space="preserve">TIPS = </w:t>
      </w:r>
      <w:r>
        <w:t>t</w:t>
      </w:r>
      <w:r w:rsidRPr="00953365">
        <w:t>ransjugular</w:t>
      </w:r>
      <w:r>
        <w:t xml:space="preserve"> </w:t>
      </w:r>
      <w:r w:rsidRPr="00953365">
        <w:t>intrahepatic portosystemic shunts</w:t>
      </w:r>
    </w:p>
    <w:p w14:paraId="3002B802" w14:textId="77777777" w:rsidR="00EA5815" w:rsidRDefault="00EA5815" w:rsidP="00EA5815">
      <w:r>
        <w:t xml:space="preserve">TIPSS = </w:t>
      </w:r>
      <w:r w:rsidRPr="00953365">
        <w:t>transjugular intrahepatic portosystemic stent-shunt</w:t>
      </w:r>
    </w:p>
    <w:p w14:paraId="7359EFF4" w14:textId="77777777" w:rsidR="00EA5815" w:rsidRDefault="00EA5815" w:rsidP="00EA5815">
      <w:r w:rsidRPr="00AC532C">
        <w:lastRenderedPageBreak/>
        <w:t>VBL = variceal band ligation</w:t>
      </w:r>
    </w:p>
    <w:p w14:paraId="5C574B91" w14:textId="77777777" w:rsidR="00EA5815" w:rsidRDefault="00EA5815" w:rsidP="00EA5815">
      <w:r>
        <w:t xml:space="preserve">VH = </w:t>
      </w:r>
      <w:r w:rsidRPr="00AC532C">
        <w:t>variceal h</w:t>
      </w:r>
      <w:r>
        <w:t>a</w:t>
      </w:r>
      <w:r w:rsidRPr="00AC532C">
        <w:t>emorrhage</w:t>
      </w:r>
    </w:p>
    <w:p w14:paraId="1BFAD11F" w14:textId="77777777" w:rsidR="00EA5815" w:rsidRDefault="00EA5815" w:rsidP="00EA5815">
      <w:pPr>
        <w:pStyle w:val="Heading2"/>
      </w:pPr>
      <w:r>
        <w:br w:type="page"/>
      </w:r>
    </w:p>
    <w:p w14:paraId="059A882B" w14:textId="55FDAB41" w:rsidR="00EA5815" w:rsidRPr="00BF0EEF" w:rsidRDefault="00EA5815" w:rsidP="00EA5815">
      <w:pPr>
        <w:pStyle w:val="Heading2"/>
      </w:pPr>
      <w:bookmarkStart w:id="6" w:name="_Hlk117010304"/>
      <w:r>
        <w:lastRenderedPageBreak/>
        <w:t xml:space="preserve">Extended Data </w:t>
      </w:r>
      <w:r w:rsidRPr="00BF0EEF">
        <w:t xml:space="preserve">Table </w:t>
      </w:r>
      <w:r>
        <w:t>4:</w:t>
      </w:r>
      <w:r w:rsidRPr="00BF0EEF">
        <w:t xml:space="preserve"> Guideline search date versus Cochrane search date</w:t>
      </w:r>
    </w:p>
    <w:tbl>
      <w:tblPr>
        <w:tblW w:w="0" w:type="auto"/>
        <w:tblLayout w:type="fixed"/>
        <w:tblLook w:val="04A0" w:firstRow="1" w:lastRow="0" w:firstColumn="1" w:lastColumn="0" w:noHBand="0" w:noVBand="1"/>
      </w:tblPr>
      <w:tblGrid>
        <w:gridCol w:w="1743"/>
        <w:gridCol w:w="1744"/>
        <w:gridCol w:w="1743"/>
        <w:gridCol w:w="1744"/>
        <w:gridCol w:w="1743"/>
        <w:gridCol w:w="1744"/>
        <w:gridCol w:w="1743"/>
        <w:gridCol w:w="1744"/>
      </w:tblGrid>
      <w:tr w:rsidR="00EA5815" w:rsidRPr="003E78C7" w14:paraId="0EA03E80" w14:textId="77777777" w:rsidTr="001016AD">
        <w:trPr>
          <w:trHeight w:val="300"/>
        </w:trPr>
        <w:tc>
          <w:tcPr>
            <w:tcW w:w="1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668ED3" w14:textId="77777777" w:rsidR="00EA5815" w:rsidRPr="003E78C7" w:rsidRDefault="00EA5815" w:rsidP="001016AD">
            <w:pPr>
              <w:rPr>
                <w:b/>
                <w:bCs/>
              </w:rPr>
            </w:pPr>
            <w:r w:rsidRPr="003E78C7">
              <w:rPr>
                <w:b/>
                <w:bCs/>
              </w:rPr>
              <w:t> </w:t>
            </w:r>
          </w:p>
        </w:tc>
        <w:tc>
          <w:tcPr>
            <w:tcW w:w="1744" w:type="dxa"/>
            <w:tcBorders>
              <w:top w:val="single" w:sz="4" w:space="0" w:color="auto"/>
              <w:left w:val="nil"/>
              <w:bottom w:val="single" w:sz="4" w:space="0" w:color="auto"/>
              <w:right w:val="single" w:sz="4" w:space="0" w:color="auto"/>
            </w:tcBorders>
            <w:shd w:val="clear" w:color="auto" w:fill="auto"/>
            <w:noWrap/>
            <w:vAlign w:val="bottom"/>
            <w:hideMark/>
          </w:tcPr>
          <w:p w14:paraId="3D81E6C8" w14:textId="77777777" w:rsidR="00EA5815" w:rsidRPr="003E78C7" w:rsidRDefault="00EA5815" w:rsidP="001016AD">
            <w:pPr>
              <w:rPr>
                <w:b/>
                <w:bCs/>
              </w:rPr>
            </w:pPr>
            <w:r w:rsidRPr="003E78C7">
              <w:rPr>
                <w:b/>
                <w:bCs/>
              </w:rPr>
              <w:t>Cochrane: ascites</w:t>
            </w:r>
          </w:p>
        </w:tc>
        <w:tc>
          <w:tcPr>
            <w:tcW w:w="1743" w:type="dxa"/>
            <w:tcBorders>
              <w:top w:val="single" w:sz="4" w:space="0" w:color="auto"/>
              <w:left w:val="nil"/>
              <w:bottom w:val="single" w:sz="4" w:space="0" w:color="auto"/>
              <w:right w:val="single" w:sz="4" w:space="0" w:color="auto"/>
            </w:tcBorders>
            <w:shd w:val="clear" w:color="auto" w:fill="auto"/>
            <w:noWrap/>
            <w:vAlign w:val="bottom"/>
            <w:hideMark/>
          </w:tcPr>
          <w:p w14:paraId="3B7F4DFD" w14:textId="77777777" w:rsidR="00EA5815" w:rsidRPr="003E78C7" w:rsidRDefault="00EA5815" w:rsidP="001016AD">
            <w:pPr>
              <w:rPr>
                <w:b/>
                <w:bCs/>
              </w:rPr>
            </w:pPr>
            <w:r w:rsidRPr="003E78C7">
              <w:rPr>
                <w:b/>
                <w:bCs/>
              </w:rPr>
              <w:t>Cochrane: hepatorenal syndrome</w:t>
            </w:r>
          </w:p>
        </w:tc>
        <w:tc>
          <w:tcPr>
            <w:tcW w:w="1744" w:type="dxa"/>
            <w:tcBorders>
              <w:top w:val="single" w:sz="4" w:space="0" w:color="auto"/>
              <w:left w:val="nil"/>
              <w:bottom w:val="single" w:sz="4" w:space="0" w:color="auto"/>
              <w:right w:val="single" w:sz="4" w:space="0" w:color="auto"/>
            </w:tcBorders>
            <w:shd w:val="clear" w:color="auto" w:fill="auto"/>
            <w:noWrap/>
            <w:vAlign w:val="bottom"/>
            <w:hideMark/>
          </w:tcPr>
          <w:p w14:paraId="1DDFB9C1" w14:textId="77777777" w:rsidR="00EA5815" w:rsidRPr="003E78C7" w:rsidRDefault="00EA5815" w:rsidP="001016AD">
            <w:pPr>
              <w:rPr>
                <w:b/>
                <w:bCs/>
              </w:rPr>
            </w:pPr>
            <w:r w:rsidRPr="003E78C7">
              <w:rPr>
                <w:b/>
                <w:bCs/>
              </w:rPr>
              <w:t>Cochrane SBP prophylaxis</w:t>
            </w:r>
          </w:p>
        </w:tc>
        <w:tc>
          <w:tcPr>
            <w:tcW w:w="1743" w:type="dxa"/>
            <w:tcBorders>
              <w:top w:val="single" w:sz="4" w:space="0" w:color="auto"/>
              <w:left w:val="nil"/>
              <w:bottom w:val="single" w:sz="4" w:space="0" w:color="auto"/>
              <w:right w:val="single" w:sz="4" w:space="0" w:color="auto"/>
            </w:tcBorders>
            <w:shd w:val="clear" w:color="auto" w:fill="auto"/>
            <w:noWrap/>
            <w:vAlign w:val="bottom"/>
            <w:hideMark/>
          </w:tcPr>
          <w:p w14:paraId="2AE5E899" w14:textId="77777777" w:rsidR="00EA5815" w:rsidRPr="003E78C7" w:rsidRDefault="00EA5815" w:rsidP="001016AD">
            <w:pPr>
              <w:rPr>
                <w:b/>
                <w:bCs/>
              </w:rPr>
            </w:pPr>
            <w:r w:rsidRPr="003E78C7">
              <w:rPr>
                <w:b/>
                <w:bCs/>
              </w:rPr>
              <w:t>Cochrane: SBP treatment</w:t>
            </w:r>
          </w:p>
        </w:tc>
        <w:tc>
          <w:tcPr>
            <w:tcW w:w="1744" w:type="dxa"/>
            <w:tcBorders>
              <w:top w:val="single" w:sz="4" w:space="0" w:color="auto"/>
              <w:left w:val="nil"/>
              <w:bottom w:val="single" w:sz="4" w:space="0" w:color="auto"/>
              <w:right w:val="single" w:sz="4" w:space="0" w:color="auto"/>
            </w:tcBorders>
            <w:shd w:val="clear" w:color="auto" w:fill="auto"/>
            <w:noWrap/>
            <w:vAlign w:val="bottom"/>
            <w:hideMark/>
          </w:tcPr>
          <w:p w14:paraId="5118F3FF" w14:textId="77777777" w:rsidR="00EA5815" w:rsidRPr="003E78C7" w:rsidRDefault="00EA5815" w:rsidP="001016AD">
            <w:pPr>
              <w:rPr>
                <w:b/>
                <w:bCs/>
              </w:rPr>
            </w:pPr>
            <w:r w:rsidRPr="003E78C7">
              <w:rPr>
                <w:b/>
                <w:bCs/>
              </w:rPr>
              <w:t>Cochrane: primary prevention variceal bleeding</w:t>
            </w:r>
          </w:p>
        </w:tc>
        <w:tc>
          <w:tcPr>
            <w:tcW w:w="1743" w:type="dxa"/>
            <w:tcBorders>
              <w:top w:val="single" w:sz="4" w:space="0" w:color="auto"/>
              <w:left w:val="nil"/>
              <w:bottom w:val="single" w:sz="4" w:space="0" w:color="auto"/>
              <w:right w:val="single" w:sz="4" w:space="0" w:color="auto"/>
            </w:tcBorders>
            <w:shd w:val="clear" w:color="auto" w:fill="auto"/>
            <w:noWrap/>
            <w:vAlign w:val="bottom"/>
            <w:hideMark/>
          </w:tcPr>
          <w:p w14:paraId="4555633D" w14:textId="77777777" w:rsidR="00EA5815" w:rsidRPr="003E78C7" w:rsidRDefault="00EA5815" w:rsidP="001016AD">
            <w:pPr>
              <w:rPr>
                <w:b/>
                <w:bCs/>
              </w:rPr>
            </w:pPr>
            <w:r w:rsidRPr="003E78C7">
              <w:rPr>
                <w:b/>
                <w:bCs/>
              </w:rPr>
              <w:t>Cochrane: treatment variceal bleeding</w:t>
            </w:r>
          </w:p>
        </w:tc>
        <w:tc>
          <w:tcPr>
            <w:tcW w:w="1744" w:type="dxa"/>
            <w:tcBorders>
              <w:top w:val="single" w:sz="4" w:space="0" w:color="auto"/>
              <w:left w:val="nil"/>
              <w:bottom w:val="single" w:sz="4" w:space="0" w:color="auto"/>
              <w:right w:val="single" w:sz="4" w:space="0" w:color="auto"/>
            </w:tcBorders>
            <w:shd w:val="clear" w:color="auto" w:fill="auto"/>
            <w:noWrap/>
            <w:vAlign w:val="bottom"/>
            <w:hideMark/>
          </w:tcPr>
          <w:p w14:paraId="77CD00AF" w14:textId="77777777" w:rsidR="00EA5815" w:rsidRPr="003E78C7" w:rsidRDefault="00EA5815" w:rsidP="001016AD">
            <w:pPr>
              <w:rPr>
                <w:b/>
                <w:bCs/>
              </w:rPr>
            </w:pPr>
            <w:r w:rsidRPr="003E78C7">
              <w:rPr>
                <w:b/>
                <w:bCs/>
              </w:rPr>
              <w:t>Cochrane:  secondary prevention variceal bleeding</w:t>
            </w:r>
          </w:p>
        </w:tc>
      </w:tr>
      <w:tr w:rsidR="00EA5815" w:rsidRPr="00BF0EEF" w14:paraId="1B932098" w14:textId="77777777" w:rsidTr="001016AD">
        <w:trPr>
          <w:trHeight w:val="300"/>
        </w:trPr>
        <w:tc>
          <w:tcPr>
            <w:tcW w:w="1743" w:type="dxa"/>
            <w:tcBorders>
              <w:top w:val="nil"/>
              <w:left w:val="single" w:sz="4" w:space="0" w:color="auto"/>
              <w:bottom w:val="single" w:sz="4" w:space="0" w:color="auto"/>
              <w:right w:val="single" w:sz="4" w:space="0" w:color="auto"/>
            </w:tcBorders>
            <w:shd w:val="clear" w:color="auto" w:fill="auto"/>
            <w:noWrap/>
            <w:vAlign w:val="bottom"/>
            <w:hideMark/>
          </w:tcPr>
          <w:p w14:paraId="348A70F8" w14:textId="77777777" w:rsidR="00EA5815" w:rsidRPr="00BF0EEF" w:rsidRDefault="00EA5815" w:rsidP="001016AD">
            <w:r w:rsidRPr="00BF0EEF">
              <w:t>AASLD 2017</w:t>
            </w:r>
          </w:p>
        </w:tc>
        <w:tc>
          <w:tcPr>
            <w:tcW w:w="1744" w:type="dxa"/>
            <w:tcBorders>
              <w:top w:val="nil"/>
              <w:left w:val="nil"/>
              <w:bottom w:val="single" w:sz="4" w:space="0" w:color="auto"/>
              <w:right w:val="single" w:sz="4" w:space="0" w:color="auto"/>
            </w:tcBorders>
            <w:shd w:val="clear" w:color="auto" w:fill="auto"/>
            <w:noWrap/>
            <w:vAlign w:val="bottom"/>
            <w:hideMark/>
          </w:tcPr>
          <w:p w14:paraId="3E1CA3F9"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6BCB650A"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74F02BD0"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3CCDBC14"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3BB52C4C" w14:textId="77777777" w:rsidR="00EA5815" w:rsidRPr="00BF0EEF" w:rsidRDefault="00EA5815" w:rsidP="001016AD">
            <w:r w:rsidRPr="00BF0EEF">
              <w:t>Guideline: Unclear – publication received 20 October 2016</w:t>
            </w:r>
            <w:r w:rsidRPr="00BF0EEF">
              <w:br/>
              <w:t>Cochrane: Dec-2019</w:t>
            </w:r>
          </w:p>
        </w:tc>
        <w:tc>
          <w:tcPr>
            <w:tcW w:w="1743" w:type="dxa"/>
            <w:tcBorders>
              <w:top w:val="nil"/>
              <w:left w:val="nil"/>
              <w:bottom w:val="single" w:sz="4" w:space="0" w:color="auto"/>
              <w:right w:val="single" w:sz="4" w:space="0" w:color="auto"/>
            </w:tcBorders>
            <w:shd w:val="clear" w:color="auto" w:fill="auto"/>
            <w:noWrap/>
            <w:vAlign w:val="bottom"/>
            <w:hideMark/>
          </w:tcPr>
          <w:p w14:paraId="30714211" w14:textId="77777777" w:rsidR="00EA5815" w:rsidRPr="00BF0EEF" w:rsidRDefault="00EA5815" w:rsidP="001016AD">
            <w:r w:rsidRPr="00BF0EEF">
              <w:t>Guideline: Unclear – publication received 20 October 2016</w:t>
            </w:r>
            <w:r w:rsidRPr="00BF0EEF">
              <w:br/>
              <w:t>Cochrane: Dec-2019</w:t>
            </w:r>
          </w:p>
        </w:tc>
        <w:tc>
          <w:tcPr>
            <w:tcW w:w="1744" w:type="dxa"/>
            <w:tcBorders>
              <w:top w:val="nil"/>
              <w:left w:val="nil"/>
              <w:bottom w:val="single" w:sz="4" w:space="0" w:color="auto"/>
              <w:right w:val="single" w:sz="4" w:space="0" w:color="auto"/>
            </w:tcBorders>
            <w:shd w:val="clear" w:color="auto" w:fill="auto"/>
            <w:noWrap/>
            <w:vAlign w:val="bottom"/>
            <w:hideMark/>
          </w:tcPr>
          <w:p w14:paraId="04005395" w14:textId="77777777" w:rsidR="00EA5815" w:rsidRPr="00BF0EEF" w:rsidRDefault="00EA5815" w:rsidP="001016AD">
            <w:r w:rsidRPr="00BF0EEF">
              <w:t>Guideline: Unclear – publication received 20 October 2016</w:t>
            </w:r>
            <w:r w:rsidRPr="00BF0EEF">
              <w:br/>
              <w:t>Cochrane: Dec-2019</w:t>
            </w:r>
          </w:p>
        </w:tc>
      </w:tr>
      <w:tr w:rsidR="00EA5815" w:rsidRPr="00BF0EEF" w14:paraId="452C41C4" w14:textId="77777777" w:rsidTr="001016AD">
        <w:trPr>
          <w:trHeight w:val="300"/>
        </w:trPr>
        <w:tc>
          <w:tcPr>
            <w:tcW w:w="1743" w:type="dxa"/>
            <w:tcBorders>
              <w:top w:val="nil"/>
              <w:left w:val="single" w:sz="4" w:space="0" w:color="auto"/>
              <w:bottom w:val="single" w:sz="4" w:space="0" w:color="auto"/>
              <w:right w:val="single" w:sz="4" w:space="0" w:color="auto"/>
            </w:tcBorders>
            <w:shd w:val="clear" w:color="auto" w:fill="auto"/>
            <w:noWrap/>
            <w:vAlign w:val="bottom"/>
            <w:hideMark/>
          </w:tcPr>
          <w:p w14:paraId="76563A29" w14:textId="77777777" w:rsidR="00EA5815" w:rsidRPr="00BF0EEF" w:rsidRDefault="00EA5815" w:rsidP="001016AD">
            <w:r w:rsidRPr="00BF0EEF">
              <w:t>AASLD 2021</w:t>
            </w:r>
          </w:p>
        </w:tc>
        <w:tc>
          <w:tcPr>
            <w:tcW w:w="1744" w:type="dxa"/>
            <w:tcBorders>
              <w:top w:val="nil"/>
              <w:left w:val="nil"/>
              <w:bottom w:val="single" w:sz="4" w:space="0" w:color="auto"/>
              <w:right w:val="single" w:sz="4" w:space="0" w:color="auto"/>
            </w:tcBorders>
            <w:shd w:val="clear" w:color="auto" w:fill="auto"/>
            <w:noWrap/>
            <w:vAlign w:val="bottom"/>
            <w:hideMark/>
          </w:tcPr>
          <w:p w14:paraId="65023A04" w14:textId="77777777" w:rsidR="00EA5815" w:rsidRPr="00BF0EEF" w:rsidRDefault="00EA5815" w:rsidP="001016AD">
            <w:r w:rsidRPr="00BF0EEF">
              <w:t xml:space="preserve">Guideline: Unclear – publication </w:t>
            </w:r>
            <w:r w:rsidRPr="00BF0EEF">
              <w:lastRenderedPageBreak/>
              <w:t>received 7 April 2021</w:t>
            </w:r>
            <w:r w:rsidRPr="00BF0EEF">
              <w:br/>
              <w:t>Cochrane: May-2019</w:t>
            </w:r>
          </w:p>
        </w:tc>
        <w:tc>
          <w:tcPr>
            <w:tcW w:w="1743" w:type="dxa"/>
            <w:tcBorders>
              <w:top w:val="nil"/>
              <w:left w:val="nil"/>
              <w:bottom w:val="single" w:sz="4" w:space="0" w:color="auto"/>
              <w:right w:val="single" w:sz="4" w:space="0" w:color="auto"/>
            </w:tcBorders>
            <w:shd w:val="clear" w:color="auto" w:fill="auto"/>
            <w:noWrap/>
            <w:vAlign w:val="bottom"/>
            <w:hideMark/>
          </w:tcPr>
          <w:p w14:paraId="2178A6DD" w14:textId="77777777" w:rsidR="00EA5815" w:rsidRPr="00BF0EEF" w:rsidRDefault="00EA5815" w:rsidP="001016AD">
            <w:r w:rsidRPr="00BF0EEF">
              <w:lastRenderedPageBreak/>
              <w:t xml:space="preserve">Guideline: Unclear – publication </w:t>
            </w:r>
            <w:r w:rsidRPr="00BF0EEF">
              <w:lastRenderedPageBreak/>
              <w:t>received 7 April 2021</w:t>
            </w:r>
            <w:r w:rsidRPr="00BF0EEF">
              <w:br/>
              <w:t>Cochrane: Dec-2018</w:t>
            </w:r>
          </w:p>
        </w:tc>
        <w:tc>
          <w:tcPr>
            <w:tcW w:w="1744" w:type="dxa"/>
            <w:tcBorders>
              <w:top w:val="nil"/>
              <w:left w:val="nil"/>
              <w:bottom w:val="single" w:sz="4" w:space="0" w:color="auto"/>
              <w:right w:val="single" w:sz="4" w:space="0" w:color="auto"/>
            </w:tcBorders>
            <w:shd w:val="clear" w:color="auto" w:fill="auto"/>
            <w:noWrap/>
            <w:vAlign w:val="bottom"/>
            <w:hideMark/>
          </w:tcPr>
          <w:p w14:paraId="2CA625FB" w14:textId="77777777" w:rsidR="00EA5815" w:rsidRPr="00BF0EEF" w:rsidRDefault="00EA5815" w:rsidP="001016AD">
            <w:r w:rsidRPr="00BF0EEF">
              <w:lastRenderedPageBreak/>
              <w:t xml:space="preserve">Guideline: Unclear – publication </w:t>
            </w:r>
            <w:r w:rsidRPr="00BF0EEF">
              <w:lastRenderedPageBreak/>
              <w:t>received 7 April 2021</w:t>
            </w:r>
            <w:r w:rsidRPr="00BF0EEF">
              <w:br/>
              <w:t>Cochrane: Nov-2018</w:t>
            </w:r>
          </w:p>
        </w:tc>
        <w:tc>
          <w:tcPr>
            <w:tcW w:w="1743" w:type="dxa"/>
            <w:tcBorders>
              <w:top w:val="nil"/>
              <w:left w:val="nil"/>
              <w:bottom w:val="single" w:sz="4" w:space="0" w:color="auto"/>
              <w:right w:val="single" w:sz="4" w:space="0" w:color="auto"/>
            </w:tcBorders>
            <w:shd w:val="clear" w:color="auto" w:fill="auto"/>
            <w:noWrap/>
            <w:vAlign w:val="bottom"/>
            <w:hideMark/>
          </w:tcPr>
          <w:p w14:paraId="7D0BE2C6" w14:textId="77777777" w:rsidR="00EA5815" w:rsidRPr="00BF0EEF" w:rsidRDefault="00EA5815" w:rsidP="001016AD">
            <w:r w:rsidRPr="00BF0EEF">
              <w:lastRenderedPageBreak/>
              <w:t xml:space="preserve">Guideline: Unclear – publication </w:t>
            </w:r>
            <w:r w:rsidRPr="00BF0EEF">
              <w:lastRenderedPageBreak/>
              <w:t>received 7 April 2021</w:t>
            </w:r>
            <w:r w:rsidRPr="00BF0EEF">
              <w:br/>
              <w:t>Cochrane: Nov-2018</w:t>
            </w:r>
          </w:p>
        </w:tc>
        <w:tc>
          <w:tcPr>
            <w:tcW w:w="1744" w:type="dxa"/>
            <w:tcBorders>
              <w:top w:val="nil"/>
              <w:left w:val="nil"/>
              <w:bottom w:val="single" w:sz="4" w:space="0" w:color="auto"/>
              <w:right w:val="single" w:sz="4" w:space="0" w:color="auto"/>
            </w:tcBorders>
            <w:shd w:val="clear" w:color="auto" w:fill="auto"/>
            <w:noWrap/>
            <w:vAlign w:val="bottom"/>
            <w:hideMark/>
          </w:tcPr>
          <w:p w14:paraId="4C07C8E7" w14:textId="77777777" w:rsidR="00EA5815" w:rsidRPr="00BF0EEF" w:rsidRDefault="00EA5815" w:rsidP="001016AD">
            <w:r w:rsidRPr="00BF0EEF">
              <w:lastRenderedPageBreak/>
              <w:t>-</w:t>
            </w:r>
          </w:p>
        </w:tc>
        <w:tc>
          <w:tcPr>
            <w:tcW w:w="1743" w:type="dxa"/>
            <w:tcBorders>
              <w:top w:val="nil"/>
              <w:left w:val="nil"/>
              <w:bottom w:val="single" w:sz="4" w:space="0" w:color="auto"/>
              <w:right w:val="single" w:sz="4" w:space="0" w:color="auto"/>
            </w:tcBorders>
            <w:shd w:val="clear" w:color="auto" w:fill="auto"/>
            <w:noWrap/>
            <w:vAlign w:val="bottom"/>
            <w:hideMark/>
          </w:tcPr>
          <w:p w14:paraId="61B3333D"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32C18586" w14:textId="77777777" w:rsidR="00EA5815" w:rsidRPr="00BF0EEF" w:rsidRDefault="00EA5815" w:rsidP="001016AD">
            <w:r w:rsidRPr="00BF0EEF">
              <w:t>-</w:t>
            </w:r>
          </w:p>
        </w:tc>
      </w:tr>
      <w:tr w:rsidR="00EA5815" w:rsidRPr="00BF0EEF" w14:paraId="69A946E1" w14:textId="77777777" w:rsidTr="001016AD">
        <w:trPr>
          <w:trHeight w:val="300"/>
        </w:trPr>
        <w:tc>
          <w:tcPr>
            <w:tcW w:w="1743" w:type="dxa"/>
            <w:tcBorders>
              <w:top w:val="nil"/>
              <w:left w:val="single" w:sz="4" w:space="0" w:color="auto"/>
              <w:bottom w:val="single" w:sz="4" w:space="0" w:color="auto"/>
              <w:right w:val="single" w:sz="4" w:space="0" w:color="auto"/>
            </w:tcBorders>
            <w:shd w:val="clear" w:color="auto" w:fill="auto"/>
            <w:noWrap/>
            <w:vAlign w:val="bottom"/>
            <w:hideMark/>
          </w:tcPr>
          <w:p w14:paraId="4DE3DF1C" w14:textId="77777777" w:rsidR="00EA5815" w:rsidRPr="00BF0EEF" w:rsidRDefault="00EA5815" w:rsidP="001016AD">
            <w:r w:rsidRPr="00BF0EEF">
              <w:t>BSG 2015</w:t>
            </w:r>
          </w:p>
        </w:tc>
        <w:tc>
          <w:tcPr>
            <w:tcW w:w="1744" w:type="dxa"/>
            <w:tcBorders>
              <w:top w:val="nil"/>
              <w:left w:val="nil"/>
              <w:bottom w:val="single" w:sz="4" w:space="0" w:color="auto"/>
              <w:right w:val="single" w:sz="4" w:space="0" w:color="auto"/>
            </w:tcBorders>
            <w:shd w:val="clear" w:color="auto" w:fill="auto"/>
            <w:noWrap/>
            <w:vAlign w:val="bottom"/>
            <w:hideMark/>
          </w:tcPr>
          <w:p w14:paraId="39F30605"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3B3AC748"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58FBEA59"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535A4653"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4948D0DE" w14:textId="77777777" w:rsidR="00EA5815" w:rsidRPr="00BF0EEF" w:rsidRDefault="00EA5815" w:rsidP="001016AD">
            <w:r w:rsidRPr="00BF0EEF">
              <w:t>Guideline: Feb-2015</w:t>
            </w:r>
            <w:r w:rsidRPr="00BF0EEF">
              <w:br/>
              <w:t>Cochrane: Dec-2019</w:t>
            </w:r>
          </w:p>
        </w:tc>
        <w:tc>
          <w:tcPr>
            <w:tcW w:w="1743" w:type="dxa"/>
            <w:tcBorders>
              <w:top w:val="nil"/>
              <w:left w:val="nil"/>
              <w:bottom w:val="single" w:sz="4" w:space="0" w:color="auto"/>
              <w:right w:val="single" w:sz="4" w:space="0" w:color="auto"/>
            </w:tcBorders>
            <w:shd w:val="clear" w:color="auto" w:fill="auto"/>
            <w:noWrap/>
            <w:vAlign w:val="bottom"/>
            <w:hideMark/>
          </w:tcPr>
          <w:p w14:paraId="0981B203" w14:textId="77777777" w:rsidR="00EA5815" w:rsidRPr="00BF0EEF" w:rsidRDefault="00EA5815" w:rsidP="001016AD">
            <w:r w:rsidRPr="00BF0EEF">
              <w:t>Guideline: Feb-2015</w:t>
            </w:r>
            <w:r w:rsidRPr="00BF0EEF">
              <w:br/>
              <w:t>Cochrane: Dec-2019</w:t>
            </w:r>
          </w:p>
        </w:tc>
        <w:tc>
          <w:tcPr>
            <w:tcW w:w="1744" w:type="dxa"/>
            <w:tcBorders>
              <w:top w:val="nil"/>
              <w:left w:val="nil"/>
              <w:bottom w:val="single" w:sz="4" w:space="0" w:color="auto"/>
              <w:right w:val="single" w:sz="4" w:space="0" w:color="auto"/>
            </w:tcBorders>
            <w:shd w:val="clear" w:color="auto" w:fill="auto"/>
            <w:noWrap/>
            <w:vAlign w:val="bottom"/>
            <w:hideMark/>
          </w:tcPr>
          <w:p w14:paraId="4F96DD01" w14:textId="77777777" w:rsidR="00EA5815" w:rsidRPr="00BF0EEF" w:rsidRDefault="00EA5815" w:rsidP="001016AD">
            <w:r w:rsidRPr="00BF0EEF">
              <w:t>Guideline: Feb-2015</w:t>
            </w:r>
            <w:r w:rsidRPr="00BF0EEF">
              <w:br/>
              <w:t>Cochrane: Dec-2019</w:t>
            </w:r>
          </w:p>
        </w:tc>
      </w:tr>
      <w:tr w:rsidR="00EA5815" w:rsidRPr="00BF0EEF" w14:paraId="11DC3055" w14:textId="77777777" w:rsidTr="001016AD">
        <w:trPr>
          <w:trHeight w:val="300"/>
        </w:trPr>
        <w:tc>
          <w:tcPr>
            <w:tcW w:w="1743" w:type="dxa"/>
            <w:tcBorders>
              <w:top w:val="nil"/>
              <w:left w:val="single" w:sz="4" w:space="0" w:color="auto"/>
              <w:bottom w:val="single" w:sz="4" w:space="0" w:color="auto"/>
              <w:right w:val="single" w:sz="4" w:space="0" w:color="auto"/>
            </w:tcBorders>
            <w:shd w:val="clear" w:color="auto" w:fill="auto"/>
            <w:noWrap/>
            <w:vAlign w:val="bottom"/>
            <w:hideMark/>
          </w:tcPr>
          <w:p w14:paraId="1E110593" w14:textId="77777777" w:rsidR="00EA5815" w:rsidRPr="00BF0EEF" w:rsidRDefault="00EA5815" w:rsidP="001016AD">
            <w:r w:rsidRPr="00BF0EEF">
              <w:t>BSG 2020</w:t>
            </w:r>
          </w:p>
        </w:tc>
        <w:tc>
          <w:tcPr>
            <w:tcW w:w="1744" w:type="dxa"/>
            <w:tcBorders>
              <w:top w:val="nil"/>
              <w:left w:val="nil"/>
              <w:bottom w:val="single" w:sz="4" w:space="0" w:color="auto"/>
              <w:right w:val="single" w:sz="4" w:space="0" w:color="auto"/>
            </w:tcBorders>
            <w:shd w:val="clear" w:color="auto" w:fill="auto"/>
            <w:noWrap/>
            <w:vAlign w:val="bottom"/>
            <w:hideMark/>
          </w:tcPr>
          <w:p w14:paraId="0E0F9818" w14:textId="77777777" w:rsidR="00EA5815" w:rsidRPr="00BF0EEF" w:rsidRDefault="00EA5815" w:rsidP="001016AD">
            <w:r w:rsidRPr="00BF0EEF">
              <w:t>Guideline: Unclear – published on 16 October 2020</w:t>
            </w:r>
            <w:r w:rsidRPr="00BF0EEF">
              <w:br/>
              <w:t>Cochrane: May-2019</w:t>
            </w:r>
          </w:p>
        </w:tc>
        <w:tc>
          <w:tcPr>
            <w:tcW w:w="1743" w:type="dxa"/>
            <w:tcBorders>
              <w:top w:val="nil"/>
              <w:left w:val="nil"/>
              <w:bottom w:val="single" w:sz="4" w:space="0" w:color="auto"/>
              <w:right w:val="single" w:sz="4" w:space="0" w:color="auto"/>
            </w:tcBorders>
            <w:shd w:val="clear" w:color="auto" w:fill="auto"/>
            <w:noWrap/>
            <w:vAlign w:val="bottom"/>
            <w:hideMark/>
          </w:tcPr>
          <w:p w14:paraId="074A9355" w14:textId="77777777" w:rsidR="00EA5815" w:rsidRPr="00BF0EEF" w:rsidRDefault="00EA5815" w:rsidP="001016AD">
            <w:r w:rsidRPr="00BF0EEF">
              <w:t>Guideline: Unclear – published on 16 October 2020</w:t>
            </w:r>
            <w:r w:rsidRPr="00BF0EEF">
              <w:br/>
              <w:t>Cochrane: Dec-2018</w:t>
            </w:r>
          </w:p>
        </w:tc>
        <w:tc>
          <w:tcPr>
            <w:tcW w:w="1744" w:type="dxa"/>
            <w:tcBorders>
              <w:top w:val="nil"/>
              <w:left w:val="nil"/>
              <w:bottom w:val="single" w:sz="4" w:space="0" w:color="auto"/>
              <w:right w:val="single" w:sz="4" w:space="0" w:color="auto"/>
            </w:tcBorders>
            <w:shd w:val="clear" w:color="auto" w:fill="auto"/>
            <w:noWrap/>
            <w:vAlign w:val="bottom"/>
            <w:hideMark/>
          </w:tcPr>
          <w:p w14:paraId="5302E9B6"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31CCD00C"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1956298A"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19844A0F"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0319DA66" w14:textId="77777777" w:rsidR="00EA5815" w:rsidRPr="00BF0EEF" w:rsidRDefault="00EA5815" w:rsidP="001016AD">
            <w:r w:rsidRPr="00BF0EEF">
              <w:t>-</w:t>
            </w:r>
          </w:p>
        </w:tc>
      </w:tr>
      <w:tr w:rsidR="00EA5815" w:rsidRPr="00BF0EEF" w14:paraId="221411FB" w14:textId="77777777" w:rsidTr="001016AD">
        <w:trPr>
          <w:trHeight w:val="300"/>
        </w:trPr>
        <w:tc>
          <w:tcPr>
            <w:tcW w:w="1743" w:type="dxa"/>
            <w:tcBorders>
              <w:top w:val="nil"/>
              <w:left w:val="single" w:sz="4" w:space="0" w:color="auto"/>
              <w:bottom w:val="single" w:sz="4" w:space="0" w:color="auto"/>
              <w:right w:val="single" w:sz="4" w:space="0" w:color="auto"/>
            </w:tcBorders>
            <w:shd w:val="clear" w:color="auto" w:fill="auto"/>
            <w:noWrap/>
            <w:vAlign w:val="bottom"/>
            <w:hideMark/>
          </w:tcPr>
          <w:p w14:paraId="4736E5FA" w14:textId="77777777" w:rsidR="00EA5815" w:rsidRPr="00BF0EEF" w:rsidRDefault="00EA5815" w:rsidP="001016AD">
            <w:r w:rsidRPr="00BF0EEF">
              <w:t>EASL 2018</w:t>
            </w:r>
          </w:p>
        </w:tc>
        <w:tc>
          <w:tcPr>
            <w:tcW w:w="1744" w:type="dxa"/>
            <w:tcBorders>
              <w:top w:val="nil"/>
              <w:left w:val="nil"/>
              <w:bottom w:val="single" w:sz="4" w:space="0" w:color="auto"/>
              <w:right w:val="single" w:sz="4" w:space="0" w:color="auto"/>
            </w:tcBorders>
            <w:shd w:val="clear" w:color="auto" w:fill="auto"/>
            <w:noWrap/>
            <w:vAlign w:val="bottom"/>
            <w:hideMark/>
          </w:tcPr>
          <w:p w14:paraId="20218209" w14:textId="77777777" w:rsidR="00EA5815" w:rsidRPr="00BF0EEF" w:rsidRDefault="00EA5815" w:rsidP="001016AD">
            <w:r w:rsidRPr="00BF0EEF">
              <w:t>Guideline: Mar-2018</w:t>
            </w:r>
            <w:r w:rsidRPr="00BF0EEF">
              <w:br/>
            </w:r>
            <w:r w:rsidRPr="00BF0EEF">
              <w:lastRenderedPageBreak/>
              <w:t>Cochrane: May-2019</w:t>
            </w:r>
          </w:p>
        </w:tc>
        <w:tc>
          <w:tcPr>
            <w:tcW w:w="1743" w:type="dxa"/>
            <w:tcBorders>
              <w:top w:val="nil"/>
              <w:left w:val="nil"/>
              <w:bottom w:val="single" w:sz="4" w:space="0" w:color="auto"/>
              <w:right w:val="single" w:sz="4" w:space="0" w:color="auto"/>
            </w:tcBorders>
            <w:shd w:val="clear" w:color="auto" w:fill="auto"/>
            <w:noWrap/>
            <w:vAlign w:val="bottom"/>
            <w:hideMark/>
          </w:tcPr>
          <w:p w14:paraId="4086616C" w14:textId="77777777" w:rsidR="00EA5815" w:rsidRPr="00BF0EEF" w:rsidRDefault="00EA5815" w:rsidP="001016AD">
            <w:r w:rsidRPr="00BF0EEF">
              <w:lastRenderedPageBreak/>
              <w:t>-</w:t>
            </w:r>
          </w:p>
        </w:tc>
        <w:tc>
          <w:tcPr>
            <w:tcW w:w="1744" w:type="dxa"/>
            <w:tcBorders>
              <w:top w:val="nil"/>
              <w:left w:val="nil"/>
              <w:bottom w:val="single" w:sz="4" w:space="0" w:color="auto"/>
              <w:right w:val="single" w:sz="4" w:space="0" w:color="auto"/>
            </w:tcBorders>
            <w:shd w:val="clear" w:color="auto" w:fill="auto"/>
            <w:noWrap/>
            <w:vAlign w:val="bottom"/>
            <w:hideMark/>
          </w:tcPr>
          <w:p w14:paraId="7E543104" w14:textId="77777777" w:rsidR="00EA5815" w:rsidRPr="00BF0EEF" w:rsidRDefault="00EA5815" w:rsidP="001016AD">
            <w:r w:rsidRPr="00BF0EEF">
              <w:t>Guideline: Mar-2018</w:t>
            </w:r>
            <w:r w:rsidRPr="00BF0EEF">
              <w:br/>
            </w:r>
            <w:r w:rsidRPr="00BF0EEF">
              <w:lastRenderedPageBreak/>
              <w:t>Cochrane: Nov-2018</w:t>
            </w:r>
          </w:p>
        </w:tc>
        <w:tc>
          <w:tcPr>
            <w:tcW w:w="1743" w:type="dxa"/>
            <w:tcBorders>
              <w:top w:val="nil"/>
              <w:left w:val="nil"/>
              <w:bottom w:val="single" w:sz="4" w:space="0" w:color="auto"/>
              <w:right w:val="single" w:sz="4" w:space="0" w:color="auto"/>
            </w:tcBorders>
            <w:shd w:val="clear" w:color="auto" w:fill="auto"/>
            <w:noWrap/>
            <w:vAlign w:val="bottom"/>
            <w:hideMark/>
          </w:tcPr>
          <w:p w14:paraId="7EE95CE9" w14:textId="77777777" w:rsidR="00EA5815" w:rsidRPr="00BF0EEF" w:rsidRDefault="00EA5815" w:rsidP="001016AD">
            <w:r w:rsidRPr="00BF0EEF">
              <w:lastRenderedPageBreak/>
              <w:t>Guideline: Mar-2018</w:t>
            </w:r>
            <w:r w:rsidRPr="00BF0EEF">
              <w:br/>
            </w:r>
            <w:r w:rsidRPr="00BF0EEF">
              <w:lastRenderedPageBreak/>
              <w:t>Cochrane: Nov-2018</w:t>
            </w:r>
          </w:p>
        </w:tc>
        <w:tc>
          <w:tcPr>
            <w:tcW w:w="1744" w:type="dxa"/>
            <w:tcBorders>
              <w:top w:val="nil"/>
              <w:left w:val="nil"/>
              <w:bottom w:val="single" w:sz="4" w:space="0" w:color="auto"/>
              <w:right w:val="single" w:sz="4" w:space="0" w:color="auto"/>
            </w:tcBorders>
            <w:shd w:val="clear" w:color="auto" w:fill="auto"/>
            <w:noWrap/>
            <w:vAlign w:val="bottom"/>
            <w:hideMark/>
          </w:tcPr>
          <w:p w14:paraId="599E5D97" w14:textId="77777777" w:rsidR="00EA5815" w:rsidRPr="00BF0EEF" w:rsidRDefault="00EA5815" w:rsidP="001016AD">
            <w:r w:rsidRPr="00BF0EEF">
              <w:lastRenderedPageBreak/>
              <w:t>-</w:t>
            </w:r>
          </w:p>
        </w:tc>
        <w:tc>
          <w:tcPr>
            <w:tcW w:w="1743" w:type="dxa"/>
            <w:tcBorders>
              <w:top w:val="nil"/>
              <w:left w:val="nil"/>
              <w:bottom w:val="single" w:sz="4" w:space="0" w:color="auto"/>
              <w:right w:val="single" w:sz="4" w:space="0" w:color="auto"/>
            </w:tcBorders>
            <w:shd w:val="clear" w:color="auto" w:fill="auto"/>
            <w:noWrap/>
            <w:vAlign w:val="bottom"/>
            <w:hideMark/>
          </w:tcPr>
          <w:p w14:paraId="2B7948F1"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66F00C48" w14:textId="77777777" w:rsidR="00EA5815" w:rsidRPr="00BF0EEF" w:rsidRDefault="00EA5815" w:rsidP="001016AD">
            <w:r w:rsidRPr="00BF0EEF">
              <w:t>-</w:t>
            </w:r>
          </w:p>
        </w:tc>
      </w:tr>
      <w:tr w:rsidR="00EA5815" w:rsidRPr="00BF0EEF" w14:paraId="113B2E72" w14:textId="77777777" w:rsidTr="001016AD">
        <w:trPr>
          <w:trHeight w:val="1044"/>
        </w:trPr>
        <w:tc>
          <w:tcPr>
            <w:tcW w:w="1743" w:type="dxa"/>
            <w:tcBorders>
              <w:top w:val="nil"/>
              <w:left w:val="single" w:sz="4" w:space="0" w:color="auto"/>
              <w:bottom w:val="single" w:sz="4" w:space="0" w:color="auto"/>
              <w:right w:val="single" w:sz="4" w:space="0" w:color="auto"/>
            </w:tcBorders>
            <w:shd w:val="clear" w:color="auto" w:fill="auto"/>
            <w:noWrap/>
            <w:vAlign w:val="bottom"/>
            <w:hideMark/>
          </w:tcPr>
          <w:p w14:paraId="77028C44" w14:textId="77777777" w:rsidR="00EA5815" w:rsidRPr="00BF0EEF" w:rsidRDefault="00EA5815" w:rsidP="001016AD">
            <w:r w:rsidRPr="00BF0EEF">
              <w:t>NICE CG141</w:t>
            </w:r>
          </w:p>
        </w:tc>
        <w:tc>
          <w:tcPr>
            <w:tcW w:w="1744" w:type="dxa"/>
            <w:tcBorders>
              <w:top w:val="nil"/>
              <w:left w:val="nil"/>
              <w:bottom w:val="single" w:sz="4" w:space="0" w:color="auto"/>
              <w:right w:val="single" w:sz="4" w:space="0" w:color="auto"/>
            </w:tcBorders>
            <w:shd w:val="clear" w:color="auto" w:fill="auto"/>
            <w:noWrap/>
            <w:vAlign w:val="bottom"/>
            <w:hideMark/>
          </w:tcPr>
          <w:p w14:paraId="37CC14D9" w14:textId="77777777" w:rsidR="00EA5815" w:rsidRPr="00BF0EEF" w:rsidRDefault="00EA5815" w:rsidP="001016AD">
            <w:r w:rsidRPr="00BF0EEF">
              <w:t>Guideline: 7 June 2018*</w:t>
            </w:r>
            <w:r w:rsidRPr="00BF0EEF">
              <w:br/>
              <w:t>Cochrane: May-2019</w:t>
            </w:r>
          </w:p>
        </w:tc>
        <w:tc>
          <w:tcPr>
            <w:tcW w:w="1743" w:type="dxa"/>
            <w:tcBorders>
              <w:top w:val="nil"/>
              <w:left w:val="nil"/>
              <w:bottom w:val="single" w:sz="4" w:space="0" w:color="auto"/>
              <w:right w:val="single" w:sz="4" w:space="0" w:color="auto"/>
            </w:tcBorders>
            <w:shd w:val="clear" w:color="auto" w:fill="auto"/>
            <w:noWrap/>
            <w:vAlign w:val="bottom"/>
            <w:hideMark/>
          </w:tcPr>
          <w:p w14:paraId="2B48A452" w14:textId="77777777" w:rsidR="00EA5815" w:rsidRPr="00BF0EEF" w:rsidRDefault="00EA5815" w:rsidP="001016AD">
            <w:r w:rsidRPr="00BF0EEF">
              <w:t>Guideline: 7 June 2018*</w:t>
            </w:r>
            <w:r w:rsidRPr="00BF0EEF">
              <w:br/>
              <w:t>Cochrane: Dec-2018</w:t>
            </w:r>
          </w:p>
        </w:tc>
        <w:tc>
          <w:tcPr>
            <w:tcW w:w="1744" w:type="dxa"/>
            <w:tcBorders>
              <w:top w:val="nil"/>
              <w:left w:val="nil"/>
              <w:bottom w:val="single" w:sz="4" w:space="0" w:color="auto"/>
              <w:right w:val="single" w:sz="4" w:space="0" w:color="auto"/>
            </w:tcBorders>
            <w:shd w:val="clear" w:color="auto" w:fill="auto"/>
            <w:noWrap/>
            <w:vAlign w:val="bottom"/>
            <w:hideMark/>
          </w:tcPr>
          <w:p w14:paraId="1CD4AF50" w14:textId="77777777" w:rsidR="00EA5815" w:rsidRPr="00BF0EEF" w:rsidRDefault="00EA5815" w:rsidP="001016AD">
            <w:r w:rsidRPr="00BF0EEF">
              <w:t>Guideline: 7 June 2018*</w:t>
            </w:r>
            <w:r w:rsidRPr="00BF0EEF">
              <w:br/>
              <w:t>Cochrane: Nov-2018</w:t>
            </w:r>
          </w:p>
        </w:tc>
        <w:tc>
          <w:tcPr>
            <w:tcW w:w="1743" w:type="dxa"/>
            <w:tcBorders>
              <w:top w:val="nil"/>
              <w:left w:val="nil"/>
              <w:bottom w:val="single" w:sz="4" w:space="0" w:color="auto"/>
              <w:right w:val="single" w:sz="4" w:space="0" w:color="auto"/>
            </w:tcBorders>
            <w:shd w:val="clear" w:color="auto" w:fill="auto"/>
            <w:noWrap/>
            <w:vAlign w:val="bottom"/>
            <w:hideMark/>
          </w:tcPr>
          <w:p w14:paraId="26565B84" w14:textId="77777777" w:rsidR="00EA5815" w:rsidRPr="00BF0EEF" w:rsidRDefault="00EA5815" w:rsidP="001016AD">
            <w:r w:rsidRPr="00BF0EEF">
              <w:t>Guideline: 7 June 2018*</w:t>
            </w:r>
            <w:r w:rsidRPr="00BF0EEF">
              <w:br/>
              <w:t>Cochrane: Nov-2018</w:t>
            </w:r>
          </w:p>
        </w:tc>
        <w:tc>
          <w:tcPr>
            <w:tcW w:w="1744" w:type="dxa"/>
            <w:tcBorders>
              <w:top w:val="nil"/>
              <w:left w:val="nil"/>
              <w:bottom w:val="single" w:sz="4" w:space="0" w:color="auto"/>
              <w:right w:val="single" w:sz="4" w:space="0" w:color="auto"/>
            </w:tcBorders>
            <w:shd w:val="clear" w:color="auto" w:fill="auto"/>
            <w:noWrap/>
            <w:vAlign w:val="bottom"/>
            <w:hideMark/>
          </w:tcPr>
          <w:p w14:paraId="5A01AD6B" w14:textId="77777777" w:rsidR="00EA5815" w:rsidRPr="00BF0EEF" w:rsidRDefault="00EA5815" w:rsidP="001016AD">
            <w:r w:rsidRPr="00BF0EEF">
              <w:t>Guideline: 7 June 2018*</w:t>
            </w:r>
            <w:r w:rsidRPr="00BF0EEF">
              <w:br/>
              <w:t>Cochrane: Dec-2019</w:t>
            </w:r>
          </w:p>
        </w:tc>
        <w:tc>
          <w:tcPr>
            <w:tcW w:w="1743" w:type="dxa"/>
            <w:tcBorders>
              <w:top w:val="nil"/>
              <w:left w:val="nil"/>
              <w:bottom w:val="single" w:sz="4" w:space="0" w:color="auto"/>
              <w:right w:val="single" w:sz="4" w:space="0" w:color="auto"/>
            </w:tcBorders>
            <w:shd w:val="clear" w:color="auto" w:fill="auto"/>
            <w:noWrap/>
            <w:vAlign w:val="bottom"/>
            <w:hideMark/>
          </w:tcPr>
          <w:p w14:paraId="0D66D33E" w14:textId="77777777" w:rsidR="00EA5815" w:rsidRPr="00BF0EEF" w:rsidRDefault="00EA5815" w:rsidP="001016AD">
            <w:r w:rsidRPr="00BF0EEF">
              <w:t>Guideline: 7 June 2018*</w:t>
            </w:r>
            <w:r w:rsidRPr="00BF0EEF">
              <w:br/>
              <w:t>Cochrane: Dec-2019</w:t>
            </w:r>
          </w:p>
        </w:tc>
        <w:tc>
          <w:tcPr>
            <w:tcW w:w="1744" w:type="dxa"/>
            <w:tcBorders>
              <w:top w:val="nil"/>
              <w:left w:val="nil"/>
              <w:bottom w:val="single" w:sz="4" w:space="0" w:color="auto"/>
              <w:right w:val="single" w:sz="4" w:space="0" w:color="auto"/>
            </w:tcBorders>
            <w:shd w:val="clear" w:color="auto" w:fill="auto"/>
            <w:noWrap/>
            <w:vAlign w:val="bottom"/>
            <w:hideMark/>
          </w:tcPr>
          <w:p w14:paraId="3CC29E2E" w14:textId="77777777" w:rsidR="00EA5815" w:rsidRPr="00BF0EEF" w:rsidRDefault="00EA5815" w:rsidP="001016AD">
            <w:r w:rsidRPr="00BF0EEF">
              <w:t>Guideline: 7 June 2018*</w:t>
            </w:r>
            <w:r w:rsidRPr="00BF0EEF">
              <w:br/>
              <w:t>Cochrane: Dec-2019</w:t>
            </w:r>
          </w:p>
        </w:tc>
      </w:tr>
      <w:tr w:rsidR="00EA5815" w:rsidRPr="00BF0EEF" w14:paraId="1A6FF4B0" w14:textId="77777777" w:rsidTr="001016AD">
        <w:trPr>
          <w:trHeight w:val="300"/>
        </w:trPr>
        <w:tc>
          <w:tcPr>
            <w:tcW w:w="1743" w:type="dxa"/>
            <w:tcBorders>
              <w:top w:val="nil"/>
              <w:left w:val="single" w:sz="4" w:space="0" w:color="auto"/>
              <w:bottom w:val="single" w:sz="4" w:space="0" w:color="auto"/>
              <w:right w:val="single" w:sz="4" w:space="0" w:color="auto"/>
            </w:tcBorders>
            <w:shd w:val="clear" w:color="auto" w:fill="auto"/>
            <w:noWrap/>
            <w:vAlign w:val="bottom"/>
            <w:hideMark/>
          </w:tcPr>
          <w:p w14:paraId="267175D3" w14:textId="77777777" w:rsidR="00EA5815" w:rsidRPr="00BF0EEF" w:rsidRDefault="00EA5815" w:rsidP="001016AD">
            <w:r w:rsidRPr="00BF0EEF">
              <w:t>NICE IPG631</w:t>
            </w:r>
          </w:p>
        </w:tc>
        <w:tc>
          <w:tcPr>
            <w:tcW w:w="1744" w:type="dxa"/>
            <w:tcBorders>
              <w:top w:val="nil"/>
              <w:left w:val="nil"/>
              <w:bottom w:val="single" w:sz="4" w:space="0" w:color="auto"/>
              <w:right w:val="single" w:sz="4" w:space="0" w:color="auto"/>
            </w:tcBorders>
            <w:shd w:val="clear" w:color="auto" w:fill="auto"/>
            <w:noWrap/>
            <w:vAlign w:val="bottom"/>
            <w:hideMark/>
          </w:tcPr>
          <w:p w14:paraId="69C1F225"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5073751E"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7860ED84"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3984D731"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38403E8E"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13AC9991" w14:textId="77777777" w:rsidR="00EA5815" w:rsidRPr="00BF0EEF" w:rsidRDefault="00EA5815" w:rsidP="001016AD">
            <w:r w:rsidRPr="00BF0EEF">
              <w:t>Guideline: Jul-2018</w:t>
            </w:r>
            <w:r w:rsidRPr="00BF0EEF">
              <w:br/>
              <w:t>Cochrane: Dec-2019</w:t>
            </w:r>
          </w:p>
        </w:tc>
        <w:tc>
          <w:tcPr>
            <w:tcW w:w="1744" w:type="dxa"/>
            <w:tcBorders>
              <w:top w:val="nil"/>
              <w:left w:val="nil"/>
              <w:bottom w:val="single" w:sz="4" w:space="0" w:color="auto"/>
              <w:right w:val="single" w:sz="4" w:space="0" w:color="auto"/>
            </w:tcBorders>
            <w:shd w:val="clear" w:color="auto" w:fill="auto"/>
            <w:noWrap/>
            <w:vAlign w:val="bottom"/>
            <w:hideMark/>
          </w:tcPr>
          <w:p w14:paraId="5F8C0A31" w14:textId="77777777" w:rsidR="00EA5815" w:rsidRPr="00BF0EEF" w:rsidRDefault="00EA5815" w:rsidP="001016AD">
            <w:r w:rsidRPr="00BF0EEF">
              <w:t>-</w:t>
            </w:r>
          </w:p>
        </w:tc>
      </w:tr>
      <w:tr w:rsidR="00EA5815" w:rsidRPr="00BF0EEF" w14:paraId="1911496A" w14:textId="77777777" w:rsidTr="001016AD">
        <w:trPr>
          <w:trHeight w:val="300"/>
        </w:trPr>
        <w:tc>
          <w:tcPr>
            <w:tcW w:w="1743" w:type="dxa"/>
            <w:tcBorders>
              <w:top w:val="nil"/>
              <w:left w:val="single" w:sz="4" w:space="0" w:color="auto"/>
              <w:bottom w:val="single" w:sz="4" w:space="0" w:color="auto"/>
              <w:right w:val="single" w:sz="4" w:space="0" w:color="auto"/>
            </w:tcBorders>
            <w:shd w:val="clear" w:color="auto" w:fill="auto"/>
            <w:noWrap/>
            <w:vAlign w:val="bottom"/>
            <w:hideMark/>
          </w:tcPr>
          <w:p w14:paraId="540AB337" w14:textId="77777777" w:rsidR="00EA5815" w:rsidRPr="00BF0EEF" w:rsidRDefault="00EA5815" w:rsidP="001016AD">
            <w:r w:rsidRPr="00BF0EEF">
              <w:t>NICE NG50</w:t>
            </w:r>
          </w:p>
        </w:tc>
        <w:tc>
          <w:tcPr>
            <w:tcW w:w="1744" w:type="dxa"/>
            <w:tcBorders>
              <w:top w:val="nil"/>
              <w:left w:val="nil"/>
              <w:bottom w:val="single" w:sz="4" w:space="0" w:color="auto"/>
              <w:right w:val="single" w:sz="4" w:space="0" w:color="auto"/>
            </w:tcBorders>
            <w:shd w:val="clear" w:color="auto" w:fill="auto"/>
            <w:noWrap/>
            <w:vAlign w:val="bottom"/>
            <w:hideMark/>
          </w:tcPr>
          <w:p w14:paraId="398A366C" w14:textId="77777777" w:rsidR="00EA5815" w:rsidRPr="00BF0EEF" w:rsidRDefault="00EA5815" w:rsidP="001016AD">
            <w:r w:rsidRPr="00BF0EEF">
              <w:t>Guideline: Aug-2015</w:t>
            </w:r>
            <w:r w:rsidRPr="00BF0EEF">
              <w:br/>
              <w:t>Cochrane: May-2019</w:t>
            </w:r>
          </w:p>
        </w:tc>
        <w:tc>
          <w:tcPr>
            <w:tcW w:w="1743" w:type="dxa"/>
            <w:tcBorders>
              <w:top w:val="nil"/>
              <w:left w:val="nil"/>
              <w:bottom w:val="single" w:sz="4" w:space="0" w:color="auto"/>
              <w:right w:val="single" w:sz="4" w:space="0" w:color="auto"/>
            </w:tcBorders>
            <w:shd w:val="clear" w:color="auto" w:fill="auto"/>
            <w:noWrap/>
            <w:vAlign w:val="bottom"/>
            <w:hideMark/>
          </w:tcPr>
          <w:p w14:paraId="0656A73A"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455A1551"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2BF09593"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47A6F760" w14:textId="77777777" w:rsidR="00EA5815" w:rsidRPr="00BF0EEF" w:rsidRDefault="00EA5815" w:rsidP="001016AD">
            <w:r w:rsidRPr="00BF0EEF">
              <w:t>-</w:t>
            </w:r>
          </w:p>
        </w:tc>
        <w:tc>
          <w:tcPr>
            <w:tcW w:w="1743" w:type="dxa"/>
            <w:tcBorders>
              <w:top w:val="nil"/>
              <w:left w:val="nil"/>
              <w:bottom w:val="single" w:sz="4" w:space="0" w:color="auto"/>
              <w:right w:val="single" w:sz="4" w:space="0" w:color="auto"/>
            </w:tcBorders>
            <w:shd w:val="clear" w:color="auto" w:fill="auto"/>
            <w:noWrap/>
            <w:vAlign w:val="bottom"/>
            <w:hideMark/>
          </w:tcPr>
          <w:p w14:paraId="6B6D08F2" w14:textId="77777777" w:rsidR="00EA5815" w:rsidRPr="00BF0EEF" w:rsidRDefault="00EA5815" w:rsidP="001016AD">
            <w:r w:rsidRPr="00BF0EEF">
              <w:t>-</w:t>
            </w:r>
          </w:p>
        </w:tc>
        <w:tc>
          <w:tcPr>
            <w:tcW w:w="1744" w:type="dxa"/>
            <w:tcBorders>
              <w:top w:val="nil"/>
              <w:left w:val="nil"/>
              <w:bottom w:val="single" w:sz="4" w:space="0" w:color="auto"/>
              <w:right w:val="single" w:sz="4" w:space="0" w:color="auto"/>
            </w:tcBorders>
            <w:shd w:val="clear" w:color="auto" w:fill="auto"/>
            <w:noWrap/>
            <w:vAlign w:val="bottom"/>
            <w:hideMark/>
          </w:tcPr>
          <w:p w14:paraId="50FD1B68" w14:textId="77777777" w:rsidR="00EA5815" w:rsidRPr="00BF0EEF" w:rsidRDefault="00EA5815" w:rsidP="001016AD">
            <w:r w:rsidRPr="00BF0EEF">
              <w:t>-</w:t>
            </w:r>
          </w:p>
        </w:tc>
      </w:tr>
      <w:bookmarkEnd w:id="6"/>
    </w:tbl>
    <w:p w14:paraId="5E975FB9" w14:textId="13F0C514" w:rsidR="000301E9" w:rsidRPr="00A92F22" w:rsidRDefault="000301E9" w:rsidP="00AC1E49">
      <w:pPr>
        <w:rPr>
          <w:rFonts w:ascii="Times New Roman" w:hAnsi="Times New Roman" w:cs="Times New Roman"/>
        </w:rPr>
      </w:pPr>
    </w:p>
    <w:sectPr w:rsidR="000301E9" w:rsidRPr="00A92F22" w:rsidSect="002C6C50">
      <w:pgSz w:w="16838" w:h="11906"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7DC407" w14:textId="77777777" w:rsidR="00966BC0" w:rsidRDefault="00966BC0" w:rsidP="00FA277F">
      <w:pPr>
        <w:spacing w:line="240" w:lineRule="auto"/>
      </w:pPr>
      <w:r>
        <w:separator/>
      </w:r>
    </w:p>
  </w:endnote>
  <w:endnote w:type="continuationSeparator" w:id="0">
    <w:p w14:paraId="027693FB" w14:textId="77777777" w:rsidR="00966BC0" w:rsidRDefault="00966BC0" w:rsidP="00FA277F">
      <w:pPr>
        <w:spacing w:line="240" w:lineRule="auto"/>
      </w:pPr>
      <w:r>
        <w:continuationSeparator/>
      </w:r>
    </w:p>
  </w:endnote>
  <w:endnote w:type="continuationNotice" w:id="1">
    <w:p w14:paraId="1AE22097" w14:textId="77777777" w:rsidR="00966BC0" w:rsidRDefault="00966BC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dvOT678fd422">
    <w:altName w:val="Calibri"/>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501D51" w14:textId="77777777" w:rsidR="00DE429D" w:rsidRDefault="00DE42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07D6D3" w14:textId="77777777" w:rsidR="00DE429D" w:rsidRDefault="00DE42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D97F54" w14:textId="77777777" w:rsidR="00DE429D" w:rsidRDefault="00DE42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5C978E" w14:textId="77777777" w:rsidR="00966BC0" w:rsidRDefault="00966BC0" w:rsidP="00FA277F">
      <w:pPr>
        <w:spacing w:line="240" w:lineRule="auto"/>
      </w:pPr>
      <w:r>
        <w:separator/>
      </w:r>
    </w:p>
  </w:footnote>
  <w:footnote w:type="continuationSeparator" w:id="0">
    <w:p w14:paraId="6CB8DAB2" w14:textId="77777777" w:rsidR="00966BC0" w:rsidRDefault="00966BC0" w:rsidP="00FA277F">
      <w:pPr>
        <w:spacing w:line="240" w:lineRule="auto"/>
      </w:pPr>
      <w:r>
        <w:continuationSeparator/>
      </w:r>
    </w:p>
  </w:footnote>
  <w:footnote w:type="continuationNotice" w:id="1">
    <w:p w14:paraId="55C7D854" w14:textId="77777777" w:rsidR="00966BC0" w:rsidRDefault="00966BC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48FA5C" w14:textId="77777777" w:rsidR="00DE429D" w:rsidRDefault="00DE42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5CFE86" w14:textId="77777777" w:rsidR="00DE429D" w:rsidRDefault="00DE42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4D6528" w14:textId="77777777" w:rsidR="00DE429D" w:rsidRDefault="00DE42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0B71"/>
    <w:multiLevelType w:val="hybridMultilevel"/>
    <w:tmpl w:val="016274E6"/>
    <w:lvl w:ilvl="0" w:tplc="59987A72">
      <w:start w:val="2"/>
      <w:numFmt w:val="bullet"/>
      <w:lvlText w:val=""/>
      <w:lvlJc w:val="left"/>
      <w:pPr>
        <w:ind w:left="720" w:hanging="360"/>
      </w:pPr>
      <w:rPr>
        <w:rFonts w:ascii="Symbol" w:eastAsiaTheme="minorHAnsi" w:hAnsi="Symbol" w:cs="AdvOT678fd42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254780"/>
    <w:multiLevelType w:val="hybridMultilevel"/>
    <w:tmpl w:val="4D3C530E"/>
    <w:lvl w:ilvl="0" w:tplc="98244C9C">
      <w:start w:val="3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036AD4"/>
    <w:multiLevelType w:val="hybridMultilevel"/>
    <w:tmpl w:val="16D64E1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6C7A48"/>
    <w:multiLevelType w:val="hybridMultilevel"/>
    <w:tmpl w:val="94F4CF3C"/>
    <w:lvl w:ilvl="0" w:tplc="37F62DCE">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03745CC"/>
    <w:multiLevelType w:val="hybridMultilevel"/>
    <w:tmpl w:val="CC1267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815A40"/>
    <w:multiLevelType w:val="hybridMultilevel"/>
    <w:tmpl w:val="5AC6DC42"/>
    <w:lvl w:ilvl="0" w:tplc="5D3672F4">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23A4801"/>
    <w:multiLevelType w:val="hybridMultilevel"/>
    <w:tmpl w:val="98EAE826"/>
    <w:lvl w:ilvl="0" w:tplc="FD2AC0A8">
      <w:start w:val="2"/>
      <w:numFmt w:val="bullet"/>
      <w:lvlText w:val=""/>
      <w:lvlJc w:val="left"/>
      <w:pPr>
        <w:ind w:left="720" w:hanging="360"/>
      </w:pPr>
      <w:rPr>
        <w:rFonts w:ascii="Symbol" w:eastAsiaTheme="minorHAnsi" w:hAnsi="Symbol" w:cs="AdvOT678fd42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5E030ED"/>
    <w:multiLevelType w:val="hybridMultilevel"/>
    <w:tmpl w:val="68029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27142D0"/>
    <w:multiLevelType w:val="hybridMultilevel"/>
    <w:tmpl w:val="EFC2A6D2"/>
    <w:lvl w:ilvl="0" w:tplc="80D8417E">
      <w:start w:val="2"/>
      <w:numFmt w:val="bullet"/>
      <w:lvlText w:val=""/>
      <w:lvlJc w:val="left"/>
      <w:pPr>
        <w:ind w:left="1080" w:hanging="360"/>
      </w:pPr>
      <w:rPr>
        <w:rFonts w:ascii="Symbol" w:eastAsiaTheme="minorHAnsi" w:hAnsi="Symbol" w:cs="AdvOT678fd422"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62FE07BC"/>
    <w:multiLevelType w:val="hybridMultilevel"/>
    <w:tmpl w:val="F2E84A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4384959"/>
    <w:multiLevelType w:val="hybridMultilevel"/>
    <w:tmpl w:val="49A24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2E201A"/>
    <w:multiLevelType w:val="hybridMultilevel"/>
    <w:tmpl w:val="307EBC5C"/>
    <w:lvl w:ilvl="0" w:tplc="6FFEEF04">
      <w:start w:val="2"/>
      <w:numFmt w:val="bullet"/>
      <w:lvlText w:val=""/>
      <w:lvlJc w:val="left"/>
      <w:pPr>
        <w:ind w:left="720" w:hanging="360"/>
      </w:pPr>
      <w:rPr>
        <w:rFonts w:ascii="Symbol" w:eastAsiaTheme="minorHAnsi" w:hAnsi="Symbol" w:cs="AdvOT678fd42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9"/>
  </w:num>
  <w:num w:numId="4">
    <w:abstractNumId w:val="3"/>
  </w:num>
  <w:num w:numId="5">
    <w:abstractNumId w:val="11"/>
  </w:num>
  <w:num w:numId="6">
    <w:abstractNumId w:val="8"/>
  </w:num>
  <w:num w:numId="7">
    <w:abstractNumId w:val="5"/>
  </w:num>
  <w:num w:numId="8">
    <w:abstractNumId w:val="1"/>
  </w:num>
  <w:num w:numId="9">
    <w:abstractNumId w:val="0"/>
  </w:num>
  <w:num w:numId="10">
    <w:abstractNumId w:val="6"/>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oNotDisplayPageBoundarie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2&lt;/LineSpacing&gt;&lt;SpaceAfter&gt;0&lt;/SpaceAfter&gt;&lt;/ENLayout&gt;"/>
    <w:docVar w:name="EN.Libraries" w:val="&lt;Libraries&gt;&lt;/Libraries&gt;"/>
  </w:docVars>
  <w:rsids>
    <w:rsidRoot w:val="0045134C"/>
    <w:rsid w:val="00002BB5"/>
    <w:rsid w:val="00010758"/>
    <w:rsid w:val="00012C76"/>
    <w:rsid w:val="00014D9D"/>
    <w:rsid w:val="00015B26"/>
    <w:rsid w:val="00015F98"/>
    <w:rsid w:val="000246F7"/>
    <w:rsid w:val="000301E9"/>
    <w:rsid w:val="00035FE3"/>
    <w:rsid w:val="000508AF"/>
    <w:rsid w:val="00052325"/>
    <w:rsid w:val="000545F5"/>
    <w:rsid w:val="0006088A"/>
    <w:rsid w:val="00061922"/>
    <w:rsid w:val="000641DF"/>
    <w:rsid w:val="00064A8D"/>
    <w:rsid w:val="00070A3E"/>
    <w:rsid w:val="00072D52"/>
    <w:rsid w:val="00082C3F"/>
    <w:rsid w:val="00083C39"/>
    <w:rsid w:val="00090BCD"/>
    <w:rsid w:val="000966E2"/>
    <w:rsid w:val="000A1137"/>
    <w:rsid w:val="000A7E03"/>
    <w:rsid w:val="000B0EAA"/>
    <w:rsid w:val="000B254C"/>
    <w:rsid w:val="000B2987"/>
    <w:rsid w:val="000B5784"/>
    <w:rsid w:val="000C4ECD"/>
    <w:rsid w:val="000C6EAF"/>
    <w:rsid w:val="000D4BC4"/>
    <w:rsid w:val="000D5F76"/>
    <w:rsid w:val="000F6D33"/>
    <w:rsid w:val="00106434"/>
    <w:rsid w:val="001158F9"/>
    <w:rsid w:val="00115BAC"/>
    <w:rsid w:val="00124155"/>
    <w:rsid w:val="00126A68"/>
    <w:rsid w:val="0012788F"/>
    <w:rsid w:val="00132904"/>
    <w:rsid w:val="00137086"/>
    <w:rsid w:val="001379D8"/>
    <w:rsid w:val="00137CB8"/>
    <w:rsid w:val="00141458"/>
    <w:rsid w:val="001432F8"/>
    <w:rsid w:val="00151B1A"/>
    <w:rsid w:val="00164B6E"/>
    <w:rsid w:val="001735AA"/>
    <w:rsid w:val="00173D0F"/>
    <w:rsid w:val="00181DD3"/>
    <w:rsid w:val="00183770"/>
    <w:rsid w:val="001946D8"/>
    <w:rsid w:val="001A2C3D"/>
    <w:rsid w:val="001A5684"/>
    <w:rsid w:val="001A6965"/>
    <w:rsid w:val="001B19A3"/>
    <w:rsid w:val="001B3F09"/>
    <w:rsid w:val="001B5AC3"/>
    <w:rsid w:val="001C7500"/>
    <w:rsid w:val="001D516A"/>
    <w:rsid w:val="001E7B91"/>
    <w:rsid w:val="001F2B61"/>
    <w:rsid w:val="001F3861"/>
    <w:rsid w:val="001F3DB2"/>
    <w:rsid w:val="001F43F5"/>
    <w:rsid w:val="0021658E"/>
    <w:rsid w:val="00225303"/>
    <w:rsid w:val="00230366"/>
    <w:rsid w:val="002334CC"/>
    <w:rsid w:val="00237F1E"/>
    <w:rsid w:val="00245CAD"/>
    <w:rsid w:val="00246700"/>
    <w:rsid w:val="00247C80"/>
    <w:rsid w:val="00252022"/>
    <w:rsid w:val="00260D6A"/>
    <w:rsid w:val="00270085"/>
    <w:rsid w:val="00283B79"/>
    <w:rsid w:val="00293833"/>
    <w:rsid w:val="00296C17"/>
    <w:rsid w:val="002A1930"/>
    <w:rsid w:val="002B14BA"/>
    <w:rsid w:val="002B1E7D"/>
    <w:rsid w:val="002B610E"/>
    <w:rsid w:val="002C2149"/>
    <w:rsid w:val="002C30D3"/>
    <w:rsid w:val="002C4F96"/>
    <w:rsid w:val="002C6C50"/>
    <w:rsid w:val="002D3557"/>
    <w:rsid w:val="002D79C4"/>
    <w:rsid w:val="002E71E1"/>
    <w:rsid w:val="002F16FC"/>
    <w:rsid w:val="0031013A"/>
    <w:rsid w:val="00310436"/>
    <w:rsid w:val="003116ED"/>
    <w:rsid w:val="00327ACA"/>
    <w:rsid w:val="003309D8"/>
    <w:rsid w:val="00331132"/>
    <w:rsid w:val="00331927"/>
    <w:rsid w:val="00335EA2"/>
    <w:rsid w:val="00344A3F"/>
    <w:rsid w:val="003508C6"/>
    <w:rsid w:val="00356710"/>
    <w:rsid w:val="00356CEC"/>
    <w:rsid w:val="00361CF4"/>
    <w:rsid w:val="0037408C"/>
    <w:rsid w:val="00375717"/>
    <w:rsid w:val="00381CCE"/>
    <w:rsid w:val="00383EB7"/>
    <w:rsid w:val="003912C1"/>
    <w:rsid w:val="00392045"/>
    <w:rsid w:val="00395C4E"/>
    <w:rsid w:val="003A11D5"/>
    <w:rsid w:val="003A4B0F"/>
    <w:rsid w:val="003A73C9"/>
    <w:rsid w:val="003B0335"/>
    <w:rsid w:val="003B0826"/>
    <w:rsid w:val="003B2442"/>
    <w:rsid w:val="003B2DBB"/>
    <w:rsid w:val="003B6300"/>
    <w:rsid w:val="003C1D2F"/>
    <w:rsid w:val="003C2BF8"/>
    <w:rsid w:val="003D115A"/>
    <w:rsid w:val="003D434C"/>
    <w:rsid w:val="003D66BC"/>
    <w:rsid w:val="003D6D50"/>
    <w:rsid w:val="003D7FB2"/>
    <w:rsid w:val="003E1F33"/>
    <w:rsid w:val="003E78C7"/>
    <w:rsid w:val="003F126D"/>
    <w:rsid w:val="003F51C3"/>
    <w:rsid w:val="0040432E"/>
    <w:rsid w:val="0040674C"/>
    <w:rsid w:val="00411D85"/>
    <w:rsid w:val="004124C7"/>
    <w:rsid w:val="00412BE1"/>
    <w:rsid w:val="00416431"/>
    <w:rsid w:val="00421C7E"/>
    <w:rsid w:val="0042388A"/>
    <w:rsid w:val="004302F1"/>
    <w:rsid w:val="00431506"/>
    <w:rsid w:val="00436C02"/>
    <w:rsid w:val="00437718"/>
    <w:rsid w:val="00440E93"/>
    <w:rsid w:val="004411CF"/>
    <w:rsid w:val="0045134C"/>
    <w:rsid w:val="0045359E"/>
    <w:rsid w:val="00455D24"/>
    <w:rsid w:val="00457464"/>
    <w:rsid w:val="00457E0D"/>
    <w:rsid w:val="004912A2"/>
    <w:rsid w:val="00493DC9"/>
    <w:rsid w:val="00494CC3"/>
    <w:rsid w:val="004963D7"/>
    <w:rsid w:val="0049767D"/>
    <w:rsid w:val="004A2036"/>
    <w:rsid w:val="004A6D09"/>
    <w:rsid w:val="004B08EC"/>
    <w:rsid w:val="004B6138"/>
    <w:rsid w:val="004D1F44"/>
    <w:rsid w:val="004D7F04"/>
    <w:rsid w:val="004E5D60"/>
    <w:rsid w:val="004E781B"/>
    <w:rsid w:val="004E7AD7"/>
    <w:rsid w:val="004F2761"/>
    <w:rsid w:val="0050050B"/>
    <w:rsid w:val="005033E0"/>
    <w:rsid w:val="00514969"/>
    <w:rsid w:val="00520D49"/>
    <w:rsid w:val="00523140"/>
    <w:rsid w:val="00526A33"/>
    <w:rsid w:val="00531F09"/>
    <w:rsid w:val="0054159C"/>
    <w:rsid w:val="00541F11"/>
    <w:rsid w:val="005439A3"/>
    <w:rsid w:val="005439C8"/>
    <w:rsid w:val="00546C1E"/>
    <w:rsid w:val="00561979"/>
    <w:rsid w:val="005641F7"/>
    <w:rsid w:val="00566A43"/>
    <w:rsid w:val="0056784E"/>
    <w:rsid w:val="005710CA"/>
    <w:rsid w:val="005718E0"/>
    <w:rsid w:val="005807DD"/>
    <w:rsid w:val="00580F08"/>
    <w:rsid w:val="00585AE5"/>
    <w:rsid w:val="0058652E"/>
    <w:rsid w:val="00586F35"/>
    <w:rsid w:val="005872FF"/>
    <w:rsid w:val="005A7AD4"/>
    <w:rsid w:val="005B3EF8"/>
    <w:rsid w:val="005B4D3E"/>
    <w:rsid w:val="005C18B0"/>
    <w:rsid w:val="005C2603"/>
    <w:rsid w:val="005C3315"/>
    <w:rsid w:val="005C3D4B"/>
    <w:rsid w:val="005E3A05"/>
    <w:rsid w:val="005E5AB3"/>
    <w:rsid w:val="005F28E7"/>
    <w:rsid w:val="005F5E81"/>
    <w:rsid w:val="00602174"/>
    <w:rsid w:val="00610CAE"/>
    <w:rsid w:val="0062167A"/>
    <w:rsid w:val="00640761"/>
    <w:rsid w:val="00640EEB"/>
    <w:rsid w:val="006416F7"/>
    <w:rsid w:val="0064298A"/>
    <w:rsid w:val="00643509"/>
    <w:rsid w:val="00644D02"/>
    <w:rsid w:val="00645E66"/>
    <w:rsid w:val="00651537"/>
    <w:rsid w:val="00652B9F"/>
    <w:rsid w:val="00662E32"/>
    <w:rsid w:val="00665589"/>
    <w:rsid w:val="006701F8"/>
    <w:rsid w:val="006718FD"/>
    <w:rsid w:val="00674438"/>
    <w:rsid w:val="00676758"/>
    <w:rsid w:val="0067690D"/>
    <w:rsid w:val="00677450"/>
    <w:rsid w:val="0067796E"/>
    <w:rsid w:val="00677E8A"/>
    <w:rsid w:val="00680C9D"/>
    <w:rsid w:val="006841A6"/>
    <w:rsid w:val="00687B08"/>
    <w:rsid w:val="00691077"/>
    <w:rsid w:val="006929C9"/>
    <w:rsid w:val="006A1719"/>
    <w:rsid w:val="006A3D40"/>
    <w:rsid w:val="006A450C"/>
    <w:rsid w:val="006A5BD5"/>
    <w:rsid w:val="006B65BC"/>
    <w:rsid w:val="006B7BB0"/>
    <w:rsid w:val="006C42CB"/>
    <w:rsid w:val="006C57B4"/>
    <w:rsid w:val="006C772D"/>
    <w:rsid w:val="006D16BF"/>
    <w:rsid w:val="006D333F"/>
    <w:rsid w:val="006D5167"/>
    <w:rsid w:val="006D6754"/>
    <w:rsid w:val="006F21BD"/>
    <w:rsid w:val="006F24A8"/>
    <w:rsid w:val="006F30E3"/>
    <w:rsid w:val="006F40F9"/>
    <w:rsid w:val="006F6F9D"/>
    <w:rsid w:val="00703E66"/>
    <w:rsid w:val="0070678E"/>
    <w:rsid w:val="00712B0C"/>
    <w:rsid w:val="0071502C"/>
    <w:rsid w:val="00721A11"/>
    <w:rsid w:val="007220F3"/>
    <w:rsid w:val="00722700"/>
    <w:rsid w:val="00731E9F"/>
    <w:rsid w:val="0073349B"/>
    <w:rsid w:val="00741576"/>
    <w:rsid w:val="00742CE3"/>
    <w:rsid w:val="00743F99"/>
    <w:rsid w:val="007465B5"/>
    <w:rsid w:val="00753F58"/>
    <w:rsid w:val="007612F7"/>
    <w:rsid w:val="0076609A"/>
    <w:rsid w:val="0077697C"/>
    <w:rsid w:val="00783B80"/>
    <w:rsid w:val="00784A4E"/>
    <w:rsid w:val="007870D7"/>
    <w:rsid w:val="007A34FC"/>
    <w:rsid w:val="007B088A"/>
    <w:rsid w:val="007B312F"/>
    <w:rsid w:val="007C1768"/>
    <w:rsid w:val="007C6FB0"/>
    <w:rsid w:val="007C7069"/>
    <w:rsid w:val="007D1766"/>
    <w:rsid w:val="007E1DE1"/>
    <w:rsid w:val="007E2185"/>
    <w:rsid w:val="007E3FE9"/>
    <w:rsid w:val="007E69C5"/>
    <w:rsid w:val="007F1DD2"/>
    <w:rsid w:val="007F2659"/>
    <w:rsid w:val="007F79C2"/>
    <w:rsid w:val="008018DE"/>
    <w:rsid w:val="0080536B"/>
    <w:rsid w:val="00805E41"/>
    <w:rsid w:val="0080668D"/>
    <w:rsid w:val="00811974"/>
    <w:rsid w:val="00812879"/>
    <w:rsid w:val="00812D50"/>
    <w:rsid w:val="00821422"/>
    <w:rsid w:val="00824AF0"/>
    <w:rsid w:val="008275A7"/>
    <w:rsid w:val="0083152F"/>
    <w:rsid w:val="0083179C"/>
    <w:rsid w:val="008317A4"/>
    <w:rsid w:val="00834BEA"/>
    <w:rsid w:val="0083577D"/>
    <w:rsid w:val="00835F30"/>
    <w:rsid w:val="00841D10"/>
    <w:rsid w:val="00843405"/>
    <w:rsid w:val="00843DAD"/>
    <w:rsid w:val="00844A53"/>
    <w:rsid w:val="00845402"/>
    <w:rsid w:val="0085583D"/>
    <w:rsid w:val="00863B5F"/>
    <w:rsid w:val="00865DCC"/>
    <w:rsid w:val="008671B2"/>
    <w:rsid w:val="00874A1C"/>
    <w:rsid w:val="00882A23"/>
    <w:rsid w:val="008842A8"/>
    <w:rsid w:val="00890022"/>
    <w:rsid w:val="0089181B"/>
    <w:rsid w:val="008B2AF7"/>
    <w:rsid w:val="008B359E"/>
    <w:rsid w:val="008C3A4E"/>
    <w:rsid w:val="008D287E"/>
    <w:rsid w:val="008D3C30"/>
    <w:rsid w:val="008D4E6C"/>
    <w:rsid w:val="008E3831"/>
    <w:rsid w:val="00900051"/>
    <w:rsid w:val="00921004"/>
    <w:rsid w:val="00922965"/>
    <w:rsid w:val="00924BAF"/>
    <w:rsid w:val="00924CAA"/>
    <w:rsid w:val="0093352B"/>
    <w:rsid w:val="009445D5"/>
    <w:rsid w:val="009500D9"/>
    <w:rsid w:val="00952225"/>
    <w:rsid w:val="00952574"/>
    <w:rsid w:val="00957A60"/>
    <w:rsid w:val="00957D39"/>
    <w:rsid w:val="00966BC0"/>
    <w:rsid w:val="009719AA"/>
    <w:rsid w:val="00972515"/>
    <w:rsid w:val="009755C1"/>
    <w:rsid w:val="00975CE3"/>
    <w:rsid w:val="00992AEA"/>
    <w:rsid w:val="009A0744"/>
    <w:rsid w:val="009A6350"/>
    <w:rsid w:val="009B0169"/>
    <w:rsid w:val="009B334A"/>
    <w:rsid w:val="009C0934"/>
    <w:rsid w:val="009C7C0E"/>
    <w:rsid w:val="009D74F6"/>
    <w:rsid w:val="009E1D3B"/>
    <w:rsid w:val="009E2484"/>
    <w:rsid w:val="009E496F"/>
    <w:rsid w:val="009E520B"/>
    <w:rsid w:val="009F1978"/>
    <w:rsid w:val="00A0372C"/>
    <w:rsid w:val="00A069C6"/>
    <w:rsid w:val="00A1030B"/>
    <w:rsid w:val="00A14F31"/>
    <w:rsid w:val="00A27A63"/>
    <w:rsid w:val="00A36256"/>
    <w:rsid w:val="00A41ECA"/>
    <w:rsid w:val="00A420DF"/>
    <w:rsid w:val="00A463FE"/>
    <w:rsid w:val="00A46963"/>
    <w:rsid w:val="00A61961"/>
    <w:rsid w:val="00A62A42"/>
    <w:rsid w:val="00A77C84"/>
    <w:rsid w:val="00A86F75"/>
    <w:rsid w:val="00A87A7C"/>
    <w:rsid w:val="00A92F22"/>
    <w:rsid w:val="00A97EF0"/>
    <w:rsid w:val="00AA7927"/>
    <w:rsid w:val="00AB1599"/>
    <w:rsid w:val="00AB21F7"/>
    <w:rsid w:val="00AB3DDF"/>
    <w:rsid w:val="00AB4D1C"/>
    <w:rsid w:val="00AC1E49"/>
    <w:rsid w:val="00AC573E"/>
    <w:rsid w:val="00AD6DB4"/>
    <w:rsid w:val="00AE5A26"/>
    <w:rsid w:val="00AF0DD4"/>
    <w:rsid w:val="00AF2093"/>
    <w:rsid w:val="00AF443E"/>
    <w:rsid w:val="00AF750D"/>
    <w:rsid w:val="00B058A5"/>
    <w:rsid w:val="00B119CE"/>
    <w:rsid w:val="00B15263"/>
    <w:rsid w:val="00B21958"/>
    <w:rsid w:val="00B263E6"/>
    <w:rsid w:val="00B324C3"/>
    <w:rsid w:val="00B442D0"/>
    <w:rsid w:val="00B474C3"/>
    <w:rsid w:val="00B50013"/>
    <w:rsid w:val="00B53862"/>
    <w:rsid w:val="00B54E96"/>
    <w:rsid w:val="00B70F36"/>
    <w:rsid w:val="00B73242"/>
    <w:rsid w:val="00B732A6"/>
    <w:rsid w:val="00B74B5F"/>
    <w:rsid w:val="00B9466B"/>
    <w:rsid w:val="00B95455"/>
    <w:rsid w:val="00B970DF"/>
    <w:rsid w:val="00BA0808"/>
    <w:rsid w:val="00BA492A"/>
    <w:rsid w:val="00BA57D3"/>
    <w:rsid w:val="00BB0A7D"/>
    <w:rsid w:val="00BB701B"/>
    <w:rsid w:val="00BD1966"/>
    <w:rsid w:val="00BD2781"/>
    <w:rsid w:val="00BF0EEF"/>
    <w:rsid w:val="00BF1425"/>
    <w:rsid w:val="00BF2A7C"/>
    <w:rsid w:val="00BF517E"/>
    <w:rsid w:val="00BF52FE"/>
    <w:rsid w:val="00BF7087"/>
    <w:rsid w:val="00C10D2C"/>
    <w:rsid w:val="00C13073"/>
    <w:rsid w:val="00C204AB"/>
    <w:rsid w:val="00C2271E"/>
    <w:rsid w:val="00C3140C"/>
    <w:rsid w:val="00C32895"/>
    <w:rsid w:val="00C34A92"/>
    <w:rsid w:val="00C34E58"/>
    <w:rsid w:val="00C45964"/>
    <w:rsid w:val="00C60368"/>
    <w:rsid w:val="00C670BE"/>
    <w:rsid w:val="00C70485"/>
    <w:rsid w:val="00C70B89"/>
    <w:rsid w:val="00C72E6D"/>
    <w:rsid w:val="00C814A7"/>
    <w:rsid w:val="00C8361D"/>
    <w:rsid w:val="00C87030"/>
    <w:rsid w:val="00C906F8"/>
    <w:rsid w:val="00C94265"/>
    <w:rsid w:val="00C95E95"/>
    <w:rsid w:val="00C97061"/>
    <w:rsid w:val="00CA1ED9"/>
    <w:rsid w:val="00CA27EC"/>
    <w:rsid w:val="00CA3614"/>
    <w:rsid w:val="00CA3965"/>
    <w:rsid w:val="00CA4CE0"/>
    <w:rsid w:val="00CA506F"/>
    <w:rsid w:val="00CB0B25"/>
    <w:rsid w:val="00CB22E8"/>
    <w:rsid w:val="00CB6170"/>
    <w:rsid w:val="00CC0432"/>
    <w:rsid w:val="00CE2031"/>
    <w:rsid w:val="00CF1026"/>
    <w:rsid w:val="00CF3632"/>
    <w:rsid w:val="00CF6EBE"/>
    <w:rsid w:val="00D003B2"/>
    <w:rsid w:val="00D025DE"/>
    <w:rsid w:val="00D03E7B"/>
    <w:rsid w:val="00D04AC6"/>
    <w:rsid w:val="00D115B4"/>
    <w:rsid w:val="00D17581"/>
    <w:rsid w:val="00D201C6"/>
    <w:rsid w:val="00D37C4C"/>
    <w:rsid w:val="00D44917"/>
    <w:rsid w:val="00D474D2"/>
    <w:rsid w:val="00D47D2A"/>
    <w:rsid w:val="00D5190E"/>
    <w:rsid w:val="00D56A9A"/>
    <w:rsid w:val="00D5721A"/>
    <w:rsid w:val="00D73C4C"/>
    <w:rsid w:val="00D757DC"/>
    <w:rsid w:val="00D778B4"/>
    <w:rsid w:val="00D87681"/>
    <w:rsid w:val="00D92FB7"/>
    <w:rsid w:val="00D94187"/>
    <w:rsid w:val="00D94C9F"/>
    <w:rsid w:val="00D963D0"/>
    <w:rsid w:val="00DA0BF6"/>
    <w:rsid w:val="00DA4AD1"/>
    <w:rsid w:val="00DB1E28"/>
    <w:rsid w:val="00DC6770"/>
    <w:rsid w:val="00DD4DB0"/>
    <w:rsid w:val="00DD7C96"/>
    <w:rsid w:val="00DE3528"/>
    <w:rsid w:val="00DE3E88"/>
    <w:rsid w:val="00DE429D"/>
    <w:rsid w:val="00DE50DD"/>
    <w:rsid w:val="00DE697F"/>
    <w:rsid w:val="00E0067A"/>
    <w:rsid w:val="00E03BB3"/>
    <w:rsid w:val="00E0502D"/>
    <w:rsid w:val="00E05698"/>
    <w:rsid w:val="00E12464"/>
    <w:rsid w:val="00E15DA3"/>
    <w:rsid w:val="00E22CF6"/>
    <w:rsid w:val="00E30F30"/>
    <w:rsid w:val="00E31D18"/>
    <w:rsid w:val="00E31E44"/>
    <w:rsid w:val="00E34421"/>
    <w:rsid w:val="00E37D29"/>
    <w:rsid w:val="00E44617"/>
    <w:rsid w:val="00E53446"/>
    <w:rsid w:val="00E558C4"/>
    <w:rsid w:val="00E6778C"/>
    <w:rsid w:val="00E702BA"/>
    <w:rsid w:val="00E71520"/>
    <w:rsid w:val="00E724BE"/>
    <w:rsid w:val="00E74DCB"/>
    <w:rsid w:val="00E77D16"/>
    <w:rsid w:val="00E8496A"/>
    <w:rsid w:val="00E86A78"/>
    <w:rsid w:val="00E91A5C"/>
    <w:rsid w:val="00E92290"/>
    <w:rsid w:val="00E9341B"/>
    <w:rsid w:val="00E94F31"/>
    <w:rsid w:val="00EA5191"/>
    <w:rsid w:val="00EA5815"/>
    <w:rsid w:val="00EA58EE"/>
    <w:rsid w:val="00EA5920"/>
    <w:rsid w:val="00EB4568"/>
    <w:rsid w:val="00EB5825"/>
    <w:rsid w:val="00EC093D"/>
    <w:rsid w:val="00EC195E"/>
    <w:rsid w:val="00EC280B"/>
    <w:rsid w:val="00ED06AA"/>
    <w:rsid w:val="00ED4B9B"/>
    <w:rsid w:val="00ED77A2"/>
    <w:rsid w:val="00EE4652"/>
    <w:rsid w:val="00EE6736"/>
    <w:rsid w:val="00EF7465"/>
    <w:rsid w:val="00F00334"/>
    <w:rsid w:val="00F03F5F"/>
    <w:rsid w:val="00F1224A"/>
    <w:rsid w:val="00F16E8C"/>
    <w:rsid w:val="00F24A54"/>
    <w:rsid w:val="00F26611"/>
    <w:rsid w:val="00F43AA9"/>
    <w:rsid w:val="00F444AC"/>
    <w:rsid w:val="00F51D89"/>
    <w:rsid w:val="00F544AA"/>
    <w:rsid w:val="00F6061D"/>
    <w:rsid w:val="00F66744"/>
    <w:rsid w:val="00F676A9"/>
    <w:rsid w:val="00F67CC1"/>
    <w:rsid w:val="00F702ED"/>
    <w:rsid w:val="00F72415"/>
    <w:rsid w:val="00F72620"/>
    <w:rsid w:val="00F83DA0"/>
    <w:rsid w:val="00F86DB3"/>
    <w:rsid w:val="00F91C0A"/>
    <w:rsid w:val="00F92B97"/>
    <w:rsid w:val="00FA277F"/>
    <w:rsid w:val="00FA4EA0"/>
    <w:rsid w:val="00FA5098"/>
    <w:rsid w:val="00FB798D"/>
    <w:rsid w:val="00FC6CE8"/>
    <w:rsid w:val="00FD20C9"/>
    <w:rsid w:val="00FD3014"/>
    <w:rsid w:val="00FD7ABA"/>
    <w:rsid w:val="00FE63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F188ED"/>
  <w15:chartTrackingRefBased/>
  <w15:docId w15:val="{BD36A492-DC7B-4B56-B14E-BC41590D3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3D0"/>
    <w:pPr>
      <w:spacing w:after="0" w:line="480" w:lineRule="auto"/>
    </w:pPr>
  </w:style>
  <w:style w:type="paragraph" w:styleId="Heading1">
    <w:name w:val="heading 1"/>
    <w:basedOn w:val="Normal"/>
    <w:next w:val="Normal"/>
    <w:link w:val="Heading1Char"/>
    <w:uiPriority w:val="9"/>
    <w:qFormat/>
    <w:rsid w:val="006C57B4"/>
    <w:pPr>
      <w:keepNext/>
      <w:keepLines/>
      <w:outlineLvl w:val="0"/>
    </w:pPr>
    <w:rPr>
      <w:rFonts w:asciiTheme="majorHAnsi" w:eastAsiaTheme="majorEastAsia" w:hAnsiTheme="majorHAnsi" w:cstheme="majorBidi"/>
      <w:b/>
      <w:color w:val="1F3864" w:themeColor="accent1" w:themeShade="80"/>
      <w:sz w:val="32"/>
      <w:szCs w:val="32"/>
    </w:rPr>
  </w:style>
  <w:style w:type="paragraph" w:styleId="Heading2">
    <w:name w:val="heading 2"/>
    <w:basedOn w:val="Normal"/>
    <w:next w:val="Normal"/>
    <w:link w:val="Heading2Char"/>
    <w:uiPriority w:val="9"/>
    <w:unhideWhenUsed/>
    <w:qFormat/>
    <w:rsid w:val="006C57B4"/>
    <w:pPr>
      <w:keepNext/>
      <w:keepLines/>
      <w:outlineLvl w:val="1"/>
    </w:pPr>
    <w:rPr>
      <w:rFonts w:asciiTheme="majorHAnsi" w:eastAsiaTheme="majorEastAsia" w:hAnsiTheme="majorHAnsi" w:cstheme="majorBidi"/>
      <w:b/>
      <w:color w:val="2F5496" w:themeColor="accent1" w:themeShade="BF"/>
      <w:sz w:val="26"/>
      <w:szCs w:val="26"/>
    </w:rPr>
  </w:style>
  <w:style w:type="paragraph" w:styleId="Heading3">
    <w:name w:val="heading 3"/>
    <w:basedOn w:val="Normal"/>
    <w:link w:val="Heading3Char"/>
    <w:uiPriority w:val="9"/>
    <w:qFormat/>
    <w:rsid w:val="006C57B4"/>
    <w:pPr>
      <w:outlineLvl w:val="2"/>
    </w:pPr>
    <w:rPr>
      <w:rFonts w:asciiTheme="majorHAnsi" w:eastAsia="Times New Roman" w:hAnsiTheme="majorHAnsi" w:cs="Times New Roman"/>
      <w:b/>
      <w:bCs/>
      <w:color w:val="2E74B5" w:themeColor="accent5" w:themeShade="BF"/>
      <w:sz w:val="24"/>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134C"/>
    <w:rPr>
      <w:color w:val="0563C1" w:themeColor="hyperlink"/>
      <w:u w:val="single"/>
    </w:rPr>
  </w:style>
  <w:style w:type="character" w:styleId="UnresolvedMention">
    <w:name w:val="Unresolved Mention"/>
    <w:basedOn w:val="DefaultParagraphFont"/>
    <w:uiPriority w:val="99"/>
    <w:semiHidden/>
    <w:unhideWhenUsed/>
    <w:rsid w:val="0045134C"/>
    <w:rPr>
      <w:color w:val="605E5C"/>
      <w:shd w:val="clear" w:color="auto" w:fill="E1DFDD"/>
    </w:rPr>
  </w:style>
  <w:style w:type="character" w:customStyle="1" w:styleId="Heading3Char">
    <w:name w:val="Heading 3 Char"/>
    <w:basedOn w:val="DefaultParagraphFont"/>
    <w:link w:val="Heading3"/>
    <w:uiPriority w:val="9"/>
    <w:rsid w:val="006C57B4"/>
    <w:rPr>
      <w:rFonts w:asciiTheme="majorHAnsi" w:eastAsia="Times New Roman" w:hAnsiTheme="majorHAnsi" w:cs="Times New Roman"/>
      <w:b/>
      <w:bCs/>
      <w:color w:val="2E74B5" w:themeColor="accent5" w:themeShade="BF"/>
      <w:sz w:val="24"/>
      <w:szCs w:val="27"/>
      <w:lang w:eastAsia="en-GB"/>
    </w:rPr>
  </w:style>
  <w:style w:type="paragraph" w:styleId="ListParagraph">
    <w:name w:val="List Paragraph"/>
    <w:basedOn w:val="Normal"/>
    <w:uiPriority w:val="34"/>
    <w:qFormat/>
    <w:rsid w:val="00731E9F"/>
    <w:pPr>
      <w:ind w:left="720"/>
      <w:contextualSpacing/>
    </w:pPr>
  </w:style>
  <w:style w:type="character" w:customStyle="1" w:styleId="Heading1Char">
    <w:name w:val="Heading 1 Char"/>
    <w:basedOn w:val="DefaultParagraphFont"/>
    <w:link w:val="Heading1"/>
    <w:uiPriority w:val="9"/>
    <w:rsid w:val="006C57B4"/>
    <w:rPr>
      <w:rFonts w:asciiTheme="majorHAnsi" w:eastAsiaTheme="majorEastAsia" w:hAnsiTheme="majorHAnsi" w:cstheme="majorBidi"/>
      <w:b/>
      <w:color w:val="1F3864" w:themeColor="accent1" w:themeShade="80"/>
      <w:sz w:val="32"/>
      <w:szCs w:val="32"/>
    </w:rPr>
  </w:style>
  <w:style w:type="character" w:customStyle="1" w:styleId="source-cite">
    <w:name w:val="source-cite"/>
    <w:basedOn w:val="DefaultParagraphFont"/>
    <w:rsid w:val="00E0067A"/>
  </w:style>
  <w:style w:type="character" w:customStyle="1" w:styleId="central-date-added">
    <w:name w:val="central-date-added"/>
    <w:basedOn w:val="DefaultParagraphFont"/>
    <w:rsid w:val="00E0067A"/>
  </w:style>
  <w:style w:type="character" w:styleId="CommentReference">
    <w:name w:val="annotation reference"/>
    <w:basedOn w:val="DefaultParagraphFont"/>
    <w:uiPriority w:val="99"/>
    <w:semiHidden/>
    <w:unhideWhenUsed/>
    <w:rsid w:val="00FD20C9"/>
    <w:rPr>
      <w:sz w:val="16"/>
      <w:szCs w:val="16"/>
    </w:rPr>
  </w:style>
  <w:style w:type="paragraph" w:styleId="CommentText">
    <w:name w:val="annotation text"/>
    <w:basedOn w:val="Normal"/>
    <w:link w:val="CommentTextChar"/>
    <w:uiPriority w:val="99"/>
    <w:unhideWhenUsed/>
    <w:rsid w:val="00FD20C9"/>
    <w:pPr>
      <w:spacing w:line="240" w:lineRule="auto"/>
    </w:pPr>
    <w:rPr>
      <w:sz w:val="20"/>
      <w:szCs w:val="20"/>
    </w:rPr>
  </w:style>
  <w:style w:type="character" w:customStyle="1" w:styleId="CommentTextChar">
    <w:name w:val="Comment Text Char"/>
    <w:basedOn w:val="DefaultParagraphFont"/>
    <w:link w:val="CommentText"/>
    <w:uiPriority w:val="99"/>
    <w:rsid w:val="00FD20C9"/>
    <w:rPr>
      <w:sz w:val="20"/>
      <w:szCs w:val="20"/>
    </w:rPr>
  </w:style>
  <w:style w:type="paragraph" w:styleId="CommentSubject">
    <w:name w:val="annotation subject"/>
    <w:basedOn w:val="CommentText"/>
    <w:next w:val="CommentText"/>
    <w:link w:val="CommentSubjectChar"/>
    <w:uiPriority w:val="99"/>
    <w:semiHidden/>
    <w:unhideWhenUsed/>
    <w:rsid w:val="00FD20C9"/>
    <w:rPr>
      <w:b/>
      <w:bCs/>
    </w:rPr>
  </w:style>
  <w:style w:type="character" w:customStyle="1" w:styleId="CommentSubjectChar">
    <w:name w:val="Comment Subject Char"/>
    <w:basedOn w:val="CommentTextChar"/>
    <w:link w:val="CommentSubject"/>
    <w:uiPriority w:val="99"/>
    <w:semiHidden/>
    <w:rsid w:val="00FD20C9"/>
    <w:rPr>
      <w:b/>
      <w:bCs/>
      <w:sz w:val="20"/>
      <w:szCs w:val="20"/>
    </w:rPr>
  </w:style>
  <w:style w:type="paragraph" w:styleId="Revision">
    <w:name w:val="Revision"/>
    <w:hidden/>
    <w:uiPriority w:val="99"/>
    <w:semiHidden/>
    <w:rsid w:val="00546C1E"/>
    <w:pPr>
      <w:spacing w:after="0" w:line="240" w:lineRule="auto"/>
    </w:pPr>
  </w:style>
  <w:style w:type="character" w:customStyle="1" w:styleId="cf01">
    <w:name w:val="cf01"/>
    <w:basedOn w:val="DefaultParagraphFont"/>
    <w:rsid w:val="00811974"/>
    <w:rPr>
      <w:rFonts w:ascii="Segoe UI" w:hAnsi="Segoe UI" w:cs="Segoe UI" w:hint="default"/>
      <w:sz w:val="18"/>
      <w:szCs w:val="18"/>
    </w:rPr>
  </w:style>
  <w:style w:type="character" w:styleId="Emphasis">
    <w:name w:val="Emphasis"/>
    <w:basedOn w:val="DefaultParagraphFont"/>
    <w:uiPriority w:val="20"/>
    <w:qFormat/>
    <w:rsid w:val="00676758"/>
    <w:rPr>
      <w:i/>
      <w:iCs/>
    </w:rPr>
  </w:style>
  <w:style w:type="character" w:customStyle="1" w:styleId="mixed-citation">
    <w:name w:val="mixed-citation"/>
    <w:basedOn w:val="DefaultParagraphFont"/>
    <w:rsid w:val="00E94F31"/>
  </w:style>
  <w:style w:type="character" w:customStyle="1" w:styleId="ref-title">
    <w:name w:val="ref-title"/>
    <w:basedOn w:val="DefaultParagraphFont"/>
    <w:rsid w:val="00E94F31"/>
  </w:style>
  <w:style w:type="character" w:customStyle="1" w:styleId="ref-journal">
    <w:name w:val="ref-journal"/>
    <w:basedOn w:val="DefaultParagraphFont"/>
    <w:rsid w:val="00E94F31"/>
  </w:style>
  <w:style w:type="character" w:customStyle="1" w:styleId="ref-vol">
    <w:name w:val="ref-vol"/>
    <w:basedOn w:val="DefaultParagraphFont"/>
    <w:rsid w:val="00E94F31"/>
  </w:style>
  <w:style w:type="character" w:customStyle="1" w:styleId="highwire-cite-authors">
    <w:name w:val="highwire-cite-authors"/>
    <w:basedOn w:val="DefaultParagraphFont"/>
    <w:rsid w:val="007E69C5"/>
  </w:style>
  <w:style w:type="character" w:customStyle="1" w:styleId="nlm-surname">
    <w:name w:val="nlm-surname"/>
    <w:basedOn w:val="DefaultParagraphFont"/>
    <w:rsid w:val="007E69C5"/>
  </w:style>
  <w:style w:type="character" w:customStyle="1" w:styleId="nlm-given-names">
    <w:name w:val="nlm-given-names"/>
    <w:basedOn w:val="DefaultParagraphFont"/>
    <w:rsid w:val="007E69C5"/>
  </w:style>
  <w:style w:type="character" w:customStyle="1" w:styleId="highwire-cite-title">
    <w:name w:val="highwire-cite-title"/>
    <w:basedOn w:val="DefaultParagraphFont"/>
    <w:rsid w:val="007E69C5"/>
  </w:style>
  <w:style w:type="character" w:customStyle="1" w:styleId="highwire-cite-metadata-journal">
    <w:name w:val="highwire-cite-metadata-journal"/>
    <w:basedOn w:val="DefaultParagraphFont"/>
    <w:rsid w:val="007E69C5"/>
  </w:style>
  <w:style w:type="character" w:customStyle="1" w:styleId="highwire-cite-metadata-date">
    <w:name w:val="highwire-cite-metadata-date"/>
    <w:basedOn w:val="DefaultParagraphFont"/>
    <w:rsid w:val="007E69C5"/>
  </w:style>
  <w:style w:type="character" w:customStyle="1" w:styleId="highwire-cite-metadata-volume">
    <w:name w:val="highwire-cite-metadata-volume"/>
    <w:basedOn w:val="DefaultParagraphFont"/>
    <w:rsid w:val="007E69C5"/>
  </w:style>
  <w:style w:type="character" w:customStyle="1" w:styleId="article-doi">
    <w:name w:val="article-doi"/>
    <w:basedOn w:val="DefaultParagraphFont"/>
    <w:rsid w:val="007E69C5"/>
  </w:style>
  <w:style w:type="character" w:customStyle="1" w:styleId="Heading2Char">
    <w:name w:val="Heading 2 Char"/>
    <w:basedOn w:val="DefaultParagraphFont"/>
    <w:link w:val="Heading2"/>
    <w:uiPriority w:val="9"/>
    <w:rsid w:val="006C57B4"/>
    <w:rPr>
      <w:rFonts w:asciiTheme="majorHAnsi" w:eastAsiaTheme="majorEastAsia" w:hAnsiTheme="majorHAnsi" w:cstheme="majorBidi"/>
      <w:b/>
      <w:color w:val="2F5496" w:themeColor="accent1" w:themeShade="BF"/>
      <w:sz w:val="26"/>
      <w:szCs w:val="26"/>
    </w:rPr>
  </w:style>
  <w:style w:type="paragraph" w:styleId="Title">
    <w:name w:val="Title"/>
    <w:basedOn w:val="Normal"/>
    <w:next w:val="Normal"/>
    <w:link w:val="TitleChar"/>
    <w:uiPriority w:val="10"/>
    <w:qFormat/>
    <w:rsid w:val="004A2036"/>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2036"/>
    <w:rPr>
      <w:rFonts w:asciiTheme="majorHAnsi" w:eastAsiaTheme="majorEastAsia" w:hAnsiTheme="majorHAnsi" w:cstheme="majorBidi"/>
      <w:spacing w:val="-10"/>
      <w:kern w:val="28"/>
      <w:sz w:val="56"/>
      <w:szCs w:val="56"/>
    </w:rPr>
  </w:style>
  <w:style w:type="paragraph" w:customStyle="1" w:styleId="EndNoteBibliographyTitle">
    <w:name w:val="EndNote Bibliography Title"/>
    <w:basedOn w:val="Normal"/>
    <w:link w:val="EndNoteBibliographyTitleChar"/>
    <w:rsid w:val="00247C80"/>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247C80"/>
    <w:rPr>
      <w:rFonts w:ascii="Calibri" w:hAnsi="Calibri" w:cs="Calibri"/>
      <w:noProof/>
      <w:lang w:val="en-US"/>
    </w:rPr>
  </w:style>
  <w:style w:type="paragraph" w:customStyle="1" w:styleId="EndNoteBibliography">
    <w:name w:val="EndNote Bibliography"/>
    <w:basedOn w:val="Normal"/>
    <w:link w:val="EndNoteBibliographyChar"/>
    <w:rsid w:val="00247C80"/>
    <w:rPr>
      <w:rFonts w:ascii="Calibri" w:hAnsi="Calibri" w:cs="Calibri"/>
      <w:noProof/>
      <w:lang w:val="en-US"/>
    </w:rPr>
  </w:style>
  <w:style w:type="character" w:customStyle="1" w:styleId="EndNoteBibliographyChar">
    <w:name w:val="EndNote Bibliography Char"/>
    <w:basedOn w:val="DefaultParagraphFont"/>
    <w:link w:val="EndNoteBibliography"/>
    <w:rsid w:val="00247C80"/>
    <w:rPr>
      <w:rFonts w:ascii="Calibri" w:hAnsi="Calibri" w:cs="Calibri"/>
      <w:noProof/>
      <w:lang w:val="en-US"/>
    </w:rPr>
  </w:style>
  <w:style w:type="table" w:styleId="TableGrid">
    <w:name w:val="Table Grid"/>
    <w:basedOn w:val="TableNormal"/>
    <w:uiPriority w:val="39"/>
    <w:rsid w:val="002A1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A1930"/>
    <w:pPr>
      <w:autoSpaceDE w:val="0"/>
      <w:autoSpaceDN w:val="0"/>
      <w:adjustRightInd w:val="0"/>
      <w:spacing w:after="0" w:line="240" w:lineRule="auto"/>
    </w:pPr>
    <w:rPr>
      <w:rFonts w:ascii="Lato" w:hAnsi="Lato" w:cs="Lato"/>
      <w:color w:val="000000"/>
      <w:sz w:val="24"/>
      <w:szCs w:val="24"/>
    </w:rPr>
  </w:style>
  <w:style w:type="paragraph" w:styleId="NormalWeb">
    <w:name w:val="Normal (Web)"/>
    <w:basedOn w:val="Normal"/>
    <w:uiPriority w:val="99"/>
    <w:semiHidden/>
    <w:unhideWhenUsed/>
    <w:rsid w:val="002A19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oduct-title">
    <w:name w:val="product-title"/>
    <w:basedOn w:val="Normal"/>
    <w:rsid w:val="002A193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prod-title">
    <w:name w:val="prod-title"/>
    <w:basedOn w:val="DefaultParagraphFont"/>
    <w:rsid w:val="002A1930"/>
  </w:style>
  <w:style w:type="character" w:customStyle="1" w:styleId="published-date">
    <w:name w:val="published-date"/>
    <w:basedOn w:val="DefaultParagraphFont"/>
    <w:rsid w:val="002A1930"/>
  </w:style>
  <w:style w:type="paragraph" w:styleId="Header">
    <w:name w:val="header"/>
    <w:basedOn w:val="Normal"/>
    <w:link w:val="HeaderChar"/>
    <w:uiPriority w:val="99"/>
    <w:unhideWhenUsed/>
    <w:rsid w:val="00FA277F"/>
    <w:pPr>
      <w:tabs>
        <w:tab w:val="center" w:pos="4513"/>
        <w:tab w:val="right" w:pos="9026"/>
      </w:tabs>
      <w:spacing w:line="240" w:lineRule="auto"/>
    </w:pPr>
  </w:style>
  <w:style w:type="character" w:customStyle="1" w:styleId="HeaderChar">
    <w:name w:val="Header Char"/>
    <w:basedOn w:val="DefaultParagraphFont"/>
    <w:link w:val="Header"/>
    <w:uiPriority w:val="99"/>
    <w:rsid w:val="00FA277F"/>
  </w:style>
  <w:style w:type="paragraph" w:styleId="Footer">
    <w:name w:val="footer"/>
    <w:basedOn w:val="Normal"/>
    <w:link w:val="FooterChar"/>
    <w:uiPriority w:val="99"/>
    <w:unhideWhenUsed/>
    <w:rsid w:val="00FA277F"/>
    <w:pPr>
      <w:tabs>
        <w:tab w:val="center" w:pos="4513"/>
        <w:tab w:val="right" w:pos="9026"/>
      </w:tabs>
      <w:spacing w:line="240" w:lineRule="auto"/>
    </w:pPr>
  </w:style>
  <w:style w:type="character" w:customStyle="1" w:styleId="FooterChar">
    <w:name w:val="Footer Char"/>
    <w:basedOn w:val="DefaultParagraphFont"/>
    <w:link w:val="Footer"/>
    <w:uiPriority w:val="99"/>
    <w:rsid w:val="00FA277F"/>
  </w:style>
  <w:style w:type="table" w:customStyle="1" w:styleId="TableGrid1">
    <w:name w:val="Table Grid1"/>
    <w:basedOn w:val="TableNormal"/>
    <w:next w:val="TableGrid"/>
    <w:uiPriority w:val="39"/>
    <w:rsid w:val="005C3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43405"/>
    <w:rPr>
      <w:color w:val="954F72" w:themeColor="followedHyperlink"/>
      <w:u w:val="single"/>
    </w:rPr>
  </w:style>
  <w:style w:type="paragraph" w:styleId="NoSpacing">
    <w:name w:val="No Spacing"/>
    <w:uiPriority w:val="1"/>
    <w:qFormat/>
    <w:rsid w:val="00874A1C"/>
    <w:pPr>
      <w:spacing w:after="0" w:line="240" w:lineRule="auto"/>
    </w:pPr>
  </w:style>
  <w:style w:type="character" w:styleId="LineNumber">
    <w:name w:val="line number"/>
    <w:basedOn w:val="DefaultParagraphFont"/>
    <w:uiPriority w:val="99"/>
    <w:semiHidden/>
    <w:unhideWhenUsed/>
    <w:rsid w:val="001329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092695">
      <w:bodyDiv w:val="1"/>
      <w:marLeft w:val="0"/>
      <w:marRight w:val="0"/>
      <w:marTop w:val="0"/>
      <w:marBottom w:val="0"/>
      <w:divBdr>
        <w:top w:val="none" w:sz="0" w:space="0" w:color="auto"/>
        <w:left w:val="none" w:sz="0" w:space="0" w:color="auto"/>
        <w:bottom w:val="none" w:sz="0" w:space="0" w:color="auto"/>
        <w:right w:val="none" w:sz="0" w:space="0" w:color="auto"/>
      </w:divBdr>
    </w:div>
    <w:div w:id="427120943">
      <w:bodyDiv w:val="1"/>
      <w:marLeft w:val="0"/>
      <w:marRight w:val="0"/>
      <w:marTop w:val="0"/>
      <w:marBottom w:val="0"/>
      <w:divBdr>
        <w:top w:val="none" w:sz="0" w:space="0" w:color="auto"/>
        <w:left w:val="none" w:sz="0" w:space="0" w:color="auto"/>
        <w:bottom w:val="none" w:sz="0" w:space="0" w:color="auto"/>
        <w:right w:val="none" w:sz="0" w:space="0" w:color="auto"/>
      </w:divBdr>
    </w:div>
    <w:div w:id="571157057">
      <w:bodyDiv w:val="1"/>
      <w:marLeft w:val="0"/>
      <w:marRight w:val="0"/>
      <w:marTop w:val="0"/>
      <w:marBottom w:val="0"/>
      <w:divBdr>
        <w:top w:val="none" w:sz="0" w:space="0" w:color="auto"/>
        <w:left w:val="none" w:sz="0" w:space="0" w:color="auto"/>
        <w:bottom w:val="none" w:sz="0" w:space="0" w:color="auto"/>
        <w:right w:val="none" w:sz="0" w:space="0" w:color="auto"/>
      </w:divBdr>
    </w:div>
    <w:div w:id="818305444">
      <w:bodyDiv w:val="1"/>
      <w:marLeft w:val="0"/>
      <w:marRight w:val="0"/>
      <w:marTop w:val="0"/>
      <w:marBottom w:val="0"/>
      <w:divBdr>
        <w:top w:val="none" w:sz="0" w:space="0" w:color="auto"/>
        <w:left w:val="none" w:sz="0" w:space="0" w:color="auto"/>
        <w:bottom w:val="none" w:sz="0" w:space="0" w:color="auto"/>
        <w:right w:val="none" w:sz="0" w:space="0" w:color="auto"/>
      </w:divBdr>
    </w:div>
    <w:div w:id="1029793328">
      <w:bodyDiv w:val="1"/>
      <w:marLeft w:val="0"/>
      <w:marRight w:val="0"/>
      <w:marTop w:val="0"/>
      <w:marBottom w:val="0"/>
      <w:divBdr>
        <w:top w:val="none" w:sz="0" w:space="0" w:color="auto"/>
        <w:left w:val="none" w:sz="0" w:space="0" w:color="auto"/>
        <w:bottom w:val="none" w:sz="0" w:space="0" w:color="auto"/>
        <w:right w:val="none" w:sz="0" w:space="0" w:color="auto"/>
      </w:divBdr>
    </w:div>
    <w:div w:id="1436250043">
      <w:bodyDiv w:val="1"/>
      <w:marLeft w:val="0"/>
      <w:marRight w:val="0"/>
      <w:marTop w:val="0"/>
      <w:marBottom w:val="0"/>
      <w:divBdr>
        <w:top w:val="none" w:sz="0" w:space="0" w:color="auto"/>
        <w:left w:val="none" w:sz="0" w:space="0" w:color="auto"/>
        <w:bottom w:val="none" w:sz="0" w:space="0" w:color="auto"/>
        <w:right w:val="none" w:sz="0" w:space="0" w:color="auto"/>
      </w:divBdr>
    </w:div>
    <w:div w:id="1634749724">
      <w:bodyDiv w:val="1"/>
      <w:marLeft w:val="0"/>
      <w:marRight w:val="0"/>
      <w:marTop w:val="0"/>
      <w:marBottom w:val="0"/>
      <w:divBdr>
        <w:top w:val="none" w:sz="0" w:space="0" w:color="auto"/>
        <w:left w:val="none" w:sz="0" w:space="0" w:color="auto"/>
        <w:bottom w:val="none" w:sz="0" w:space="0" w:color="auto"/>
        <w:right w:val="none" w:sz="0" w:space="0" w:color="auto"/>
      </w:divBdr>
    </w:div>
    <w:div w:id="1738429677">
      <w:bodyDiv w:val="1"/>
      <w:marLeft w:val="0"/>
      <w:marRight w:val="0"/>
      <w:marTop w:val="0"/>
      <w:marBottom w:val="0"/>
      <w:divBdr>
        <w:top w:val="none" w:sz="0" w:space="0" w:color="auto"/>
        <w:left w:val="none" w:sz="0" w:space="0" w:color="auto"/>
        <w:bottom w:val="none" w:sz="0" w:space="0" w:color="auto"/>
        <w:right w:val="none" w:sz="0" w:space="0" w:color="auto"/>
      </w:divBdr>
    </w:div>
    <w:div w:id="1868173672">
      <w:bodyDiv w:val="1"/>
      <w:marLeft w:val="0"/>
      <w:marRight w:val="0"/>
      <w:marTop w:val="0"/>
      <w:marBottom w:val="0"/>
      <w:divBdr>
        <w:top w:val="none" w:sz="0" w:space="0" w:color="auto"/>
        <w:left w:val="none" w:sz="0" w:space="0" w:color="auto"/>
        <w:bottom w:val="none" w:sz="0" w:space="0" w:color="auto"/>
        <w:right w:val="none" w:sz="0" w:space="0" w:color="auto"/>
      </w:divBdr>
    </w:div>
    <w:div w:id="1892031084">
      <w:bodyDiv w:val="1"/>
      <w:marLeft w:val="0"/>
      <w:marRight w:val="0"/>
      <w:marTop w:val="0"/>
      <w:marBottom w:val="0"/>
      <w:divBdr>
        <w:top w:val="none" w:sz="0" w:space="0" w:color="auto"/>
        <w:left w:val="none" w:sz="0" w:space="0" w:color="auto"/>
        <w:bottom w:val="none" w:sz="0" w:space="0" w:color="auto"/>
        <w:right w:val="none" w:sz="0" w:space="0" w:color="auto"/>
      </w:divBdr>
    </w:div>
    <w:div w:id="1988853332">
      <w:bodyDiv w:val="1"/>
      <w:marLeft w:val="0"/>
      <w:marRight w:val="0"/>
      <w:marTop w:val="0"/>
      <w:marBottom w:val="0"/>
      <w:divBdr>
        <w:top w:val="none" w:sz="0" w:space="0" w:color="auto"/>
        <w:left w:val="none" w:sz="0" w:space="0" w:color="auto"/>
        <w:bottom w:val="none" w:sz="0" w:space="0" w:color="auto"/>
        <w:right w:val="none" w:sz="0" w:space="0" w:color="auto"/>
      </w:divBdr>
    </w:div>
    <w:div w:id="1997299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cochranelibrary.com/cdsr/doi/10.1002/14651858.CD013121.pub2/ful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www.cochranelibrary.com/cdsr/doi/10.1002/14651858.CD013120.pub2/full" TargetMode="External"/><Relationship Id="rId2" Type="http://schemas.openxmlformats.org/officeDocument/2006/relationships/numbering" Target="numbering.xml"/><Relationship Id="rId16" Type="http://schemas.openxmlformats.org/officeDocument/2006/relationships/hyperlink" Target="https://www.cochranelibrary.com/cdsr/doi/10.1002/14651858.CD013125.pub2/ful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cochranelibrary.com/cdsr/doi/10.1002/14651858.CD013103.pub2/full" TargetMode="External"/><Relationship Id="rId10" Type="http://schemas.openxmlformats.org/officeDocument/2006/relationships/footer" Target="footer1.xml"/><Relationship Id="rId19" Type="http://schemas.openxmlformats.org/officeDocument/2006/relationships/hyperlink" Target="https://www.cochranelibrary.com/cdsr/doi/10.1002/14651858.CD013155.pub2/ful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cochranelibrary.com/cdsr/doi/10.1002/14651858.CD013123.pub2/fu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566A5-1582-4627-AC23-771E47AD7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53</Pages>
  <Words>12138</Words>
  <Characters>69192</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Roberts</dc:creator>
  <cp:keywords/>
  <dc:description/>
  <cp:lastModifiedBy>Nilesh Nawale</cp:lastModifiedBy>
  <cp:revision>2</cp:revision>
  <dcterms:created xsi:type="dcterms:W3CDTF">2022-11-08T12:07:00Z</dcterms:created>
  <dcterms:modified xsi:type="dcterms:W3CDTF">2022-11-08T12:07:00Z</dcterms:modified>
</cp:coreProperties>
</file>