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7EFE" w14:textId="77777777" w:rsidR="00103897" w:rsidRDefault="00B928C1">
      <w:pPr>
        <w:widowControl/>
        <w:spacing w:before="100" w:beforeAutospacing="1" w:after="100" w:afterAutospacing="1"/>
        <w:jc w:val="left"/>
        <w:outlineLvl w:val="1"/>
        <w:rPr>
          <w:rFonts w:ascii="Georgia" w:eastAsia="宋体" w:hAnsi="Georgia" w:cs="宋体"/>
          <w:b/>
          <w:bCs/>
          <w:color w:val="505050"/>
          <w:kern w:val="0"/>
          <w:sz w:val="24"/>
          <w:szCs w:val="24"/>
        </w:rPr>
      </w:pPr>
      <w:r>
        <w:rPr>
          <w:rFonts w:ascii="Georgia" w:eastAsia="宋体" w:hAnsi="Georgia" w:cs="宋体"/>
          <w:b/>
          <w:bCs/>
          <w:color w:val="505050"/>
          <w:kern w:val="0"/>
          <w:sz w:val="24"/>
          <w:szCs w:val="24"/>
        </w:rPr>
        <w:t>Highlights</w:t>
      </w:r>
    </w:p>
    <w:p w14:paraId="0E51AE05" w14:textId="77777777" w:rsidR="00103897" w:rsidRDefault="00B928C1" w:rsidP="00252112">
      <w:pPr>
        <w:widowControl/>
        <w:spacing w:before="100" w:beforeAutospacing="1" w:after="100" w:afterAutospacing="1"/>
        <w:ind w:firstLineChars="200" w:firstLine="560"/>
        <w:outlineLvl w:val="1"/>
        <w:rPr>
          <w:rFonts w:ascii="Times New Roman" w:eastAsia="宋体" w:hAnsi="Times New Roman" w:cs="Times New Roman"/>
          <w:bCs/>
          <w:color w:val="505050"/>
          <w:kern w:val="0"/>
          <w:sz w:val="28"/>
          <w:szCs w:val="28"/>
        </w:rPr>
      </w:pPr>
      <w:r>
        <w:rPr>
          <w:rFonts w:ascii="Times New Roman" w:eastAsia="宋体" w:hAnsi="Times New Roman" w:cs="Times New Roman"/>
          <w:bCs/>
          <w:color w:val="505050"/>
          <w:kern w:val="0"/>
          <w:sz w:val="28"/>
          <w:szCs w:val="28"/>
        </w:rPr>
        <w:t xml:space="preserve">This </w:t>
      </w:r>
      <w:proofErr w:type="spellStart"/>
      <w:r>
        <w:rPr>
          <w:rFonts w:ascii="Times New Roman" w:eastAsia="宋体" w:hAnsi="Times New Roman" w:cs="Times New Roman"/>
          <w:bCs/>
          <w:color w:val="505050"/>
          <w:kern w:val="0"/>
          <w:sz w:val="28"/>
          <w:szCs w:val="28"/>
        </w:rPr>
        <w:t>nanosensor</w:t>
      </w:r>
      <w:proofErr w:type="spellEnd"/>
      <w:r>
        <w:rPr>
          <w:rFonts w:ascii="Times New Roman" w:eastAsia="宋体" w:hAnsi="Times New Roman" w:cs="Times New Roman"/>
          <w:bCs/>
          <w:color w:val="505050"/>
          <w:kern w:val="0"/>
          <w:sz w:val="28"/>
          <w:szCs w:val="28"/>
        </w:rPr>
        <w:t xml:space="preserve"> (TYR-CQDs) was sy</w:t>
      </w:r>
      <w:r>
        <w:rPr>
          <w:rFonts w:ascii="Times New Roman" w:eastAsia="宋体" w:hAnsi="Times New Roman" w:cs="Times New Roman"/>
          <w:bCs/>
          <w:kern w:val="0"/>
          <w:sz w:val="28"/>
          <w:szCs w:val="28"/>
        </w:rPr>
        <w:t>nthesized by a simplified and cost-effective one-step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宋体" w:hAnsi="Times New Roman" w:cs="Times New Roman"/>
          <w:bCs/>
          <w:kern w:val="0"/>
          <w:sz w:val="28"/>
          <w:szCs w:val="28"/>
        </w:rPr>
        <w:t>hydrothermal strategy</w:t>
      </w:r>
      <w:r>
        <w:rPr>
          <w:rFonts w:ascii="Times New Roman" w:eastAsia="宋体" w:hAnsi="Times New Roman" w:cs="Times New Roman"/>
          <w:bCs/>
          <w:kern w:val="0"/>
          <w:sz w:val="28"/>
          <w:szCs w:val="28"/>
        </w:rPr>
        <w:t>，</w:t>
      </w:r>
      <w:r>
        <w:rPr>
          <w:rFonts w:ascii="Times New Roman" w:eastAsia="宋体" w:hAnsi="Times New Roman" w:cs="Times New Roman"/>
          <w:bCs/>
          <w:kern w:val="0"/>
          <w:sz w:val="28"/>
          <w:szCs w:val="28"/>
        </w:rPr>
        <w:t>illustrating high sensitivity and strong anti-interference capability over other biological su</w:t>
      </w:r>
      <w:r>
        <w:rPr>
          <w:rFonts w:ascii="Times New Roman" w:eastAsia="宋体" w:hAnsi="Times New Roman" w:cs="Times New Roman"/>
          <w:bCs/>
          <w:color w:val="505050"/>
          <w:kern w:val="0"/>
          <w:sz w:val="28"/>
          <w:szCs w:val="28"/>
        </w:rPr>
        <w:t>bstances.</w:t>
      </w:r>
    </w:p>
    <w:p w14:paraId="6E8D9DD3" w14:textId="77777777" w:rsidR="00103897" w:rsidRDefault="00B928C1" w:rsidP="00252112">
      <w:pPr>
        <w:widowControl/>
        <w:spacing w:before="100" w:beforeAutospacing="1" w:after="100" w:afterAutospacing="1"/>
        <w:ind w:firstLineChars="200" w:firstLine="560"/>
        <w:outlineLvl w:val="1"/>
        <w:rPr>
          <w:rFonts w:ascii="Times New Roman" w:eastAsia="宋体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宋体" w:hAnsi="Times New Roman" w:cs="Times New Roman"/>
          <w:bCs/>
          <w:color w:val="505050"/>
          <w:kern w:val="0"/>
          <w:sz w:val="28"/>
          <w:szCs w:val="28"/>
        </w:rPr>
        <w:t xml:space="preserve">The functionalized carbon quantum dots exhibited bright green </w:t>
      </w:r>
      <w:r>
        <w:rPr>
          <w:rFonts w:ascii="Times New Roman" w:eastAsia="宋体" w:hAnsi="Times New Roman" w:cs="Times New Roman"/>
          <w:bCs/>
          <w:kern w:val="0"/>
          <w:sz w:val="28"/>
          <w:szCs w:val="28"/>
        </w:rPr>
        <w:t>fluorescence</w:t>
      </w:r>
      <w:r>
        <w:rPr>
          <w:rFonts w:ascii="Times New Roman" w:eastAsia="宋体" w:hAnsi="Times New Roman" w:cs="Times New Roman"/>
          <w:bCs/>
          <w:color w:val="505050"/>
          <w:kern w:val="0"/>
          <w:sz w:val="28"/>
          <w:szCs w:val="28"/>
        </w:rPr>
        <w:t>, high photostabilit</w:t>
      </w:r>
      <w:r>
        <w:rPr>
          <w:rFonts w:ascii="Times New Roman" w:eastAsia="宋体" w:hAnsi="Times New Roman" w:cs="Times New Roman"/>
          <w:bCs/>
          <w:kern w:val="0"/>
          <w:sz w:val="28"/>
          <w:szCs w:val="28"/>
        </w:rPr>
        <w:t xml:space="preserve">y, </w:t>
      </w:r>
      <w:r>
        <w:rPr>
          <w:rFonts w:ascii="Times New Roman" w:eastAsia="宋体" w:hAnsi="Times New Roman" w:cs="Times New Roman"/>
          <w:bCs/>
          <w:kern w:val="0"/>
          <w:sz w:val="28"/>
          <w:szCs w:val="28"/>
        </w:rPr>
        <w:t>good</w:t>
      </w:r>
      <w:r>
        <w:rPr>
          <w:rFonts w:ascii="Times New Roman" w:eastAsia="宋体" w:hAnsi="Times New Roman" w:cs="Times New Roman"/>
          <w:bCs/>
          <w:kern w:val="0"/>
          <w:sz w:val="28"/>
          <w:szCs w:val="28"/>
        </w:rPr>
        <w:t xml:space="preserve"> wa</w:t>
      </w:r>
      <w:r>
        <w:rPr>
          <w:rFonts w:ascii="Times New Roman" w:eastAsia="宋体" w:hAnsi="Times New Roman" w:cs="Times New Roman"/>
          <w:bCs/>
          <w:color w:val="505050"/>
          <w:kern w:val="0"/>
          <w:sz w:val="28"/>
          <w:szCs w:val="28"/>
        </w:rPr>
        <w:t xml:space="preserve">ter solubility and superior </w:t>
      </w:r>
      <w:r>
        <w:rPr>
          <w:rFonts w:ascii="Times New Roman" w:eastAsia="宋体" w:hAnsi="Times New Roman" w:cs="Times New Roman"/>
          <w:bCs/>
          <w:kern w:val="0"/>
          <w:sz w:val="28"/>
          <w:szCs w:val="28"/>
        </w:rPr>
        <w:t>biocompatibility, demonstrating potential applications in biological systems.</w:t>
      </w:r>
    </w:p>
    <w:p w14:paraId="49ECA7B4" w14:textId="77777777" w:rsidR="00103897" w:rsidRDefault="00B928C1" w:rsidP="00252112">
      <w:pPr>
        <w:widowControl/>
        <w:spacing w:before="100" w:beforeAutospacing="1" w:after="100" w:afterAutospacing="1"/>
        <w:ind w:firstLineChars="200" w:firstLine="560"/>
        <w:outlineLvl w:val="1"/>
        <w:rPr>
          <w:rFonts w:ascii="Times New Roman" w:eastAsia="宋体" w:hAnsi="Times New Roman" w:cs="Times New Roman"/>
          <w:bCs/>
          <w:color w:val="505050"/>
          <w:kern w:val="0"/>
          <w:sz w:val="28"/>
          <w:szCs w:val="28"/>
        </w:rPr>
      </w:pPr>
      <w:r>
        <w:rPr>
          <w:rFonts w:ascii="Times New Roman" w:eastAsia="宋体" w:hAnsi="Times New Roman" w:cs="Times New Roman"/>
          <w:bCs/>
          <w:color w:val="505050"/>
          <w:kern w:val="0"/>
          <w:sz w:val="28"/>
          <w:szCs w:val="28"/>
        </w:rPr>
        <w:t>The nanoprobe illustrate</w:t>
      </w:r>
      <w:r>
        <w:rPr>
          <w:rFonts w:ascii="Times New Roman" w:eastAsia="宋体" w:hAnsi="Times New Roman" w:cs="Times New Roman"/>
          <w:bCs/>
          <w:color w:val="505050"/>
          <w:kern w:val="0"/>
          <w:sz w:val="28"/>
          <w:szCs w:val="28"/>
        </w:rPr>
        <w:t>d</w:t>
      </w:r>
      <w:r>
        <w:rPr>
          <w:rFonts w:ascii="Times New Roman" w:eastAsia="宋体" w:hAnsi="Times New Roman" w:cs="Times New Roman"/>
          <w:bCs/>
          <w:color w:val="505050"/>
          <w:kern w:val="0"/>
          <w:sz w:val="28"/>
          <w:szCs w:val="28"/>
        </w:rPr>
        <w:t xml:space="preserve"> an excellent linear relationship with a wide range and a low detection limit.</w:t>
      </w:r>
    </w:p>
    <w:p w14:paraId="16EA8E91" w14:textId="77777777" w:rsidR="00103897" w:rsidRDefault="00B928C1" w:rsidP="00252112">
      <w:pPr>
        <w:widowControl/>
        <w:spacing w:before="100" w:beforeAutospacing="1" w:after="100" w:afterAutospacing="1"/>
        <w:ind w:firstLineChars="200" w:firstLine="560"/>
        <w:outlineLvl w:val="1"/>
        <w:rPr>
          <w:rFonts w:ascii="Times New Roman" w:eastAsia="宋体" w:hAnsi="Times New Roman" w:cs="Times New Roman"/>
          <w:bCs/>
          <w:color w:val="505050"/>
          <w:kern w:val="0"/>
          <w:sz w:val="28"/>
          <w:szCs w:val="28"/>
        </w:rPr>
      </w:pPr>
      <w:r>
        <w:rPr>
          <w:rFonts w:ascii="Times New Roman" w:eastAsia="宋体" w:hAnsi="Times New Roman" w:cs="Times New Roman"/>
          <w:bCs/>
          <w:color w:val="505050"/>
          <w:kern w:val="0"/>
          <w:sz w:val="28"/>
          <w:szCs w:val="28"/>
        </w:rPr>
        <w:t xml:space="preserve">The TYR-CQDs was successfully applied for TYR detection in Hela cells and human serum samples with satisfactory results, demonstrating excellent cellular imaging capability and </w:t>
      </w:r>
      <w:r>
        <w:rPr>
          <w:rFonts w:ascii="Times New Roman" w:eastAsia="宋体" w:hAnsi="Times New Roman" w:cs="Times New Roman"/>
          <w:bCs/>
          <w:color w:val="505050"/>
          <w:kern w:val="0"/>
          <w:sz w:val="28"/>
          <w:szCs w:val="28"/>
        </w:rPr>
        <w:t>practical application in complicated biological systems.</w:t>
      </w:r>
    </w:p>
    <w:p w14:paraId="3F6C12EA" w14:textId="77777777" w:rsidR="00103897" w:rsidRDefault="00103897">
      <w:pPr>
        <w:widowControl/>
        <w:spacing w:before="100" w:beforeAutospacing="1" w:after="100" w:afterAutospacing="1"/>
        <w:jc w:val="left"/>
        <w:outlineLvl w:val="1"/>
        <w:rPr>
          <w:rFonts w:ascii="Times New Roman" w:eastAsia="宋体" w:hAnsi="Times New Roman" w:cs="Times New Roman"/>
          <w:bCs/>
          <w:color w:val="505050"/>
          <w:kern w:val="0"/>
          <w:sz w:val="28"/>
          <w:szCs w:val="28"/>
        </w:rPr>
      </w:pPr>
    </w:p>
    <w:sectPr w:rsidR="00103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B8CC9" w14:textId="77777777" w:rsidR="00B928C1" w:rsidRDefault="00B928C1" w:rsidP="00252112">
      <w:r>
        <w:separator/>
      </w:r>
    </w:p>
  </w:endnote>
  <w:endnote w:type="continuationSeparator" w:id="0">
    <w:p w14:paraId="2C375A87" w14:textId="77777777" w:rsidR="00B928C1" w:rsidRDefault="00B928C1" w:rsidP="00252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3E1DF" w14:textId="77777777" w:rsidR="00B928C1" w:rsidRDefault="00B928C1" w:rsidP="00252112">
      <w:r>
        <w:separator/>
      </w:r>
    </w:p>
  </w:footnote>
  <w:footnote w:type="continuationSeparator" w:id="0">
    <w:p w14:paraId="4F800A9B" w14:textId="77777777" w:rsidR="00B928C1" w:rsidRDefault="00B928C1" w:rsidP="00252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ThiNzYwMzk0NWZiOGEwNzVhMWZiNjc5NDA1MGY5YmMifQ=="/>
  </w:docVars>
  <w:rsids>
    <w:rsidRoot w:val="009C7137"/>
    <w:rsid w:val="000E0A7B"/>
    <w:rsid w:val="000F104F"/>
    <w:rsid w:val="00103897"/>
    <w:rsid w:val="0012289F"/>
    <w:rsid w:val="00136AC4"/>
    <w:rsid w:val="00252112"/>
    <w:rsid w:val="0025529F"/>
    <w:rsid w:val="002A1EA4"/>
    <w:rsid w:val="002E34A6"/>
    <w:rsid w:val="002E686E"/>
    <w:rsid w:val="00342E92"/>
    <w:rsid w:val="00356CFC"/>
    <w:rsid w:val="00450B66"/>
    <w:rsid w:val="004976C9"/>
    <w:rsid w:val="004E27B8"/>
    <w:rsid w:val="004F766C"/>
    <w:rsid w:val="00564148"/>
    <w:rsid w:val="005E5574"/>
    <w:rsid w:val="006B7143"/>
    <w:rsid w:val="006C7F9F"/>
    <w:rsid w:val="00724271"/>
    <w:rsid w:val="00762B01"/>
    <w:rsid w:val="00863676"/>
    <w:rsid w:val="009A1178"/>
    <w:rsid w:val="009C7137"/>
    <w:rsid w:val="00B928C1"/>
    <w:rsid w:val="00BB316A"/>
    <w:rsid w:val="00C54E0B"/>
    <w:rsid w:val="00C93231"/>
    <w:rsid w:val="00CD0474"/>
    <w:rsid w:val="00E533DC"/>
    <w:rsid w:val="00E77084"/>
    <w:rsid w:val="00F17907"/>
    <w:rsid w:val="00FB0EB8"/>
    <w:rsid w:val="00FD6D56"/>
    <w:rsid w:val="00FE1EC5"/>
    <w:rsid w:val="00FE4F59"/>
    <w:rsid w:val="12464F87"/>
    <w:rsid w:val="45E579DD"/>
    <w:rsid w:val="5DEA5087"/>
    <w:rsid w:val="78E96C8C"/>
    <w:rsid w:val="7B35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5486B"/>
  <w15:docId w15:val="{B00E440F-5416-442E-B5F5-B09DACADA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M18721</cp:lastModifiedBy>
  <cp:revision>39</cp:revision>
  <dcterms:created xsi:type="dcterms:W3CDTF">2020-01-04T05:20:00Z</dcterms:created>
  <dcterms:modified xsi:type="dcterms:W3CDTF">2022-10-22T08:22:00Z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F53DCEC560AB4469822657562BE18A5A</vt:lpwstr>
  </property>
</Properties>
</file>