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vertAlign w:val="baseline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/>
          <w:b/>
          <w:bCs/>
          <w:sz w:val="24"/>
          <w:szCs w:val="32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vertAlign w:val="baseline"/>
          <w:lang w:val="en-US" w:eastAsia="zh-CN"/>
        </w:rPr>
        <w:t>Supplemental Table.1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7"/>
        <w:gridCol w:w="958"/>
        <w:gridCol w:w="1258"/>
        <w:gridCol w:w="1004"/>
        <w:gridCol w:w="1957"/>
        <w:gridCol w:w="1803"/>
        <w:gridCol w:w="1320"/>
        <w:gridCol w:w="1760"/>
        <w:gridCol w:w="1320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1767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Study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Representativeness</w:t>
            </w:r>
          </w:p>
        </w:tc>
        <w:tc>
          <w:tcPr>
            <w:tcW w:w="1258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Selection of the nonexposed conhort</w:t>
            </w:r>
          </w:p>
        </w:tc>
        <w:tc>
          <w:tcPr>
            <w:tcW w:w="1004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Ascertainment of exposure</w:t>
            </w:r>
          </w:p>
        </w:tc>
        <w:tc>
          <w:tcPr>
            <w:tcW w:w="1957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Demonstration that outcome of interest was not present at start of study</w:t>
            </w:r>
          </w:p>
        </w:tc>
        <w:tc>
          <w:tcPr>
            <w:tcW w:w="1803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Comparability of cohorts on the basis of the design or analysis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Assessment of outcome</w:t>
            </w:r>
          </w:p>
        </w:tc>
        <w:tc>
          <w:tcPr>
            <w:tcW w:w="1760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Was follow-up enough for outcomes to occur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Adequacy of follow up of cohorts</w:t>
            </w:r>
          </w:p>
        </w:tc>
        <w:tc>
          <w:tcPr>
            <w:tcW w:w="900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Quanty score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7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Eric Durand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2014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258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04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957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803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76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900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7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Ichibori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2017</w:t>
            </w:r>
          </w:p>
        </w:tc>
        <w:tc>
          <w:tcPr>
            <w:tcW w:w="958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258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004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957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803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76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900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1767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Mach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2020</w:t>
            </w:r>
          </w:p>
        </w:tc>
        <w:tc>
          <w:tcPr>
            <w:tcW w:w="958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258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004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957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803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76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900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7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D'Ascenzo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2017</w:t>
            </w:r>
          </w:p>
        </w:tc>
        <w:tc>
          <w:tcPr>
            <w:tcW w:w="958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258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004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957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803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★★</w:t>
            </w: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76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900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7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Kawashima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2020</w:t>
            </w:r>
          </w:p>
        </w:tc>
        <w:tc>
          <w:tcPr>
            <w:tcW w:w="958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258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004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957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803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76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900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7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 xml:space="preserve">Butt </w:t>
            </w:r>
            <w:r>
              <w:rPr>
                <w:rFonts w:hint="eastAsia"/>
                <w:vertAlign w:val="baseline"/>
                <w:lang w:val="en-US" w:eastAsia="zh-CN"/>
              </w:rPr>
              <w:t>2019</w:t>
            </w:r>
          </w:p>
        </w:tc>
        <w:tc>
          <w:tcPr>
            <w:tcW w:w="958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258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004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957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803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76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900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7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Seeger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2017</w:t>
            </w:r>
          </w:p>
        </w:tc>
        <w:tc>
          <w:tcPr>
            <w:tcW w:w="958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258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004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957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803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760" w:type="dxa"/>
          </w:tcPr>
          <w:p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900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7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Geis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2018</w:t>
            </w:r>
          </w:p>
        </w:tc>
        <w:tc>
          <w:tcPr>
            <w:tcW w:w="958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258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004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957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803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6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900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7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Jochheim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2019</w:t>
            </w:r>
          </w:p>
        </w:tc>
        <w:tc>
          <w:tcPr>
            <w:tcW w:w="958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258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004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957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803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76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900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7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Didier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2021</w:t>
            </w:r>
          </w:p>
        </w:tc>
        <w:tc>
          <w:tcPr>
            <w:tcW w:w="958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258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004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957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803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76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900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7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Kalogeras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2019</w:t>
            </w:r>
          </w:p>
        </w:tc>
        <w:tc>
          <w:tcPr>
            <w:tcW w:w="958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258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004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957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803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76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900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7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Kosmidou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2019</w:t>
            </w:r>
          </w:p>
        </w:tc>
        <w:tc>
          <w:tcPr>
            <w:tcW w:w="958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258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004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957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803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76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900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1767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Sherwood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2021</w:t>
            </w:r>
          </w:p>
        </w:tc>
        <w:tc>
          <w:tcPr>
            <w:tcW w:w="958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258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004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957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803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76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900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1767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Abdul-Jawad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2016</w:t>
            </w:r>
          </w:p>
        </w:tc>
        <w:tc>
          <w:tcPr>
            <w:tcW w:w="958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258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004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957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803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76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★</w:t>
            </w:r>
          </w:p>
        </w:tc>
        <w:tc>
          <w:tcPr>
            <w:tcW w:w="900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</w:tr>
    </w:tbl>
    <w:p/>
    <w:p/>
    <w:p/>
    <w:p/>
    <w:p/>
    <w:p>
      <w:p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Supplemental Fig. 1 Quality evaluation of include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d</w:t>
      </w: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RCTs</w:t>
      </w:r>
    </w:p>
    <w:p>
      <w:pPr>
        <w:rPr>
          <w:rFonts w:hint="eastAsia"/>
          <w:lang w:val="en-US" w:eastAsia="zh-CN"/>
        </w:rPr>
      </w:pPr>
    </w:p>
    <w:p>
      <w:r>
        <w:drawing>
          <wp:inline distT="0" distB="0" distL="114300" distR="114300">
            <wp:extent cx="7200900" cy="3111500"/>
            <wp:effectExtent l="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00900" cy="311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 xml:space="preserve">Supplemental Fig. 2 Quality assessment of included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RCTs</w:t>
      </w:r>
      <w:bookmarkStart w:id="0" w:name="_GoBack"/>
      <w:bookmarkEnd w:id="0"/>
    </w:p>
    <w:p>
      <w:pP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drawing>
          <wp:inline distT="0" distB="0" distL="114300" distR="114300">
            <wp:extent cx="2832100" cy="4504055"/>
            <wp:effectExtent l="0" t="0" r="0" b="444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32100" cy="450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Supplemental Fig.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A Sensitivity analysis of the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 all cause death for patients with an indication for oral anticoagulants(VKA vs NOACs)</w:t>
      </w:r>
    </w:p>
    <w:p/>
    <w:p>
      <w:r>
        <w:drawing>
          <wp:inline distT="0" distB="0" distL="114300" distR="114300">
            <wp:extent cx="6529070" cy="4194175"/>
            <wp:effectExtent l="0" t="0" r="11430" b="9525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29070" cy="419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pP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Supplemental Fig.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3B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 Sensitivity analysis of the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 all stroke for patients with an indication for oral anticoagulants(VKA vs NOACs)</w:t>
      </w:r>
    </w:p>
    <w:p/>
    <w:p>
      <w:r>
        <w:drawing>
          <wp:inline distT="0" distB="0" distL="114300" distR="114300">
            <wp:extent cx="5963285" cy="3845560"/>
            <wp:effectExtent l="0" t="0" r="5715" b="2540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63285" cy="384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Supplemental Fig.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3C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 Sensitivity analysis of the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 all bleeding for patients with an indication for oral anticoagulants(VKA vs NOACs)</w:t>
      </w:r>
    </w:p>
    <w:p/>
    <w:p/>
    <w:p>
      <w:r>
        <w:drawing>
          <wp:inline distT="0" distB="0" distL="114300" distR="114300">
            <wp:extent cx="6115685" cy="3905250"/>
            <wp:effectExtent l="0" t="0" r="5715" b="6350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15685" cy="390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Supplemental Fig.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4A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 Sensitivity analysis of the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 all cause death for patients without an indication for oral anticoagulants(SAPT vs DAPT)</w:t>
      </w:r>
    </w:p>
    <w:p/>
    <w:p/>
    <w:p>
      <w:r>
        <w:drawing>
          <wp:inline distT="0" distB="0" distL="114300" distR="114300">
            <wp:extent cx="6217285" cy="3986530"/>
            <wp:effectExtent l="0" t="0" r="5715" b="1270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17285" cy="3986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Supplemental Fig.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4B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 Sensitivity analysis of the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 all bleeding for patients without an indication for oral anticoagulants(SAPT vs DAPT)</w:t>
      </w:r>
    </w:p>
    <w:p/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6323965" cy="4051935"/>
            <wp:effectExtent l="0" t="0" r="635" b="12065"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323965" cy="405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D4C"/>
    <w:rsid w:val="00BC2D4C"/>
    <w:rsid w:val="06E10382"/>
    <w:rsid w:val="23A50442"/>
    <w:rsid w:val="247419DF"/>
    <w:rsid w:val="3A1C76D6"/>
    <w:rsid w:val="3AE728AF"/>
    <w:rsid w:val="41780967"/>
    <w:rsid w:val="45E37850"/>
    <w:rsid w:val="5C3C7347"/>
    <w:rsid w:val="64A35145"/>
    <w:rsid w:val="790C2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2022-06-16T01:04:00Z</dcterms:created>
  <dc:creator>呀～</dc:creator>
  <cp:lastModifiedBy>呀～</cp:lastModifiedBy>
  <dcterms:modified xsi:type="dcterms:W3CDTF">2022-06-22T15:47:15Z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