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723DE" w:rsidRDefault="005901D0" w:rsidP="005901D0">
      <w:pPr>
        <w:keepNext/>
        <w:rPr>
          <w:noProof/>
        </w:rPr>
      </w:pPr>
      <w:r>
        <w:rPr>
          <w:noProof/>
        </w:rPr>
        <w:drawing>
          <wp:inline distT="0" distB="0" distL="0" distR="0">
            <wp:extent cx="5943600" cy="503745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5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37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3DD" w:rsidRPr="001C2649" w:rsidRDefault="004813DD" w:rsidP="008618F0">
      <w:pPr>
        <w:pStyle w:val="NormalWeb"/>
        <w:spacing w:before="0" w:beforeAutospacing="0" w:after="0" w:afterAutospacing="0"/>
        <w:jc w:val="both"/>
        <w:rPr>
          <w:rFonts w:asciiTheme="majorBidi" w:hAnsiTheme="majorBidi" w:cstheme="majorBidi"/>
          <w:sz w:val="22"/>
          <w:szCs w:val="22"/>
          <w:rtl/>
        </w:rPr>
      </w:pPr>
      <w:r w:rsidRPr="001C2649">
        <w:rPr>
          <w:sz w:val="22"/>
          <w:szCs w:val="22"/>
        </w:rPr>
        <w:t xml:space="preserve">Figure </w:t>
      </w:r>
      <w:r w:rsidR="00D07982" w:rsidRPr="001C2649">
        <w:rPr>
          <w:sz w:val="22"/>
          <w:szCs w:val="22"/>
        </w:rPr>
        <w:fldChar w:fldCharType="begin"/>
      </w:r>
      <w:r w:rsidR="00D07982" w:rsidRPr="001C2649">
        <w:rPr>
          <w:sz w:val="22"/>
          <w:szCs w:val="22"/>
        </w:rPr>
        <w:instrText xml:space="preserve"> SEQ Figure \* ARABIC </w:instrText>
      </w:r>
      <w:r w:rsidR="00D07982" w:rsidRPr="001C2649">
        <w:rPr>
          <w:sz w:val="22"/>
          <w:szCs w:val="22"/>
        </w:rPr>
        <w:fldChar w:fldCharType="separate"/>
      </w:r>
      <w:r w:rsidR="00534C6F" w:rsidRPr="001C2649">
        <w:rPr>
          <w:noProof/>
          <w:sz w:val="22"/>
          <w:szCs w:val="22"/>
        </w:rPr>
        <w:t>1</w:t>
      </w:r>
      <w:r w:rsidR="00D07982" w:rsidRPr="001C2649">
        <w:rPr>
          <w:noProof/>
          <w:sz w:val="22"/>
          <w:szCs w:val="22"/>
        </w:rPr>
        <w:fldChar w:fldCharType="end"/>
      </w:r>
      <w:r w:rsidRPr="001C2649">
        <w:rPr>
          <w:sz w:val="22"/>
          <w:szCs w:val="22"/>
        </w:rPr>
        <w:t>:</w:t>
      </w:r>
      <w:r w:rsidRPr="001C2649">
        <w:rPr>
          <w:rFonts w:asciiTheme="majorBidi" w:hAnsiTheme="majorBidi" w:cstheme="majorBidi"/>
          <w:sz w:val="22"/>
          <w:szCs w:val="22"/>
        </w:rPr>
        <w:t xml:space="preserve"> Western blotting results of the expression of HIF-1a (97 </w:t>
      </w:r>
      <w:proofErr w:type="spellStart"/>
      <w:r w:rsidRPr="001C2649">
        <w:rPr>
          <w:rFonts w:asciiTheme="majorBidi" w:hAnsiTheme="majorBidi" w:cstheme="majorBidi"/>
          <w:sz w:val="22"/>
          <w:szCs w:val="22"/>
        </w:rPr>
        <w:t>kDa</w:t>
      </w:r>
      <w:proofErr w:type="spellEnd"/>
      <w:r w:rsidRPr="001C2649">
        <w:rPr>
          <w:rFonts w:asciiTheme="majorBidi" w:hAnsiTheme="majorBidi" w:cstheme="majorBidi"/>
          <w:sz w:val="22"/>
          <w:szCs w:val="22"/>
        </w:rPr>
        <w:t xml:space="preserve">), YKL-40 (42 </w:t>
      </w:r>
      <w:proofErr w:type="spellStart"/>
      <w:r w:rsidRPr="001C2649">
        <w:rPr>
          <w:rFonts w:asciiTheme="majorBidi" w:hAnsiTheme="majorBidi" w:cstheme="majorBidi"/>
          <w:sz w:val="22"/>
          <w:szCs w:val="22"/>
        </w:rPr>
        <w:t>kDa</w:t>
      </w:r>
      <w:proofErr w:type="spellEnd"/>
      <w:r w:rsidRPr="001C2649">
        <w:rPr>
          <w:rFonts w:asciiTheme="majorBidi" w:hAnsiTheme="majorBidi" w:cstheme="majorBidi"/>
          <w:sz w:val="22"/>
          <w:szCs w:val="22"/>
        </w:rPr>
        <w:t xml:space="preserve">), HVCN1 (28 </w:t>
      </w:r>
      <w:proofErr w:type="spellStart"/>
      <w:r w:rsidRPr="001C2649">
        <w:rPr>
          <w:rFonts w:asciiTheme="majorBidi" w:hAnsiTheme="majorBidi" w:cstheme="majorBidi"/>
          <w:sz w:val="22"/>
          <w:szCs w:val="22"/>
        </w:rPr>
        <w:t>kDa</w:t>
      </w:r>
      <w:proofErr w:type="spellEnd"/>
      <w:r w:rsidRPr="001C2649">
        <w:rPr>
          <w:rFonts w:asciiTheme="majorBidi" w:hAnsiTheme="majorBidi" w:cstheme="majorBidi"/>
          <w:sz w:val="22"/>
          <w:szCs w:val="22"/>
        </w:rPr>
        <w:t xml:space="preserve">), S100B (14 </w:t>
      </w:r>
      <w:proofErr w:type="spellStart"/>
      <w:r w:rsidRPr="001C2649">
        <w:rPr>
          <w:rFonts w:asciiTheme="majorBidi" w:hAnsiTheme="majorBidi" w:cstheme="majorBidi"/>
          <w:sz w:val="22"/>
          <w:szCs w:val="22"/>
        </w:rPr>
        <w:t>kDa</w:t>
      </w:r>
      <w:proofErr w:type="spellEnd"/>
      <w:r w:rsidRPr="001C2649">
        <w:rPr>
          <w:rFonts w:asciiTheme="majorBidi" w:hAnsiTheme="majorBidi" w:cstheme="majorBidi"/>
          <w:sz w:val="22"/>
          <w:szCs w:val="22"/>
        </w:rPr>
        <w:t xml:space="preserve">), and GAPDH (37 </w:t>
      </w:r>
      <w:proofErr w:type="spellStart"/>
      <w:r w:rsidRPr="001C2649">
        <w:rPr>
          <w:rFonts w:asciiTheme="majorBidi" w:hAnsiTheme="majorBidi" w:cstheme="majorBidi"/>
          <w:sz w:val="22"/>
          <w:szCs w:val="22"/>
        </w:rPr>
        <w:t>kDa</w:t>
      </w:r>
      <w:proofErr w:type="spellEnd"/>
      <w:r w:rsidRPr="001C2649">
        <w:rPr>
          <w:rFonts w:asciiTheme="majorBidi" w:hAnsiTheme="majorBidi" w:cstheme="majorBidi"/>
          <w:sz w:val="22"/>
          <w:szCs w:val="22"/>
        </w:rPr>
        <w:t>) proteins in infants</w:t>
      </w:r>
      <w:r w:rsidR="00062A42" w:rsidRPr="001C2649">
        <w:rPr>
          <w:rFonts w:asciiTheme="majorBidi" w:hAnsiTheme="majorBidi" w:cstheme="majorBidi"/>
          <w:sz w:val="22"/>
          <w:szCs w:val="22"/>
        </w:rPr>
        <w:t>. There was a significant increase</w:t>
      </w:r>
      <w:r w:rsidRPr="001C2649">
        <w:rPr>
          <w:rFonts w:asciiTheme="majorBidi" w:hAnsiTheme="majorBidi" w:cstheme="majorBidi"/>
          <w:sz w:val="22"/>
          <w:szCs w:val="22"/>
        </w:rPr>
        <w:t xml:space="preserve"> in proteins expression </w:t>
      </w:r>
      <w:r w:rsidR="00062A42" w:rsidRPr="001C2649">
        <w:rPr>
          <w:rFonts w:asciiTheme="majorBidi" w:hAnsiTheme="majorBidi" w:cstheme="majorBidi"/>
          <w:sz w:val="22"/>
          <w:szCs w:val="22"/>
        </w:rPr>
        <w:t>in infants boring infants with inflammation in first day</w:t>
      </w:r>
      <w:r w:rsidR="009927C8" w:rsidRPr="001C2649">
        <w:rPr>
          <w:rFonts w:asciiTheme="majorBidi" w:hAnsiTheme="majorBidi" w:cstheme="majorBidi"/>
          <w:sz w:val="22"/>
          <w:szCs w:val="22"/>
        </w:rPr>
        <w:t xml:space="preserve"> (p = 0.04)</w:t>
      </w:r>
      <w:r w:rsidR="00062A42" w:rsidRPr="001C2649">
        <w:rPr>
          <w:rFonts w:asciiTheme="majorBidi" w:hAnsiTheme="majorBidi" w:cstheme="majorBidi"/>
          <w:sz w:val="22"/>
          <w:szCs w:val="22"/>
          <w:lang w:val="en"/>
        </w:rPr>
        <w:t xml:space="preserve"> </w:t>
      </w:r>
      <w:r w:rsidR="00062A42" w:rsidRPr="001C2649">
        <w:rPr>
          <w:rFonts w:asciiTheme="majorBidi" w:hAnsiTheme="majorBidi" w:cstheme="majorBidi"/>
          <w:sz w:val="22"/>
          <w:szCs w:val="22"/>
        </w:rPr>
        <w:t>(A)</w:t>
      </w:r>
      <w:r w:rsidR="009C646D" w:rsidRPr="001C2649">
        <w:rPr>
          <w:rFonts w:asciiTheme="majorBidi" w:hAnsiTheme="majorBidi" w:cstheme="majorBidi"/>
          <w:sz w:val="22"/>
          <w:szCs w:val="22"/>
        </w:rPr>
        <w:t>. T</w:t>
      </w:r>
      <w:r w:rsidR="009927C8" w:rsidRPr="001C2649">
        <w:rPr>
          <w:rFonts w:asciiTheme="majorBidi" w:hAnsiTheme="majorBidi" w:cstheme="majorBidi"/>
          <w:sz w:val="22"/>
          <w:szCs w:val="22"/>
        </w:rPr>
        <w:t xml:space="preserve">here was a significant increase in proteins expression in HIF-1a, YKL-40, S100B while a decrease in proteins expression in HVCN1 in infants boring infants with inflammation after third day of birth </w:t>
      </w:r>
      <w:r w:rsidRPr="001C2649">
        <w:rPr>
          <w:rFonts w:asciiTheme="majorBidi" w:hAnsiTheme="majorBidi" w:cstheme="majorBidi"/>
          <w:sz w:val="22"/>
          <w:szCs w:val="22"/>
        </w:rPr>
        <w:t>(</w:t>
      </w:r>
      <w:r w:rsidR="009927C8" w:rsidRPr="001C2649">
        <w:rPr>
          <w:rFonts w:asciiTheme="majorBidi" w:hAnsiTheme="majorBidi" w:cstheme="majorBidi"/>
          <w:sz w:val="22"/>
          <w:szCs w:val="22"/>
        </w:rPr>
        <w:t>p = 0.02 and 0.01</w:t>
      </w:r>
      <w:r w:rsidRPr="001C2649">
        <w:rPr>
          <w:rFonts w:asciiTheme="majorBidi" w:hAnsiTheme="majorBidi" w:cstheme="majorBidi"/>
          <w:sz w:val="22"/>
          <w:szCs w:val="22"/>
        </w:rPr>
        <w:t>)</w:t>
      </w:r>
      <w:r w:rsidR="009927C8" w:rsidRPr="001C2649">
        <w:rPr>
          <w:rFonts w:asciiTheme="majorBidi" w:hAnsiTheme="majorBidi" w:cstheme="majorBidi"/>
          <w:sz w:val="22"/>
          <w:szCs w:val="22"/>
        </w:rPr>
        <w:t xml:space="preserve"> (B)</w:t>
      </w:r>
      <w:r w:rsidRPr="001C2649">
        <w:rPr>
          <w:rFonts w:asciiTheme="majorBidi" w:hAnsiTheme="majorBidi" w:cstheme="majorBidi"/>
          <w:sz w:val="22"/>
          <w:szCs w:val="22"/>
        </w:rPr>
        <w:t xml:space="preserve">. </w:t>
      </w:r>
      <w:r w:rsidR="008618F0" w:rsidRPr="001C2649">
        <w:rPr>
          <w:rFonts w:asciiTheme="majorBidi" w:hAnsiTheme="majorBidi" w:cstheme="majorBidi"/>
          <w:sz w:val="22"/>
          <w:szCs w:val="22"/>
        </w:rPr>
        <w:t>In the comparison of gene expression on the first day and three days later after birth, which was done by pair t-test, the expression of gene HVCN1 decreased remarkably three days after the birth of infants born with maternal inflammation, while the expression of four other genes showed a considerable increase</w:t>
      </w:r>
      <w:r w:rsidR="00C421BF" w:rsidRPr="001C2649">
        <w:rPr>
          <w:rFonts w:asciiTheme="majorBidi" w:hAnsiTheme="majorBidi" w:cstheme="majorBidi"/>
          <w:sz w:val="22"/>
          <w:szCs w:val="22"/>
        </w:rPr>
        <w:t xml:space="preserve"> (P&lt; 0.001) (C).</w:t>
      </w:r>
    </w:p>
    <w:p w:rsidR="004813DD" w:rsidRPr="001A5C7D" w:rsidRDefault="004813DD" w:rsidP="004813DD">
      <w:pPr>
        <w:pStyle w:val="Caption"/>
        <w:rPr>
          <w:i w:val="0"/>
          <w:iCs w:val="0"/>
        </w:rPr>
      </w:pPr>
    </w:p>
    <w:p w:rsidR="00E05884" w:rsidRDefault="005A7FE5" w:rsidP="00DC2965">
      <w:r>
        <w:rPr>
          <w:noProof/>
        </w:rPr>
        <w:lastRenderedPageBreak/>
        <w:drawing>
          <wp:inline distT="0" distB="0" distL="0" distR="0" wp14:anchorId="3385FB80" wp14:editId="360E3671">
            <wp:extent cx="5543550" cy="28384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7FE5" w:rsidRDefault="005A7FE5" w:rsidP="00DC2965"/>
    <w:p w:rsidR="005A7FE5" w:rsidRDefault="005A7FE5" w:rsidP="00DC2965"/>
    <w:p w:rsidR="005A7FE5" w:rsidRDefault="005A7FE5" w:rsidP="00DC2965"/>
    <w:p w:rsidR="005A7FE5" w:rsidRDefault="005A7FE5" w:rsidP="00DC2965"/>
    <w:p w:rsidR="005A7FE5" w:rsidRDefault="005A7FE5" w:rsidP="00DC2965"/>
    <w:p w:rsidR="005A7FE5" w:rsidRDefault="005A7FE5" w:rsidP="00DC2965"/>
    <w:p w:rsidR="005A7FE5" w:rsidRDefault="005A7FE5" w:rsidP="00DC2965"/>
    <w:p w:rsidR="005A7FE5" w:rsidRDefault="005A7FE5" w:rsidP="00DC2965"/>
    <w:p w:rsidR="005A7FE5" w:rsidRDefault="005A7FE5" w:rsidP="00DC2965"/>
    <w:p w:rsidR="005A7FE5" w:rsidRDefault="005A7FE5" w:rsidP="00DC2965"/>
    <w:p w:rsidR="005A7FE5" w:rsidRDefault="005A7FE5" w:rsidP="00DC2965"/>
    <w:p w:rsidR="005A7FE5" w:rsidRDefault="005A7FE5" w:rsidP="00DC2965"/>
    <w:p w:rsidR="005A7FE5" w:rsidRDefault="005A7FE5" w:rsidP="00DC2965"/>
    <w:p w:rsidR="005A7FE5" w:rsidRDefault="005A7FE5" w:rsidP="00DC2965"/>
    <w:p w:rsidR="003723DE" w:rsidRDefault="00DC2965" w:rsidP="00DC2965">
      <w:r>
        <w:rPr>
          <w:noProof/>
        </w:rPr>
        <w:lastRenderedPageBreak/>
        <w:drawing>
          <wp:inline distT="0" distB="0" distL="0" distR="0">
            <wp:extent cx="4419600" cy="4259681"/>
            <wp:effectExtent l="0" t="0" r="0" b="762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9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2710" cy="4301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0357" w:rsidRPr="0066323E" w:rsidRDefault="00DC2965" w:rsidP="001C2649">
      <w:pPr>
        <w:ind w:right="-450"/>
      </w:pPr>
      <w:r>
        <w:rPr>
          <w:noProof/>
        </w:rPr>
        <w:drawing>
          <wp:inline distT="0" distB="0" distL="0" distR="0">
            <wp:extent cx="6564184" cy="2733675"/>
            <wp:effectExtent l="0" t="0" r="825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7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4404" cy="2754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F655C">
        <w:t xml:space="preserve">  </w:t>
      </w:r>
    </w:p>
    <w:p w:rsidR="000D21E1" w:rsidRPr="001C2649" w:rsidRDefault="009927C8" w:rsidP="001C2649">
      <w:pPr>
        <w:pStyle w:val="NormalWeb"/>
        <w:spacing w:before="0" w:beforeAutospacing="0" w:after="0" w:afterAutospacing="0"/>
        <w:jc w:val="both"/>
        <w:rPr>
          <w:rFonts w:asciiTheme="majorBidi" w:eastAsiaTheme="minorEastAsia" w:hAnsiTheme="majorBidi" w:cstheme="majorBidi"/>
          <w:kern w:val="24"/>
          <w:sz w:val="22"/>
          <w:szCs w:val="22"/>
          <w:lang w:bidi="ar-SA"/>
        </w:rPr>
      </w:pPr>
      <w:r w:rsidRPr="001C2649">
        <w:rPr>
          <w:rFonts w:asciiTheme="majorBidi" w:hAnsiTheme="majorBidi" w:cstheme="majorBidi"/>
          <w:sz w:val="22"/>
          <w:szCs w:val="22"/>
        </w:rPr>
        <w:t xml:space="preserve">Figure </w:t>
      </w:r>
      <w:r w:rsidR="00231057" w:rsidRPr="001C2649">
        <w:rPr>
          <w:rFonts w:asciiTheme="majorBidi" w:hAnsiTheme="majorBidi" w:cstheme="majorBidi"/>
          <w:sz w:val="22"/>
          <w:szCs w:val="22"/>
        </w:rPr>
        <w:fldChar w:fldCharType="begin"/>
      </w:r>
      <w:r w:rsidR="00231057" w:rsidRPr="001C2649">
        <w:rPr>
          <w:rFonts w:asciiTheme="majorBidi" w:hAnsiTheme="majorBidi" w:cstheme="majorBidi"/>
          <w:sz w:val="22"/>
          <w:szCs w:val="22"/>
        </w:rPr>
        <w:instrText xml:space="preserve"> SEQ Figure \* ARABIC </w:instrText>
      </w:r>
      <w:r w:rsidR="00231057" w:rsidRPr="001C2649">
        <w:rPr>
          <w:rFonts w:asciiTheme="majorBidi" w:hAnsiTheme="majorBidi" w:cstheme="majorBidi"/>
          <w:sz w:val="22"/>
          <w:szCs w:val="22"/>
        </w:rPr>
        <w:fldChar w:fldCharType="separate"/>
      </w:r>
      <w:r w:rsidR="00534C6F" w:rsidRPr="001C2649">
        <w:rPr>
          <w:rFonts w:asciiTheme="majorBidi" w:hAnsiTheme="majorBidi" w:cstheme="majorBidi"/>
          <w:noProof/>
          <w:sz w:val="22"/>
          <w:szCs w:val="22"/>
        </w:rPr>
        <w:t>2</w:t>
      </w:r>
      <w:r w:rsidR="00231057" w:rsidRPr="001C2649">
        <w:rPr>
          <w:rFonts w:asciiTheme="majorBidi" w:hAnsiTheme="majorBidi" w:cstheme="majorBidi"/>
          <w:noProof/>
          <w:sz w:val="22"/>
          <w:szCs w:val="22"/>
        </w:rPr>
        <w:fldChar w:fldCharType="end"/>
      </w:r>
      <w:r w:rsidRPr="001C2649">
        <w:rPr>
          <w:rFonts w:asciiTheme="majorBidi" w:hAnsiTheme="majorBidi" w:cstheme="majorBidi"/>
          <w:sz w:val="22"/>
          <w:szCs w:val="22"/>
        </w:rPr>
        <w:t xml:space="preserve">: </w:t>
      </w:r>
      <w:r w:rsidR="00BA620A" w:rsidRPr="001C2649">
        <w:rPr>
          <w:rFonts w:asciiTheme="majorBidi" w:hAnsiTheme="majorBidi" w:cstheme="majorBidi"/>
          <w:sz w:val="22"/>
          <w:szCs w:val="22"/>
        </w:rPr>
        <w:t xml:space="preserve">Flow cytometry (FCM) </w:t>
      </w:r>
      <w:r w:rsidR="0066323E" w:rsidRPr="001C2649">
        <w:rPr>
          <w:rFonts w:asciiTheme="majorBidi" w:hAnsiTheme="majorBidi" w:cstheme="majorBidi"/>
          <w:sz w:val="22"/>
          <w:szCs w:val="22"/>
        </w:rPr>
        <w:t>and</w:t>
      </w:r>
      <w:r w:rsidR="00BA620A" w:rsidRPr="001C2649">
        <w:rPr>
          <w:rFonts w:eastAsiaTheme="minorEastAsia" w:hAnsi="Calibri"/>
          <w:kern w:val="24"/>
          <w:sz w:val="22"/>
          <w:szCs w:val="22"/>
        </w:rPr>
        <w:t xml:space="preserve"> </w:t>
      </w:r>
      <w:r w:rsidR="0066323E" w:rsidRPr="001C2649">
        <w:rPr>
          <w:rFonts w:asciiTheme="majorBidi" w:eastAsiaTheme="minorEastAsia" w:hAnsiTheme="majorBidi" w:cstheme="majorBidi"/>
          <w:kern w:val="24"/>
          <w:sz w:val="22"/>
          <w:szCs w:val="22"/>
        </w:rPr>
        <w:t>a</w:t>
      </w:r>
      <w:r w:rsidR="00BA620A" w:rsidRPr="001C2649">
        <w:rPr>
          <w:rFonts w:asciiTheme="majorBidi" w:eastAsiaTheme="minorEastAsia" w:hAnsiTheme="majorBidi" w:cstheme="majorBidi"/>
          <w:kern w:val="24"/>
          <w:sz w:val="22"/>
          <w:szCs w:val="22"/>
        </w:rPr>
        <w:t xml:space="preserve">poptosis assay after staining with </w:t>
      </w:r>
      <w:r w:rsidR="0066323E" w:rsidRPr="001C2649">
        <w:rPr>
          <w:rFonts w:asciiTheme="majorBidi" w:hAnsiTheme="majorBidi" w:cstheme="majorBidi"/>
          <w:sz w:val="22"/>
          <w:szCs w:val="22"/>
        </w:rPr>
        <w:t>Annexin V-PE and propidium iodide (PI)</w:t>
      </w:r>
      <w:r w:rsidR="00BA620A" w:rsidRPr="001C2649">
        <w:rPr>
          <w:rFonts w:asciiTheme="majorBidi" w:eastAsiaTheme="minorEastAsia" w:hAnsiTheme="majorBidi" w:cstheme="majorBidi"/>
          <w:kern w:val="24"/>
          <w:sz w:val="22"/>
          <w:szCs w:val="22"/>
        </w:rPr>
        <w:t>.</w:t>
      </w:r>
      <w:r w:rsidR="0066323E" w:rsidRPr="001C2649">
        <w:rPr>
          <w:rFonts w:asciiTheme="majorBidi" w:eastAsiaTheme="minorEastAsia" w:hAnsiTheme="majorBidi" w:cstheme="majorBidi"/>
          <w:kern w:val="24"/>
          <w:sz w:val="22"/>
          <w:szCs w:val="22"/>
        </w:rPr>
        <w:t xml:space="preserve"> </w:t>
      </w:r>
      <w:r w:rsidR="0066323E" w:rsidRPr="001C2649">
        <w:rPr>
          <w:rFonts w:asciiTheme="majorBidi" w:hAnsiTheme="majorBidi" w:cstheme="majorBidi"/>
          <w:sz w:val="22"/>
          <w:szCs w:val="22"/>
        </w:rPr>
        <w:t>ABC-TC3973</w:t>
      </w:r>
      <w:r w:rsidR="0066323E" w:rsidRPr="001C2649">
        <w:rPr>
          <w:rFonts w:asciiTheme="majorBidi" w:eastAsiaTheme="minorEastAsia" w:hAnsiTheme="majorBidi" w:cstheme="majorBidi"/>
          <w:kern w:val="24"/>
          <w:sz w:val="22"/>
          <w:szCs w:val="22"/>
          <w:lang w:bidi="ar-SA"/>
        </w:rPr>
        <w:t xml:space="preserve"> cells were treated with miRNA431, -34a, -21, -138 for 48 h. Representative scatter plots of PI (y-axis) vs. annexin V (x-axis) (A).</w:t>
      </w:r>
      <w:r w:rsidR="00EC3487" w:rsidRPr="001C2649">
        <w:rPr>
          <w:rFonts w:asciiTheme="majorBidi" w:eastAsiaTheme="minorEastAsia" w:hAnsiTheme="majorBidi" w:cstheme="majorBidi"/>
          <w:kern w:val="24"/>
          <w:sz w:val="22"/>
          <w:szCs w:val="22"/>
          <w:lang w:bidi="ar-SA"/>
        </w:rPr>
        <w:t xml:space="preserve"> A control cell </w:t>
      </w:r>
      <w:r w:rsidR="005624CF" w:rsidRPr="001C2649">
        <w:rPr>
          <w:rFonts w:asciiTheme="majorBidi" w:eastAsiaTheme="minorEastAsia" w:hAnsiTheme="majorBidi" w:cstheme="majorBidi"/>
          <w:kern w:val="24"/>
          <w:sz w:val="22"/>
          <w:szCs w:val="22"/>
          <w:lang w:bidi="ar-SA"/>
        </w:rPr>
        <w:t>pop</w:t>
      </w:r>
      <w:r w:rsidR="00EC3487" w:rsidRPr="001C2649">
        <w:rPr>
          <w:rFonts w:asciiTheme="majorBidi" w:eastAsiaTheme="minorEastAsia" w:hAnsiTheme="majorBidi" w:cstheme="majorBidi"/>
          <w:kern w:val="24"/>
          <w:sz w:val="22"/>
          <w:szCs w:val="22"/>
          <w:lang w:bidi="ar-SA"/>
        </w:rPr>
        <w:t>ulation with unchanged scatter signals (A.1) and an apoptotic cell population after transfecting miRNA-431 and miRNA-34a (A.2 and A.3). Decreased the apoptotic cell population after transfecting miRNA-21 and miRNA-138 (A.4 and A5</w:t>
      </w:r>
      <w:r w:rsidR="001C2649" w:rsidRPr="001C2649">
        <w:rPr>
          <w:rFonts w:asciiTheme="majorBidi" w:eastAsiaTheme="minorEastAsia" w:hAnsiTheme="majorBidi" w:cstheme="majorBidi"/>
          <w:kern w:val="24"/>
          <w:sz w:val="22"/>
          <w:szCs w:val="22"/>
          <w:lang w:bidi="ar-SA"/>
        </w:rPr>
        <w:t>). Percentage</w:t>
      </w:r>
      <w:r w:rsidR="0066323E" w:rsidRPr="001C2649">
        <w:rPr>
          <w:rFonts w:asciiTheme="majorBidi" w:eastAsiaTheme="minorEastAsia" w:hAnsiTheme="majorBidi" w:cstheme="majorBidi"/>
          <w:kern w:val="24"/>
          <w:sz w:val="22"/>
          <w:szCs w:val="22"/>
          <w:lang w:bidi="ar-SA"/>
        </w:rPr>
        <w:t xml:space="preserve"> of viable, early apoptotic and late apoptotic cells. Data are presented as the means ± SE of </w:t>
      </w:r>
      <w:r w:rsidR="0066323E" w:rsidRPr="001C2649">
        <w:rPr>
          <w:rFonts w:asciiTheme="majorBidi" w:eastAsiaTheme="minorEastAsia" w:hAnsiTheme="majorBidi" w:cstheme="majorBidi"/>
          <w:kern w:val="24"/>
          <w:sz w:val="22"/>
          <w:szCs w:val="22"/>
          <w:lang w:bidi="ar-SA"/>
        </w:rPr>
        <w:lastRenderedPageBreak/>
        <w:t>triplicate experiments. *</w:t>
      </w:r>
      <w:r w:rsidR="0066323E" w:rsidRPr="001C2649">
        <w:rPr>
          <w:rFonts w:asciiTheme="majorBidi" w:eastAsiaTheme="minorEastAsia" w:hAnsiTheme="majorBidi" w:cstheme="majorBidi"/>
          <w:i/>
          <w:iCs/>
          <w:kern w:val="24"/>
          <w:sz w:val="22"/>
          <w:szCs w:val="22"/>
          <w:lang w:bidi="ar-SA"/>
        </w:rPr>
        <w:t>P</w:t>
      </w:r>
      <w:r w:rsidR="0066323E" w:rsidRPr="001C2649">
        <w:rPr>
          <w:rFonts w:asciiTheme="majorBidi" w:eastAsiaTheme="minorEastAsia" w:hAnsiTheme="majorBidi" w:cstheme="majorBidi"/>
          <w:kern w:val="24"/>
          <w:sz w:val="22"/>
          <w:szCs w:val="22"/>
          <w:lang w:bidi="ar-SA"/>
        </w:rPr>
        <w:t>&lt;0.05, and **</w:t>
      </w:r>
      <w:r w:rsidR="0066323E" w:rsidRPr="001C2649">
        <w:rPr>
          <w:rFonts w:asciiTheme="majorBidi" w:eastAsiaTheme="minorEastAsia" w:hAnsiTheme="majorBidi" w:cstheme="majorBidi"/>
          <w:i/>
          <w:iCs/>
          <w:kern w:val="24"/>
          <w:sz w:val="22"/>
          <w:szCs w:val="22"/>
          <w:lang w:bidi="ar-SA"/>
        </w:rPr>
        <w:t>P</w:t>
      </w:r>
      <w:r w:rsidR="0066323E" w:rsidRPr="001C2649">
        <w:rPr>
          <w:rFonts w:asciiTheme="majorBidi" w:eastAsiaTheme="minorEastAsia" w:hAnsiTheme="majorBidi" w:cstheme="majorBidi"/>
          <w:kern w:val="24"/>
          <w:sz w:val="22"/>
          <w:szCs w:val="22"/>
          <w:lang w:bidi="ar-SA"/>
        </w:rPr>
        <w:t>&lt;0.01</w:t>
      </w:r>
      <w:r w:rsidR="00AA75F5" w:rsidRPr="001C2649">
        <w:rPr>
          <w:rFonts w:asciiTheme="majorBidi" w:eastAsiaTheme="minorEastAsia" w:hAnsiTheme="majorBidi" w:cstheme="majorBidi"/>
          <w:kern w:val="24"/>
          <w:sz w:val="22"/>
          <w:szCs w:val="22"/>
          <w:lang w:bidi="ar-SA"/>
        </w:rPr>
        <w:t xml:space="preserve"> vs. control (B). </w:t>
      </w:r>
      <w:r w:rsidR="00AA75F5" w:rsidRPr="001C2649">
        <w:rPr>
          <w:rFonts w:asciiTheme="majorBidi" w:hAnsiTheme="majorBidi" w:cstheme="majorBidi"/>
          <w:sz w:val="22"/>
          <w:szCs w:val="22"/>
        </w:rPr>
        <w:t xml:space="preserve">Western blotting results of the expression of HIF-1a (97 </w:t>
      </w:r>
      <w:proofErr w:type="spellStart"/>
      <w:r w:rsidR="00AA75F5" w:rsidRPr="001C2649">
        <w:rPr>
          <w:rFonts w:asciiTheme="majorBidi" w:hAnsiTheme="majorBidi" w:cstheme="majorBidi"/>
          <w:sz w:val="22"/>
          <w:szCs w:val="22"/>
        </w:rPr>
        <w:t>kDa</w:t>
      </w:r>
      <w:proofErr w:type="spellEnd"/>
      <w:r w:rsidR="00AA75F5" w:rsidRPr="001C2649">
        <w:rPr>
          <w:rFonts w:asciiTheme="majorBidi" w:hAnsiTheme="majorBidi" w:cstheme="majorBidi"/>
          <w:sz w:val="22"/>
          <w:szCs w:val="22"/>
        </w:rPr>
        <w:t xml:space="preserve">), YKL-40 (42 </w:t>
      </w:r>
      <w:proofErr w:type="spellStart"/>
      <w:r w:rsidR="00AA75F5" w:rsidRPr="001C2649">
        <w:rPr>
          <w:rFonts w:asciiTheme="majorBidi" w:hAnsiTheme="majorBidi" w:cstheme="majorBidi"/>
          <w:sz w:val="22"/>
          <w:szCs w:val="22"/>
        </w:rPr>
        <w:t>kDa</w:t>
      </w:r>
      <w:proofErr w:type="spellEnd"/>
      <w:r w:rsidR="00AA75F5" w:rsidRPr="001C2649">
        <w:rPr>
          <w:rFonts w:asciiTheme="majorBidi" w:hAnsiTheme="majorBidi" w:cstheme="majorBidi"/>
          <w:sz w:val="22"/>
          <w:szCs w:val="22"/>
        </w:rPr>
        <w:t xml:space="preserve">), HVCN1 (28 </w:t>
      </w:r>
      <w:proofErr w:type="spellStart"/>
      <w:r w:rsidR="00AA75F5" w:rsidRPr="001C2649">
        <w:rPr>
          <w:rFonts w:asciiTheme="majorBidi" w:hAnsiTheme="majorBidi" w:cstheme="majorBidi"/>
          <w:sz w:val="22"/>
          <w:szCs w:val="22"/>
        </w:rPr>
        <w:t>kDa</w:t>
      </w:r>
      <w:proofErr w:type="spellEnd"/>
      <w:r w:rsidR="00AA75F5" w:rsidRPr="001C2649">
        <w:rPr>
          <w:rFonts w:asciiTheme="majorBidi" w:hAnsiTheme="majorBidi" w:cstheme="majorBidi"/>
          <w:sz w:val="22"/>
          <w:szCs w:val="22"/>
        </w:rPr>
        <w:t xml:space="preserve">), S100B (14 </w:t>
      </w:r>
      <w:proofErr w:type="spellStart"/>
      <w:r w:rsidR="00AA75F5" w:rsidRPr="001C2649">
        <w:rPr>
          <w:rFonts w:asciiTheme="majorBidi" w:hAnsiTheme="majorBidi" w:cstheme="majorBidi"/>
          <w:sz w:val="22"/>
          <w:szCs w:val="22"/>
        </w:rPr>
        <w:t>kDa</w:t>
      </w:r>
      <w:proofErr w:type="spellEnd"/>
      <w:r w:rsidR="00AA75F5" w:rsidRPr="001C2649">
        <w:rPr>
          <w:rFonts w:asciiTheme="majorBidi" w:hAnsiTheme="majorBidi" w:cstheme="majorBidi"/>
          <w:sz w:val="22"/>
          <w:szCs w:val="22"/>
        </w:rPr>
        <w:t xml:space="preserve">), and GAPDH (37 </w:t>
      </w:r>
      <w:proofErr w:type="spellStart"/>
      <w:r w:rsidR="00AA75F5" w:rsidRPr="001C2649">
        <w:rPr>
          <w:rFonts w:asciiTheme="majorBidi" w:hAnsiTheme="majorBidi" w:cstheme="majorBidi"/>
          <w:sz w:val="22"/>
          <w:szCs w:val="22"/>
        </w:rPr>
        <w:t>kDa</w:t>
      </w:r>
      <w:proofErr w:type="spellEnd"/>
      <w:r w:rsidR="00AA75F5" w:rsidRPr="001C2649">
        <w:rPr>
          <w:rFonts w:asciiTheme="majorBidi" w:hAnsiTheme="majorBidi" w:cstheme="majorBidi"/>
          <w:sz w:val="22"/>
          <w:szCs w:val="22"/>
        </w:rPr>
        <w:t xml:space="preserve">) proteins after transfecting miRNA-138 into </w:t>
      </w:r>
      <w:r w:rsidR="00F373A8" w:rsidRPr="00823F24">
        <w:rPr>
          <w:rFonts w:asciiTheme="majorBidi" w:hAnsiTheme="majorBidi" w:cstheme="majorBidi"/>
          <w:sz w:val="22"/>
          <w:szCs w:val="22"/>
        </w:rPr>
        <w:t xml:space="preserve">Human Oligodendrocyte Progenitor Cells </w:t>
      </w:r>
      <w:r w:rsidR="00AA75F5" w:rsidRPr="00823F24">
        <w:rPr>
          <w:rFonts w:asciiTheme="majorBidi" w:hAnsiTheme="majorBidi" w:cstheme="majorBidi"/>
          <w:sz w:val="22"/>
          <w:szCs w:val="22"/>
        </w:rPr>
        <w:t xml:space="preserve">(1), </w:t>
      </w:r>
      <w:r w:rsidR="00F373A8" w:rsidRPr="00823F24">
        <w:rPr>
          <w:rFonts w:asciiTheme="majorBidi" w:hAnsiTheme="majorBidi" w:cstheme="majorBidi"/>
          <w:sz w:val="22"/>
          <w:szCs w:val="22"/>
        </w:rPr>
        <w:t xml:space="preserve">Human Microglia Cells </w:t>
      </w:r>
      <w:r w:rsidR="00AA75F5" w:rsidRPr="00823F24">
        <w:rPr>
          <w:rFonts w:asciiTheme="majorBidi" w:hAnsiTheme="majorBidi" w:cstheme="majorBidi"/>
          <w:sz w:val="22"/>
          <w:szCs w:val="22"/>
        </w:rPr>
        <w:t xml:space="preserve">(2), </w:t>
      </w:r>
      <w:r w:rsidR="00F373A8" w:rsidRPr="00823F24">
        <w:rPr>
          <w:rFonts w:asciiTheme="majorBidi" w:hAnsiTheme="majorBidi" w:cstheme="majorBidi"/>
          <w:sz w:val="22"/>
          <w:szCs w:val="22"/>
        </w:rPr>
        <w:t xml:space="preserve">Human Dendritic Cells </w:t>
      </w:r>
      <w:r w:rsidR="00AA75F5" w:rsidRPr="00823F24">
        <w:rPr>
          <w:rFonts w:asciiTheme="majorBidi" w:hAnsiTheme="majorBidi" w:cstheme="majorBidi"/>
          <w:sz w:val="22"/>
          <w:szCs w:val="22"/>
        </w:rPr>
        <w:t xml:space="preserve">(3), </w:t>
      </w:r>
      <w:r w:rsidR="00F373A8" w:rsidRPr="00823F24">
        <w:rPr>
          <w:rFonts w:asciiTheme="majorBidi" w:hAnsiTheme="majorBidi" w:cstheme="majorBidi"/>
          <w:sz w:val="22"/>
          <w:szCs w:val="22"/>
        </w:rPr>
        <w:t xml:space="preserve">Human Astrocytes </w:t>
      </w:r>
      <w:r w:rsidR="00AA75F5" w:rsidRPr="00823F24">
        <w:rPr>
          <w:rFonts w:asciiTheme="majorBidi" w:hAnsiTheme="majorBidi" w:cstheme="majorBidi"/>
          <w:sz w:val="22"/>
          <w:szCs w:val="22"/>
        </w:rPr>
        <w:t xml:space="preserve">(4), and </w:t>
      </w:r>
      <w:r w:rsidR="00F373A8" w:rsidRPr="00823F24">
        <w:rPr>
          <w:rFonts w:asciiTheme="majorBidi" w:hAnsiTheme="majorBidi" w:cstheme="majorBidi"/>
          <w:sz w:val="22"/>
          <w:szCs w:val="22"/>
        </w:rPr>
        <w:t xml:space="preserve">Human Neural Hindbrain Stem Cells </w:t>
      </w:r>
      <w:r w:rsidR="00AA75F5" w:rsidRPr="00823F24">
        <w:rPr>
          <w:rFonts w:asciiTheme="majorBidi" w:hAnsiTheme="majorBidi" w:cstheme="majorBidi"/>
          <w:sz w:val="22"/>
          <w:szCs w:val="22"/>
        </w:rPr>
        <w:t>(5)</w:t>
      </w:r>
      <w:r w:rsidR="00F373A8" w:rsidRPr="00823F24">
        <w:rPr>
          <w:rFonts w:asciiTheme="majorBidi" w:hAnsiTheme="majorBidi" w:cstheme="majorBidi"/>
          <w:sz w:val="22"/>
          <w:szCs w:val="22"/>
        </w:rPr>
        <w:t xml:space="preserve"> cell lines</w:t>
      </w:r>
      <w:r w:rsidR="00F8560C" w:rsidRPr="00823F24">
        <w:rPr>
          <w:rFonts w:asciiTheme="majorBidi" w:hAnsiTheme="majorBidi" w:cstheme="majorBidi"/>
          <w:sz w:val="22"/>
          <w:szCs w:val="22"/>
        </w:rPr>
        <w:t>. T</w:t>
      </w:r>
      <w:r w:rsidR="00F373A8" w:rsidRPr="00823F24">
        <w:rPr>
          <w:rFonts w:asciiTheme="majorBidi" w:hAnsiTheme="majorBidi" w:cstheme="majorBidi"/>
          <w:sz w:val="22"/>
          <w:szCs w:val="22"/>
        </w:rPr>
        <w:t>he HVCN1and HIF-1a proteins level was increased (P=</w:t>
      </w:r>
      <w:r w:rsidR="00F8560C" w:rsidRPr="00823F24">
        <w:rPr>
          <w:rFonts w:asciiTheme="majorBidi" w:hAnsiTheme="majorBidi" w:cstheme="majorBidi"/>
          <w:sz w:val="22"/>
          <w:szCs w:val="22"/>
        </w:rPr>
        <w:t xml:space="preserve"> </w:t>
      </w:r>
      <w:r w:rsidR="00F373A8" w:rsidRPr="00823F24">
        <w:rPr>
          <w:rFonts w:asciiTheme="majorBidi" w:hAnsiTheme="majorBidi" w:cstheme="majorBidi"/>
          <w:sz w:val="22"/>
          <w:szCs w:val="22"/>
        </w:rPr>
        <w:t xml:space="preserve">0.035 and 0.01, </w:t>
      </w:r>
      <w:r w:rsidR="00F8560C" w:rsidRPr="00823F24">
        <w:rPr>
          <w:rFonts w:asciiTheme="majorBidi" w:hAnsiTheme="majorBidi" w:cstheme="majorBidi"/>
          <w:sz w:val="22"/>
          <w:szCs w:val="22"/>
        </w:rPr>
        <w:t xml:space="preserve">respectively) while the level of </w:t>
      </w:r>
      <w:r w:rsidR="00F373A8" w:rsidRPr="00823F24">
        <w:rPr>
          <w:rFonts w:asciiTheme="majorBidi" w:hAnsiTheme="majorBidi" w:cstheme="majorBidi"/>
          <w:sz w:val="22"/>
          <w:szCs w:val="22"/>
        </w:rPr>
        <w:t>S100B protein was decreased (P= 0.04</w:t>
      </w:r>
      <w:r w:rsidR="00F8560C" w:rsidRPr="00823F24">
        <w:rPr>
          <w:rFonts w:asciiTheme="majorBidi" w:hAnsiTheme="majorBidi" w:cstheme="majorBidi"/>
          <w:sz w:val="22"/>
          <w:szCs w:val="22"/>
        </w:rPr>
        <w:t xml:space="preserve">6) </w:t>
      </w:r>
      <w:r w:rsidR="00AA75F5" w:rsidRPr="00823F24">
        <w:rPr>
          <w:rFonts w:asciiTheme="majorBidi" w:hAnsiTheme="majorBidi" w:cstheme="majorBidi"/>
          <w:sz w:val="22"/>
          <w:szCs w:val="22"/>
        </w:rPr>
        <w:t>(C).</w:t>
      </w:r>
    </w:p>
    <w:p w:rsidR="000D21E1" w:rsidRDefault="000D21E1" w:rsidP="000D21E1">
      <w:pPr>
        <w:keepNext/>
        <w:ind w:left="-990"/>
      </w:pPr>
    </w:p>
    <w:p w:rsidR="00D46391" w:rsidRDefault="00D46391" w:rsidP="00D46391">
      <w:pPr>
        <w:keepNext/>
        <w:ind w:left="90"/>
      </w:pPr>
    </w:p>
    <w:p w:rsidR="001C2649" w:rsidRDefault="00D46391" w:rsidP="00D46391">
      <w:pPr>
        <w:keepNext/>
        <w:ind w:left="-90"/>
      </w:pPr>
      <w:r>
        <w:rPr>
          <w:noProof/>
        </w:rPr>
        <w:drawing>
          <wp:inline distT="0" distB="0" distL="0" distR="0" wp14:anchorId="1F176C37" wp14:editId="57D80AFF">
            <wp:extent cx="5943600" cy="31908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2649" w:rsidRDefault="001C2649" w:rsidP="000D21E1">
      <w:pPr>
        <w:keepNext/>
        <w:ind w:left="-990"/>
      </w:pPr>
    </w:p>
    <w:p w:rsidR="001C2649" w:rsidRDefault="001C2649" w:rsidP="000D21E1">
      <w:pPr>
        <w:keepNext/>
        <w:ind w:left="-990"/>
      </w:pPr>
    </w:p>
    <w:p w:rsidR="001C2649" w:rsidRDefault="001C2649" w:rsidP="000D21E1">
      <w:pPr>
        <w:keepNext/>
        <w:ind w:left="-990"/>
      </w:pPr>
    </w:p>
    <w:p w:rsidR="001C2649" w:rsidRDefault="001C2649" w:rsidP="000D21E1">
      <w:pPr>
        <w:keepNext/>
        <w:ind w:left="-990"/>
      </w:pPr>
    </w:p>
    <w:p w:rsidR="001C2649" w:rsidRDefault="001C2649" w:rsidP="000D21E1">
      <w:pPr>
        <w:keepNext/>
        <w:ind w:left="-990"/>
      </w:pPr>
    </w:p>
    <w:p w:rsidR="001C2649" w:rsidRDefault="001C2649" w:rsidP="000D21E1">
      <w:pPr>
        <w:keepNext/>
        <w:ind w:left="-990"/>
      </w:pPr>
    </w:p>
    <w:p w:rsidR="001C2649" w:rsidRDefault="001C2649" w:rsidP="000D21E1">
      <w:pPr>
        <w:keepNext/>
        <w:ind w:left="-990"/>
      </w:pPr>
    </w:p>
    <w:p w:rsidR="001C2649" w:rsidRDefault="001C2649" w:rsidP="000D21E1">
      <w:pPr>
        <w:keepNext/>
        <w:ind w:left="-990"/>
      </w:pPr>
    </w:p>
    <w:p w:rsidR="00DC2965" w:rsidRDefault="00DC2965" w:rsidP="005E4D37">
      <w:pPr>
        <w:pStyle w:val="Caption"/>
        <w:jc w:val="both"/>
        <w:rPr>
          <w:i w:val="0"/>
          <w:iCs w:val="0"/>
          <w:color w:val="auto"/>
          <w:sz w:val="22"/>
          <w:szCs w:val="22"/>
        </w:rPr>
      </w:pPr>
    </w:p>
    <w:p w:rsidR="00DC2965" w:rsidRDefault="00DC2965" w:rsidP="005E4D37">
      <w:pPr>
        <w:pStyle w:val="Caption"/>
        <w:jc w:val="both"/>
        <w:rPr>
          <w:i w:val="0"/>
          <w:iCs w:val="0"/>
          <w:color w:val="auto"/>
          <w:sz w:val="22"/>
          <w:szCs w:val="22"/>
        </w:rPr>
      </w:pPr>
      <w:r>
        <w:rPr>
          <w:i w:val="0"/>
          <w:iCs w:val="0"/>
          <w:noProof/>
          <w:color w:val="auto"/>
          <w:sz w:val="22"/>
          <w:szCs w:val="22"/>
        </w:rPr>
        <w:lastRenderedPageBreak/>
        <w:drawing>
          <wp:inline distT="0" distB="0" distL="0" distR="0">
            <wp:extent cx="6288101" cy="417258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8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97643" cy="4178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1C0A" w:rsidRDefault="00534C6F" w:rsidP="005E4D37">
      <w:pPr>
        <w:pStyle w:val="Caption"/>
        <w:jc w:val="both"/>
        <w:rPr>
          <w:rFonts w:asciiTheme="majorBidi" w:hAnsiTheme="majorBidi" w:cstheme="majorBidi"/>
          <w:color w:val="auto"/>
          <w:sz w:val="22"/>
          <w:szCs w:val="22"/>
        </w:rPr>
      </w:pPr>
      <w:r w:rsidRPr="001C2649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Figure </w:t>
      </w:r>
      <w:r w:rsidR="00832460" w:rsidRPr="001C2649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fldChar w:fldCharType="begin"/>
      </w:r>
      <w:r w:rsidR="00832460" w:rsidRPr="001C2649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instrText xml:space="preserve"> SEQ Figure \* ARABIC </w:instrText>
      </w:r>
      <w:r w:rsidR="00832460" w:rsidRPr="001C2649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fldChar w:fldCharType="separate"/>
      </w:r>
      <w:r w:rsidRPr="001C2649">
        <w:rPr>
          <w:rFonts w:asciiTheme="majorBidi" w:hAnsiTheme="majorBidi" w:cstheme="majorBidi"/>
          <w:i w:val="0"/>
          <w:iCs w:val="0"/>
          <w:noProof/>
          <w:color w:val="auto"/>
          <w:sz w:val="22"/>
          <w:szCs w:val="22"/>
        </w:rPr>
        <w:t>3</w:t>
      </w:r>
      <w:r w:rsidR="00832460" w:rsidRPr="001C2649">
        <w:rPr>
          <w:rFonts w:asciiTheme="majorBidi" w:hAnsiTheme="majorBidi" w:cstheme="majorBidi"/>
          <w:i w:val="0"/>
          <w:iCs w:val="0"/>
          <w:noProof/>
          <w:color w:val="auto"/>
          <w:sz w:val="22"/>
          <w:szCs w:val="22"/>
        </w:rPr>
        <w:fldChar w:fldCharType="end"/>
      </w:r>
      <w:r w:rsidRPr="001C2649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:</w:t>
      </w:r>
      <w:r w:rsidR="000D21E1" w:rsidRPr="001C2649">
        <w:rPr>
          <w:rFonts w:asciiTheme="majorBidi" w:hAnsiTheme="majorBidi" w:cstheme="majorBidi"/>
          <w:sz w:val="22"/>
          <w:szCs w:val="22"/>
        </w:rPr>
        <w:t xml:space="preserve"> </w:t>
      </w:r>
      <w:r w:rsidR="000D21E1" w:rsidRPr="001C2649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Western blotting records a hypoxia condition (</w:t>
      </w:r>
      <w:r w:rsidR="00244AAF" w:rsidRPr="001C2649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group 1</w:t>
      </w:r>
      <w:r w:rsidR="00177316" w:rsidRPr="001C2649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), </w:t>
      </w:r>
      <w:r w:rsidR="00244AAF" w:rsidRPr="001C2649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injection of miR-21-siRNAs-HVCN1 in GC4-targeted nanoparticles (group2), miR-138-siRNAs- HIF-1a in GC4-targeted nanoparticles (group 3), miR-21-siRNAs-HVCN1 and miR-138-siRNAs-HIF-1a together (group4), and normal group</w:t>
      </w:r>
      <w:r w:rsidR="005E4D37" w:rsidRPr="001C2649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. It was seen the decrease of S100B after injecting of miR-21-siRNAs-HVCN1 and miR-138-siRNAs- HIF-1a (p&gt; 0.001). the amount of HVCN1 in group 1 was decreased, while it was increased in group 2 (p=0.015 and 0.024, respectively). The YKL40 level was increased in 1, 2, and 3 groups, whilst there was unchanged in group 4 (p =0.02 and 0.049). The HIF-1a level was increased in 1, 3, and 4 groups, while it remained unchanged in group 2 (p= 0.035 and 0.05).</w:t>
      </w:r>
      <w:r w:rsidR="005E4D37" w:rsidRPr="001C2649">
        <w:rPr>
          <w:rFonts w:asciiTheme="majorBidi" w:eastAsiaTheme="minorEastAsia" w:hAnsiTheme="majorBidi" w:cstheme="majorBidi"/>
          <w:color w:val="000000" w:themeColor="text1"/>
          <w:kern w:val="24"/>
          <w:sz w:val="22"/>
          <w:szCs w:val="22"/>
        </w:rPr>
        <w:t xml:space="preserve"> </w:t>
      </w:r>
      <w:r w:rsidR="00177316" w:rsidRPr="001C2649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</w:t>
      </w:r>
      <w:r w:rsidR="00244AAF" w:rsidRPr="001C2649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(A). </w:t>
      </w:r>
      <w:r w:rsidR="00734C75" w:rsidRPr="001C2649">
        <w:rPr>
          <w:rFonts w:asciiTheme="majorBidi" w:eastAsiaTheme="minorEastAsia" w:hAnsiTheme="majorBidi" w:cstheme="majorBidi"/>
          <w:i w:val="0"/>
          <w:iCs w:val="0"/>
          <w:color w:val="000000" w:themeColor="text1"/>
          <w:kern w:val="24"/>
          <w:sz w:val="22"/>
          <w:szCs w:val="22"/>
        </w:rPr>
        <w:t xml:space="preserve">Recording of </w:t>
      </w:r>
      <w:r w:rsidR="00832460" w:rsidRPr="001C2649">
        <w:rPr>
          <w:rFonts w:asciiTheme="majorBidi" w:eastAsiaTheme="minorEastAsia" w:hAnsiTheme="majorBidi" w:cstheme="majorBidi"/>
          <w:i w:val="0"/>
          <w:iCs w:val="0"/>
          <w:color w:val="000000" w:themeColor="text1"/>
          <w:kern w:val="24"/>
          <w:sz w:val="22"/>
          <w:szCs w:val="22"/>
        </w:rPr>
        <w:t>epilepsy</w:t>
      </w:r>
      <w:r w:rsidR="00734C75" w:rsidRPr="001C2649">
        <w:rPr>
          <w:rFonts w:asciiTheme="majorBidi" w:eastAsiaTheme="minorEastAsia" w:hAnsiTheme="majorBidi" w:cstheme="majorBidi"/>
          <w:i w:val="0"/>
          <w:iCs w:val="0"/>
          <w:color w:val="000000" w:themeColor="text1"/>
          <w:kern w:val="24"/>
          <w:sz w:val="22"/>
          <w:szCs w:val="22"/>
        </w:rPr>
        <w:t xml:space="preserve"> in mice</w:t>
      </w:r>
      <w:r w:rsidR="00832460" w:rsidRPr="001C2649">
        <w:rPr>
          <w:rFonts w:asciiTheme="majorBidi" w:eastAsiaTheme="minorEastAsia" w:hAnsiTheme="majorBidi" w:cstheme="majorBidi"/>
          <w:i w:val="0"/>
          <w:iCs w:val="0"/>
          <w:color w:val="000000" w:themeColor="text1"/>
          <w:kern w:val="24"/>
          <w:sz w:val="22"/>
          <w:szCs w:val="22"/>
        </w:rPr>
        <w:t xml:space="preserve"> by EEG</w:t>
      </w:r>
      <w:r w:rsidR="005E4D37" w:rsidRPr="001C2649">
        <w:rPr>
          <w:rFonts w:asciiTheme="majorBidi" w:eastAsiaTheme="minorEastAsia" w:hAnsiTheme="majorBidi" w:cstheme="majorBidi"/>
          <w:i w:val="0"/>
          <w:iCs w:val="0"/>
          <w:color w:val="000000" w:themeColor="text1"/>
          <w:kern w:val="24"/>
          <w:sz w:val="22"/>
          <w:szCs w:val="22"/>
        </w:rPr>
        <w:t>.</w:t>
      </w:r>
      <w:r w:rsidR="00832460" w:rsidRPr="001C2649">
        <w:rPr>
          <w:rFonts w:asciiTheme="majorBidi" w:eastAsiaTheme="minorEastAsia" w:hAnsiTheme="majorBidi" w:cstheme="majorBidi"/>
          <w:i w:val="0"/>
          <w:iCs w:val="0"/>
          <w:color w:val="000000" w:themeColor="text1"/>
          <w:kern w:val="24"/>
          <w:sz w:val="22"/>
          <w:szCs w:val="22"/>
        </w:rPr>
        <w:t xml:space="preserve"> </w:t>
      </w:r>
      <w:r w:rsidR="005E4D37" w:rsidRPr="001C2649">
        <w:rPr>
          <w:rFonts w:asciiTheme="majorBidi" w:eastAsiaTheme="minorEastAsia" w:hAnsiTheme="majorBidi" w:cstheme="majorBidi"/>
          <w:i w:val="0"/>
          <w:iCs w:val="0"/>
          <w:color w:val="000000" w:themeColor="text1"/>
          <w:kern w:val="24"/>
          <w:sz w:val="22"/>
          <w:szCs w:val="22"/>
        </w:rPr>
        <w:t xml:space="preserve">It was abnormal discharge and seizure (1) and normal group (2) </w:t>
      </w:r>
      <w:r w:rsidR="00832460" w:rsidRPr="001C2649">
        <w:rPr>
          <w:rFonts w:asciiTheme="majorBidi" w:eastAsiaTheme="minorEastAsia" w:hAnsiTheme="majorBidi" w:cstheme="majorBidi"/>
          <w:i w:val="0"/>
          <w:iCs w:val="0"/>
          <w:color w:val="000000" w:themeColor="text1"/>
          <w:kern w:val="24"/>
          <w:sz w:val="22"/>
          <w:szCs w:val="22"/>
        </w:rPr>
        <w:t xml:space="preserve">(B). The IHC results with </w:t>
      </w:r>
      <w:r w:rsidR="00832460" w:rsidRPr="001C2649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triple-staining for caspase-3 (red fluorescence), neuronal nuclear marker </w:t>
      </w:r>
      <w:proofErr w:type="spellStart"/>
      <w:r w:rsidR="00832460" w:rsidRPr="001C2649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NeuN</w:t>
      </w:r>
      <w:proofErr w:type="spellEnd"/>
      <w:r w:rsidR="00832460" w:rsidRPr="001C2649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(green fluorescence), and nuclear staining (DAPI, blue)</w:t>
      </w:r>
      <w:r w:rsidR="005E4D37" w:rsidRPr="001C2649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. It was </w:t>
      </w:r>
      <w:r w:rsidR="005E4D37" w:rsidRPr="001C2649">
        <w:rPr>
          <w:rFonts w:asciiTheme="majorBidi" w:eastAsiaTheme="minorEastAsia" w:hAnsiTheme="majorBidi" w:cstheme="majorBidi"/>
          <w:i w:val="0"/>
          <w:iCs w:val="0"/>
          <w:color w:val="000000" w:themeColor="text1"/>
          <w:kern w:val="24"/>
          <w:sz w:val="22"/>
          <w:szCs w:val="22"/>
        </w:rPr>
        <w:t xml:space="preserve">showed the decrease of apoptosis cells after injecting </w:t>
      </w:r>
      <w:r w:rsidR="005E4D37" w:rsidRPr="001C2649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miR-21-siRNAs-HVCN1 and miR-138-siRNAs-HIF-1a together into mice (4) compared to hypoxia group (1),</w:t>
      </w:r>
      <w:r w:rsidR="005E4D37" w:rsidRPr="001C2649">
        <w:rPr>
          <w:rFonts w:asciiTheme="majorBidi" w:hAnsiTheme="majorBidi" w:cstheme="majorBidi"/>
          <w:sz w:val="22"/>
          <w:szCs w:val="22"/>
        </w:rPr>
        <w:t xml:space="preserve"> </w:t>
      </w:r>
      <w:r w:rsidR="005E4D37" w:rsidRPr="001C2649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while a slight decrease was seen after injecting miR-21-siRNAs-HVCN1 (2) and miR-138-siRNAs-HIF-1a (3) individually into mice </w:t>
      </w:r>
      <w:r w:rsidR="00700215" w:rsidRPr="001C2649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(C).</w:t>
      </w:r>
      <w:r w:rsidR="00700215" w:rsidRPr="001C2649">
        <w:rPr>
          <w:rFonts w:asciiTheme="majorBidi" w:hAnsiTheme="majorBidi" w:cstheme="majorBidi"/>
          <w:color w:val="auto"/>
          <w:sz w:val="22"/>
          <w:szCs w:val="22"/>
        </w:rPr>
        <w:t xml:space="preserve"> </w:t>
      </w:r>
    </w:p>
    <w:p w:rsidR="007553D0" w:rsidRPr="007553D0" w:rsidRDefault="007553D0" w:rsidP="007553D0"/>
    <w:p w:rsidR="0084522F" w:rsidRDefault="007553D0">
      <w:r>
        <w:rPr>
          <w:noProof/>
        </w:rPr>
        <w:lastRenderedPageBreak/>
        <w:drawing>
          <wp:inline distT="0" distB="0" distL="0" distR="0" wp14:anchorId="66C45712" wp14:editId="75210A8C">
            <wp:extent cx="5943600" cy="33807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80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53D0" w:rsidRPr="007553D0" w:rsidRDefault="007553D0">
      <w:pPr>
        <w:rPr>
          <w:b/>
          <w:bCs/>
        </w:rPr>
      </w:pPr>
      <w:r w:rsidRPr="007553D0">
        <w:rPr>
          <w:b/>
          <w:bCs/>
        </w:rPr>
        <w:t>WESTERN BLOTTING LADDER:</w:t>
      </w:r>
    </w:p>
    <w:p w:rsidR="007553D0" w:rsidRDefault="007553D0">
      <w:r>
        <w:rPr>
          <w:noProof/>
        </w:rPr>
        <w:drawing>
          <wp:inline distT="0" distB="0" distL="0" distR="0" wp14:anchorId="5658E0F1" wp14:editId="4A050582">
            <wp:extent cx="933450" cy="39624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522F" w:rsidRDefault="0084522F"/>
    <w:sectPr w:rsidR="008452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F2A20" w:rsidRDefault="00BF2A20" w:rsidP="005A7FE5">
      <w:pPr>
        <w:spacing w:after="0" w:line="240" w:lineRule="auto"/>
      </w:pPr>
      <w:r>
        <w:separator/>
      </w:r>
    </w:p>
  </w:endnote>
  <w:endnote w:type="continuationSeparator" w:id="0">
    <w:p w:rsidR="00BF2A20" w:rsidRDefault="00BF2A20" w:rsidP="005A7F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F2A20" w:rsidRDefault="00BF2A20" w:rsidP="005A7FE5">
      <w:pPr>
        <w:spacing w:after="0" w:line="240" w:lineRule="auto"/>
      </w:pPr>
      <w:r>
        <w:separator/>
      </w:r>
    </w:p>
  </w:footnote>
  <w:footnote w:type="continuationSeparator" w:id="0">
    <w:p w:rsidR="00BF2A20" w:rsidRDefault="00BF2A20" w:rsidP="005A7F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353E4B"/>
    <w:multiLevelType w:val="hybridMultilevel"/>
    <w:tmpl w:val="290CFE08"/>
    <w:lvl w:ilvl="0" w:tplc="E23834D4">
      <w:start w:val="1"/>
      <w:numFmt w:val="decimal"/>
      <w:lvlText w:val="%1"/>
      <w:lvlJc w:val="left"/>
      <w:pPr>
        <w:ind w:left="3240" w:hanging="28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61186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1801"/>
    <w:rsid w:val="00062A42"/>
    <w:rsid w:val="000D21E1"/>
    <w:rsid w:val="000F1895"/>
    <w:rsid w:val="00107C74"/>
    <w:rsid w:val="00140357"/>
    <w:rsid w:val="0017357B"/>
    <w:rsid w:val="00177316"/>
    <w:rsid w:val="001862D8"/>
    <w:rsid w:val="0019132D"/>
    <w:rsid w:val="001A5C7D"/>
    <w:rsid w:val="001C2649"/>
    <w:rsid w:val="00231057"/>
    <w:rsid w:val="00244AAF"/>
    <w:rsid w:val="00244DE9"/>
    <w:rsid w:val="00261C0A"/>
    <w:rsid w:val="00336743"/>
    <w:rsid w:val="003723DE"/>
    <w:rsid w:val="003877DB"/>
    <w:rsid w:val="00403FAF"/>
    <w:rsid w:val="00455C3B"/>
    <w:rsid w:val="004813DD"/>
    <w:rsid w:val="004F655C"/>
    <w:rsid w:val="00534C6F"/>
    <w:rsid w:val="005624CF"/>
    <w:rsid w:val="005901D0"/>
    <w:rsid w:val="005A7FE5"/>
    <w:rsid w:val="005E4D37"/>
    <w:rsid w:val="0066323E"/>
    <w:rsid w:val="006949FD"/>
    <w:rsid w:val="00700215"/>
    <w:rsid w:val="00734C75"/>
    <w:rsid w:val="007553D0"/>
    <w:rsid w:val="007679D4"/>
    <w:rsid w:val="007A68DA"/>
    <w:rsid w:val="00823F24"/>
    <w:rsid w:val="00832460"/>
    <w:rsid w:val="0084522F"/>
    <w:rsid w:val="008618F0"/>
    <w:rsid w:val="0088593B"/>
    <w:rsid w:val="008F3FE5"/>
    <w:rsid w:val="009927C8"/>
    <w:rsid w:val="009C646D"/>
    <w:rsid w:val="00A11801"/>
    <w:rsid w:val="00AA75F5"/>
    <w:rsid w:val="00B0508E"/>
    <w:rsid w:val="00BA620A"/>
    <w:rsid w:val="00BF2A20"/>
    <w:rsid w:val="00BF4CFA"/>
    <w:rsid w:val="00C16BFA"/>
    <w:rsid w:val="00C421BF"/>
    <w:rsid w:val="00CD2F7A"/>
    <w:rsid w:val="00D07982"/>
    <w:rsid w:val="00D46391"/>
    <w:rsid w:val="00DC2965"/>
    <w:rsid w:val="00E05884"/>
    <w:rsid w:val="00E94657"/>
    <w:rsid w:val="00EC3487"/>
    <w:rsid w:val="00F032EA"/>
    <w:rsid w:val="00F36B6B"/>
    <w:rsid w:val="00F373A8"/>
    <w:rsid w:val="00F85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DB7558-24AF-4B0F-B67E-8C26B6095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6B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4813D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rmalWeb">
    <w:name w:val="Normal (Web)"/>
    <w:basedOn w:val="Normal"/>
    <w:uiPriority w:val="99"/>
    <w:unhideWhenUsed/>
    <w:rsid w:val="00481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fa-IR"/>
    </w:rPr>
  </w:style>
  <w:style w:type="table" w:styleId="TableGrid">
    <w:name w:val="Table Grid"/>
    <w:basedOn w:val="TableNormal"/>
    <w:uiPriority w:val="39"/>
    <w:rsid w:val="00244A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F373A8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373A8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F373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373A8"/>
    <w:pPr>
      <w:spacing w:line="240" w:lineRule="auto"/>
    </w:pPr>
    <w:rPr>
      <w:sz w:val="20"/>
      <w:szCs w:val="20"/>
      <w:lang w:val="en-MY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373A8"/>
    <w:rPr>
      <w:sz w:val="20"/>
      <w:szCs w:val="20"/>
      <w:lang w:val="en-MY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73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3A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A7F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7FE5"/>
  </w:style>
  <w:style w:type="paragraph" w:styleId="Footer">
    <w:name w:val="footer"/>
    <w:basedOn w:val="Normal"/>
    <w:link w:val="FooterChar"/>
    <w:uiPriority w:val="99"/>
    <w:unhideWhenUsed/>
    <w:rsid w:val="005A7F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7F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101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5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2808</TotalTime>
  <Pages>6</Pages>
  <Words>515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pc</cp:lastModifiedBy>
  <cp:revision>8</cp:revision>
  <dcterms:created xsi:type="dcterms:W3CDTF">2022-09-18T03:13:00Z</dcterms:created>
  <dcterms:modified xsi:type="dcterms:W3CDTF">2022-10-29T17:43:00Z</dcterms:modified>
</cp:coreProperties>
</file>