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643C" w:rsidRPr="00B36DD6" w:rsidRDefault="00E7643C" w:rsidP="00E7643C">
      <w:pPr>
        <w:spacing w:before="240" w:after="0" w:line="360" w:lineRule="auto"/>
        <w:jc w:val="both"/>
        <w:rPr>
          <w:rFonts w:asciiTheme="majorBidi" w:hAnsiTheme="majorBidi" w:cstheme="majorBidi"/>
          <w:b/>
          <w:bCs/>
          <w:color w:val="0D0D0D" w:themeColor="text1" w:themeTint="F2"/>
          <w:sz w:val="28"/>
          <w:szCs w:val="28"/>
          <w:lang w:bidi="fa-IR"/>
        </w:rPr>
      </w:pPr>
      <w:r w:rsidRPr="00B36DD6">
        <w:rPr>
          <w:rFonts w:asciiTheme="majorBidi" w:hAnsiTheme="majorBidi" w:cstheme="majorBidi"/>
          <w:b/>
          <w:bCs/>
          <w:color w:val="0D0D0D" w:themeColor="text1" w:themeTint="F2"/>
          <w:sz w:val="28"/>
          <w:szCs w:val="28"/>
          <w:lang w:bidi="fa-IR"/>
        </w:rPr>
        <w:t xml:space="preserve">Appendix </w:t>
      </w:r>
    </w:p>
    <w:p w:rsidR="00E7643C" w:rsidRPr="00B36DD6" w:rsidRDefault="00E7643C" w:rsidP="00E7643C">
      <w:pPr>
        <w:spacing w:line="360" w:lineRule="auto"/>
        <w:jc w:val="both"/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</w:pPr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>As mentioned, combined parameter (</w:t>
      </w:r>
      <w:r w:rsidRPr="00B36DD6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lang w:bidi="fa-IR"/>
        </w:rPr>
        <w:t>CP</w:t>
      </w:r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 xml:space="preserve">) presented as </w:t>
      </w:r>
      <w:r w:rsidRPr="00B36DD6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lang w:bidi="fa-IR"/>
        </w:rPr>
        <w:t>CP</w:t>
      </w:r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 xml:space="preserve"> = </w:t>
      </w:r>
      <w:proofErr w:type="spellStart"/>
      <w:r w:rsidRPr="00B36DD6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lang w:bidi="fa-IR"/>
        </w:rPr>
        <w:t>HI</w:t>
      </w:r>
      <w:r w:rsidRPr="00B36DD6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vertAlign w:val="superscript"/>
          <w:lang w:bidi="fa-IR"/>
        </w:rPr>
        <w:t>n</w:t>
      </w:r>
      <w:r w:rsidRPr="00B36DD6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lang w:bidi="fa-IR"/>
        </w:rPr>
        <w:t>PD</w:t>
      </w:r>
      <w:r w:rsidRPr="00B36DD6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vertAlign w:val="superscript"/>
          <w:lang w:bidi="fa-IR"/>
        </w:rPr>
        <w:t>m</w:t>
      </w:r>
      <w:proofErr w:type="spellEnd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 xml:space="preserve">. To investigate presented methodology with experiment a relation, which also define correlation is defined as </w:t>
      </w:r>
      <w:proofErr w:type="spellStart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>Eq</w:t>
      </w:r>
      <w:proofErr w:type="spellEnd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 xml:space="preserve"> (A).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2"/>
        <w:gridCol w:w="708"/>
      </w:tblGrid>
      <w:tr w:rsidR="00E7643C" w:rsidRPr="00B36DD6" w:rsidTr="00E842C6">
        <w:tc>
          <w:tcPr>
            <w:tcW w:w="8642" w:type="dxa"/>
          </w:tcPr>
          <w:p w:rsidR="00E7643C" w:rsidRPr="00B36DD6" w:rsidRDefault="00E7643C" w:rsidP="00E842C6">
            <w:pPr>
              <w:spacing w:line="360" w:lineRule="auto"/>
              <w:jc w:val="both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position w:val="-12"/>
                <w:sz w:val="24"/>
                <w:szCs w:val="24"/>
              </w:rPr>
              <w:object w:dxaOrig="354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7.75pt;height:18pt" o:ole="">
                  <v:imagedata r:id="rId4" o:title=""/>
                </v:shape>
                <o:OLEObject Type="Embed" ProgID="Equation.DSMT4" ShapeID="_x0000_i1025" DrawAspect="Content" ObjectID="_1674702766" r:id="rId5"/>
              </w:object>
            </w:r>
          </w:p>
        </w:tc>
        <w:tc>
          <w:tcPr>
            <w:tcW w:w="708" w:type="dxa"/>
            <w:vAlign w:val="center"/>
          </w:tcPr>
          <w:p w:rsidR="00E7643C" w:rsidRPr="00B36DD6" w:rsidRDefault="00E7643C" w:rsidP="00E842C6">
            <w:pPr>
              <w:spacing w:line="360" w:lineRule="auto"/>
              <w:jc w:val="right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(A)</w:t>
            </w:r>
          </w:p>
        </w:tc>
      </w:tr>
    </w:tbl>
    <w:p w:rsidR="00E7643C" w:rsidRPr="00B36DD6" w:rsidRDefault="00E7643C" w:rsidP="00E7643C">
      <w:pPr>
        <w:pStyle w:val="Caption"/>
        <w:spacing w:line="360" w:lineRule="auto"/>
        <w:jc w:val="both"/>
        <w:rPr>
          <w:color w:val="0D0D0D" w:themeColor="text1" w:themeTint="F2"/>
          <w:sz w:val="24"/>
          <w:szCs w:val="24"/>
          <w:lang w:bidi="fa-IR"/>
        </w:rPr>
      </w:pPr>
      <w:r w:rsidRPr="00B36DD6">
        <w:rPr>
          <w:color w:val="0D0D0D" w:themeColor="text1" w:themeTint="F2"/>
          <w:sz w:val="24"/>
          <w:szCs w:val="24"/>
        </w:rPr>
        <w:t xml:space="preserve">where </w:t>
      </w:r>
      <w:r w:rsidRPr="00B36DD6">
        <w:rPr>
          <w:i/>
          <w:iCs/>
          <w:color w:val="0D0D0D" w:themeColor="text1" w:themeTint="F2"/>
          <w:sz w:val="24"/>
          <w:szCs w:val="24"/>
        </w:rPr>
        <w:t>P</w:t>
      </w:r>
      <w:r w:rsidRPr="00B36DD6">
        <w:rPr>
          <w:color w:val="0D0D0D" w:themeColor="text1" w:themeTint="F2"/>
          <w:sz w:val="24"/>
          <w:szCs w:val="24"/>
          <w:vertAlign w:val="subscript"/>
        </w:rPr>
        <w:t>1</w:t>
      </w:r>
      <w:r w:rsidRPr="00B36DD6">
        <w:rPr>
          <w:color w:val="0D0D0D" w:themeColor="text1" w:themeTint="F2"/>
          <w:sz w:val="24"/>
          <w:szCs w:val="24"/>
        </w:rPr>
        <w:t xml:space="preserve"> and </w:t>
      </w:r>
      <w:r w:rsidRPr="00B36DD6">
        <w:rPr>
          <w:i/>
          <w:iCs/>
          <w:color w:val="0D0D0D" w:themeColor="text1" w:themeTint="F2"/>
          <w:sz w:val="24"/>
          <w:szCs w:val="24"/>
        </w:rPr>
        <w:t>P</w:t>
      </w:r>
      <w:r w:rsidRPr="00B36DD6">
        <w:rPr>
          <w:color w:val="0D0D0D" w:themeColor="text1" w:themeTint="F2"/>
          <w:sz w:val="24"/>
          <w:szCs w:val="24"/>
          <w:vertAlign w:val="subscript"/>
        </w:rPr>
        <w:t>2</w:t>
      </w:r>
      <w:r w:rsidRPr="00B36DD6">
        <w:rPr>
          <w:color w:val="0D0D0D" w:themeColor="text1" w:themeTint="F2"/>
          <w:sz w:val="24"/>
          <w:szCs w:val="24"/>
        </w:rPr>
        <w:t xml:space="preserve"> are constants, which interpret the </w:t>
      </w:r>
      <w:r w:rsidRPr="00B36DD6">
        <w:rPr>
          <w:color w:val="0D0D0D" w:themeColor="text1" w:themeTint="F2"/>
          <w:sz w:val="24"/>
          <w:szCs w:val="24"/>
          <w:lang w:bidi="fa-IR"/>
        </w:rPr>
        <w:t xml:space="preserve">slope and intercept of the fitted line. The introduced constants are provided in Table </w:t>
      </w:r>
      <w:r>
        <w:rPr>
          <w:color w:val="0D0D0D" w:themeColor="text1" w:themeTint="F2"/>
          <w:sz w:val="24"/>
          <w:szCs w:val="24"/>
          <w:lang w:bidi="fa-IR"/>
        </w:rPr>
        <w:t>8</w:t>
      </w:r>
      <w:r w:rsidRPr="00B36DD6">
        <w:rPr>
          <w:color w:val="0D0D0D" w:themeColor="text1" w:themeTint="F2"/>
          <w:sz w:val="24"/>
          <w:szCs w:val="24"/>
          <w:lang w:bidi="fa-IR"/>
        </w:rPr>
        <w:t>.</w:t>
      </w:r>
    </w:p>
    <w:p w:rsidR="00E7643C" w:rsidRPr="00B36DD6" w:rsidRDefault="00E7643C" w:rsidP="00E7643C">
      <w:pPr>
        <w:spacing w:after="0"/>
        <w:jc w:val="center"/>
        <w:rPr>
          <w:rFonts w:asciiTheme="majorBidi" w:hAnsiTheme="majorBidi" w:cstheme="majorBidi"/>
          <w:color w:val="0D0D0D" w:themeColor="text1" w:themeTint="F2"/>
          <w:sz w:val="20"/>
          <w:szCs w:val="20"/>
          <w:lang w:bidi="fa-IR"/>
        </w:rPr>
      </w:pPr>
      <w:r w:rsidRPr="00B36DD6">
        <w:rPr>
          <w:rFonts w:asciiTheme="majorBidi" w:hAnsiTheme="majorBidi" w:cstheme="majorBidi"/>
          <w:color w:val="0D0D0D" w:themeColor="text1" w:themeTint="F2"/>
          <w:sz w:val="20"/>
          <w:szCs w:val="20"/>
          <w:lang w:bidi="fa-IR"/>
        </w:rPr>
        <w:t xml:space="preserve">Table </w:t>
      </w:r>
      <w:r>
        <w:rPr>
          <w:rFonts w:asciiTheme="majorBidi" w:hAnsiTheme="majorBidi" w:cstheme="majorBidi"/>
          <w:color w:val="0D0D0D" w:themeColor="text1" w:themeTint="F2"/>
          <w:sz w:val="20"/>
          <w:szCs w:val="20"/>
          <w:lang w:bidi="fa-IR"/>
        </w:rPr>
        <w:t>8</w:t>
      </w:r>
      <w:r w:rsidRPr="00B36DD6">
        <w:rPr>
          <w:rFonts w:asciiTheme="majorBidi" w:hAnsiTheme="majorBidi" w:cstheme="majorBidi"/>
          <w:color w:val="0D0D0D" w:themeColor="text1" w:themeTint="F2"/>
          <w:sz w:val="20"/>
          <w:szCs w:val="20"/>
          <w:lang w:bidi="fa-IR"/>
        </w:rPr>
        <w:t xml:space="preserve">. The constants of presented </w:t>
      </w:r>
      <w:r w:rsidRPr="00B36DD6">
        <w:rPr>
          <w:rFonts w:asciiTheme="majorBidi" w:hAnsiTheme="majorBidi" w:cstheme="majorBidi"/>
          <w:i/>
          <w:iCs/>
          <w:color w:val="0D0D0D" w:themeColor="text1" w:themeTint="F2"/>
          <w:sz w:val="20"/>
          <w:szCs w:val="20"/>
          <w:lang w:bidi="fa-IR"/>
        </w:rPr>
        <w:t>CP</w:t>
      </w:r>
      <w:r w:rsidRPr="00B36DD6">
        <w:rPr>
          <w:rFonts w:asciiTheme="majorBidi" w:hAnsiTheme="majorBidi" w:cstheme="majorBidi"/>
          <w:color w:val="0D0D0D" w:themeColor="text1" w:themeTint="F2"/>
          <w:sz w:val="20"/>
          <w:szCs w:val="20"/>
          <w:lang w:bidi="fa-IR"/>
        </w:rPr>
        <w:t xml:space="preserve"> for weld width, penetration-to-width ratio, distortion and fracture load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0"/>
        <w:gridCol w:w="1867"/>
        <w:gridCol w:w="1868"/>
        <w:gridCol w:w="1867"/>
        <w:gridCol w:w="1868"/>
      </w:tblGrid>
      <w:tr w:rsidR="00E7643C" w:rsidRPr="00B36DD6" w:rsidTr="00E842C6"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  <w:lang w:bidi="fa-IR"/>
              </w:rPr>
              <w:t>CP parameters</w:t>
            </w:r>
            <w:r w:rsidRPr="00B36DD6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  <w:lang w:bidi="fa-IR"/>
              </w:rPr>
              <w:sym w:font="Symbol" w:char="F0AE"/>
            </w:r>
          </w:p>
          <w:p w:rsidR="00E7643C" w:rsidRPr="00B36DD6" w:rsidRDefault="00E7643C" w:rsidP="00E842C6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  <w:lang w:bidi="fa-IR"/>
              </w:rPr>
              <w:t>Weld properties</w:t>
            </w:r>
            <w:r w:rsidRPr="00B36DD6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  <w:lang w:bidi="fa-IR"/>
              </w:rPr>
              <w:sym w:font="Symbol" w:char="F0AF"/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  <w:t>n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  <w:t>m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  <w:t>P</w:t>
            </w:r>
            <w:r w:rsidRPr="00B36DD6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  <w:vertAlign w:val="subscript"/>
                <w:lang w:bidi="fa-IR"/>
              </w:rPr>
              <w:t>1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  <w:t>P</w:t>
            </w:r>
            <w:r w:rsidRPr="00B36DD6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0"/>
                <w:szCs w:val="20"/>
                <w:vertAlign w:val="subscript"/>
                <w:lang w:bidi="fa-IR"/>
              </w:rPr>
              <w:t>2</w:t>
            </w:r>
          </w:p>
        </w:tc>
      </w:tr>
      <w:tr w:rsidR="00E7643C" w:rsidRPr="00B36DD6" w:rsidTr="00E842C6"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  <w:t>D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4.2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-1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0.003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-16.3</w:t>
            </w:r>
          </w:p>
        </w:tc>
      </w:tr>
      <w:tr w:rsidR="00E7643C" w:rsidRPr="00B36DD6" w:rsidTr="00E842C6"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  <w:t>W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4.7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6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-3.44×10</w:t>
            </w: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vertAlign w:val="superscript"/>
                <w:lang w:bidi="fa-IR"/>
              </w:rPr>
              <w:t>-25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1972</w:t>
            </w:r>
          </w:p>
        </w:tc>
      </w:tr>
      <w:tr w:rsidR="00E7643C" w:rsidRPr="00B36DD6" w:rsidTr="00E842C6"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  <w:t>PW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1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2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3.42×10</w:t>
            </w: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vertAlign w:val="superscript"/>
                <w:lang w:bidi="fa-IR"/>
              </w:rPr>
              <w:t>-7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43.86</w:t>
            </w:r>
          </w:p>
        </w:tc>
      </w:tr>
      <w:tr w:rsidR="00E7643C" w:rsidRPr="00B36DD6" w:rsidTr="00E842C6"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0"/>
                <w:szCs w:val="20"/>
                <w:lang w:bidi="fa-IR"/>
              </w:rPr>
              <w:t>F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0.1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8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Courier New" w:hAnsi="Courier New" w:cs="Courier New"/>
                <w:color w:val="0D0D0D" w:themeColor="text1" w:themeTint="F2"/>
                <w:sz w:val="24"/>
                <w:szCs w:val="24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3.446</w:t>
            </w: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×10</w:t>
            </w: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vertAlign w:val="superscript"/>
                <w:lang w:bidi="fa-IR"/>
              </w:rPr>
              <w:t>-26</w:t>
            </w:r>
          </w:p>
        </w:tc>
        <w:tc>
          <w:tcPr>
            <w:tcW w:w="1868" w:type="dxa"/>
            <w:tcBorders>
              <w:top w:val="single" w:sz="4" w:space="0" w:color="auto"/>
              <w:bottom w:val="single" w:sz="4" w:space="0" w:color="auto"/>
            </w:tcBorders>
          </w:tcPr>
          <w:p w:rsidR="00E7643C" w:rsidRPr="00B36DD6" w:rsidRDefault="00E7643C" w:rsidP="00E842C6">
            <w:pPr>
              <w:spacing w:line="360" w:lineRule="auto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B36DD6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5.112</w:t>
            </w:r>
          </w:p>
        </w:tc>
      </w:tr>
    </w:tbl>
    <w:p w:rsidR="00E7643C" w:rsidRPr="00B36DD6" w:rsidRDefault="00E7643C" w:rsidP="00E7643C">
      <w:pPr>
        <w:spacing w:line="360" w:lineRule="auto"/>
        <w:jc w:val="both"/>
        <w:rPr>
          <w:rFonts w:asciiTheme="majorBidi" w:hAnsiTheme="majorBidi" w:cstheme="majorBidi"/>
          <w:color w:val="0D0D0D" w:themeColor="text1" w:themeTint="F2"/>
        </w:rPr>
      </w:pPr>
    </w:p>
    <w:p w:rsidR="00E7643C" w:rsidRPr="00B36DD6" w:rsidRDefault="00E7643C" w:rsidP="00E7643C">
      <w:pPr>
        <w:spacing w:after="0" w:line="276" w:lineRule="auto"/>
        <w:jc w:val="both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lang w:bidi="fa-IR"/>
        </w:rPr>
      </w:pPr>
      <w:r w:rsidRPr="00B36DD6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lang w:bidi="fa-IR"/>
        </w:rPr>
        <w:t>Acknowledgment</w:t>
      </w:r>
    </w:p>
    <w:p w:rsidR="00E7643C" w:rsidRDefault="00E7643C" w:rsidP="00E7643C">
      <w:pPr>
        <w:spacing w:line="360" w:lineRule="auto"/>
        <w:jc w:val="both"/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</w:pPr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 xml:space="preserve">Firstly, this study was provided under fund support of </w:t>
      </w:r>
      <w:proofErr w:type="spellStart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>Taha</w:t>
      </w:r>
      <w:proofErr w:type="spellEnd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 xml:space="preserve"> </w:t>
      </w:r>
      <w:proofErr w:type="spellStart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>Ghaleb</w:t>
      </w:r>
      <w:proofErr w:type="spellEnd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 xml:space="preserve"> </w:t>
      </w:r>
      <w:proofErr w:type="spellStart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>Toos</w:t>
      </w:r>
      <w:proofErr w:type="spellEnd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 xml:space="preserve"> (TGT) Co. through grant number of LEW: 2020-1-A. A special thanks to TGT Co. because of both spiritual and financial</w:t>
      </w:r>
      <w:r w:rsidRPr="00B36DD6">
        <w:rPr>
          <w:rFonts w:asciiTheme="majorBidi" w:hAnsiTheme="majorBidi" w:cstheme="majorBidi" w:hint="cs"/>
          <w:color w:val="0D0D0D" w:themeColor="text1" w:themeTint="F2"/>
          <w:sz w:val="24"/>
          <w:szCs w:val="24"/>
          <w:rtl/>
          <w:lang w:bidi="fa-IR"/>
        </w:rPr>
        <w:t xml:space="preserve"> </w:t>
      </w:r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 xml:space="preserve">supports during all parts of preparation of presented paper. Secondly, the authors would like to express appreciation to </w:t>
      </w:r>
      <w:proofErr w:type="spellStart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>Mr</w:t>
      </w:r>
      <w:proofErr w:type="spellEnd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 xml:space="preserve"> Ali </w:t>
      </w:r>
      <w:proofErr w:type="spellStart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>Ehteshami</w:t>
      </w:r>
      <w:proofErr w:type="spellEnd"/>
      <w:r w:rsidRPr="00B36DD6">
        <w:rPr>
          <w:rFonts w:asciiTheme="majorBidi" w:hAnsiTheme="majorBidi" w:cstheme="majorBidi"/>
          <w:color w:val="0D0D0D" w:themeColor="text1" w:themeTint="F2"/>
          <w:sz w:val="24"/>
          <w:szCs w:val="24"/>
          <w:lang w:bidi="fa-IR"/>
        </w:rPr>
        <w:t xml:space="preserve"> who was good adviser to presented paper. </w:t>
      </w:r>
    </w:p>
    <w:p w:rsidR="00E7643C" w:rsidRPr="00B36DD6" w:rsidRDefault="00E7643C" w:rsidP="00E7643C">
      <w:pPr>
        <w:spacing w:line="360" w:lineRule="auto"/>
        <w:jc w:val="both"/>
        <w:rPr>
          <w:rFonts w:asciiTheme="majorBidi" w:hAnsiTheme="majorBidi" w:cstheme="majorBidi"/>
          <w:color w:val="0D0D0D" w:themeColor="text1" w:themeTint="F2"/>
        </w:rPr>
      </w:pPr>
    </w:p>
    <w:p w:rsidR="00E7643C" w:rsidRPr="00B36DD6" w:rsidRDefault="00E7643C" w:rsidP="00E7643C">
      <w:pPr>
        <w:spacing w:line="360" w:lineRule="auto"/>
        <w:jc w:val="both"/>
        <w:rPr>
          <w:rFonts w:asciiTheme="majorBidi" w:hAnsiTheme="majorBidi" w:cstheme="majorBidi"/>
          <w:color w:val="0D0D0D" w:themeColor="text1" w:themeTint="F2"/>
        </w:rPr>
      </w:pPr>
    </w:p>
    <w:p w:rsidR="00D56072" w:rsidRDefault="00D56072">
      <w:bookmarkStart w:id="0" w:name="_GoBack"/>
      <w:bookmarkEnd w:id="0"/>
    </w:p>
    <w:sectPr w:rsidR="00D56072" w:rsidSect="00E7643C">
      <w:headerReference w:type="default" r:id="rId6"/>
      <w:footnotePr>
        <w:numFmt w:val="chicago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52E8" w:rsidRDefault="00E7643C" w:rsidP="00746270">
    <w:pPr>
      <w:pStyle w:val="Header"/>
    </w:pPr>
  </w:p>
  <w:p w:rsidR="006052E8" w:rsidRPr="00ED17BF" w:rsidRDefault="00E7643C" w:rsidP="00746270">
    <w:pPr>
      <w:pStyle w:val="Header"/>
      <w:rPr>
        <w:rFonts w:asciiTheme="majorBidi" w:hAnsiTheme="majorBidi" w:cstheme="majorBidi"/>
        <w:b/>
        <w:bCs/>
        <w:sz w:val="36"/>
        <w:szCs w:val="3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43C"/>
    <w:rsid w:val="00D56072"/>
    <w:rsid w:val="00E7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150F60-B206-45A6-9B72-CB46AEB71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64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6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76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643C"/>
  </w:style>
  <w:style w:type="paragraph" w:styleId="Caption">
    <w:name w:val="caption"/>
    <w:basedOn w:val="Normal"/>
    <w:next w:val="Normal"/>
    <w:uiPriority w:val="35"/>
    <w:unhideWhenUsed/>
    <w:qFormat/>
    <w:rsid w:val="00E7643C"/>
    <w:pPr>
      <w:spacing w:after="0" w:line="276" w:lineRule="auto"/>
      <w:jc w:val="center"/>
    </w:pPr>
    <w:rPr>
      <w:rFonts w:asciiTheme="majorBidi" w:hAnsiTheme="majorBid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857</Characters>
  <Application>Microsoft Office Word</Application>
  <DocSecurity>0</DocSecurity>
  <Lines>7</Lines>
  <Paragraphs>2</Paragraphs>
  <ScaleCrop>false</ScaleCrop>
  <Company>Springer Nature IT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2021-02-13T00:56:00Z</dcterms:created>
  <dcterms:modified xsi:type="dcterms:W3CDTF">2021-02-13T00:56:00Z</dcterms:modified>
</cp:coreProperties>
</file>