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887E" w14:textId="77777777" w:rsidR="00B63D4A" w:rsidRPr="00BA238A" w:rsidRDefault="00B63D4A" w:rsidP="00B63D4A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lang w:eastAsia="it-IT"/>
        </w:rPr>
      </w:pPr>
      <w:bookmarkStart w:id="0" w:name="OLE_LINK3"/>
      <w:r w:rsidRPr="00BA238A">
        <w:rPr>
          <w:rFonts w:asciiTheme="majorBidi" w:eastAsia="Times New Roman" w:hAnsiTheme="majorBidi" w:cstheme="majorBidi"/>
          <w:b/>
          <w:bCs/>
          <w:sz w:val="28"/>
          <w:szCs w:val="28"/>
          <w:lang w:eastAsia="it-IT"/>
        </w:rPr>
        <w:t xml:space="preserve">Nrf2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it-IT"/>
        </w:rPr>
        <w:t xml:space="preserve">is predominantly expressed </w:t>
      </w:r>
      <w:r w:rsidRPr="00BA238A">
        <w:rPr>
          <w:rFonts w:asciiTheme="majorBidi" w:eastAsia="Times New Roman" w:hAnsiTheme="majorBidi" w:cstheme="majorBidi"/>
          <w:b/>
          <w:bCs/>
          <w:sz w:val="28"/>
          <w:szCs w:val="28"/>
          <w:lang w:eastAsia="it-IT"/>
        </w:rPr>
        <w:t xml:space="preserve">in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it-IT"/>
        </w:rPr>
        <w:t xml:space="preserve">hippocampal </w:t>
      </w:r>
      <w:r w:rsidRPr="00BA238A">
        <w:rPr>
          <w:rFonts w:asciiTheme="majorBidi" w:eastAsia="Times New Roman" w:hAnsiTheme="majorBidi" w:cstheme="majorBidi"/>
          <w:b/>
          <w:bCs/>
          <w:sz w:val="28"/>
          <w:szCs w:val="28"/>
          <w:lang w:eastAsia="it-IT"/>
        </w:rPr>
        <w:t>neurons in a rat model of temporal lobe epilepsy</w:t>
      </w:r>
    </w:p>
    <w:bookmarkEnd w:id="0"/>
    <w:p w14:paraId="09D4C511" w14:textId="4112B86E" w:rsidR="009C2DEF" w:rsidRPr="009B1B53" w:rsidRDefault="009C2DEF" w:rsidP="009C2DEF">
      <w:pPr>
        <w:pStyle w:val="MDPI13authornames"/>
        <w:spacing w:line="360" w:lineRule="auto"/>
        <w:jc w:val="both"/>
        <w:rPr>
          <w:rFonts w:asciiTheme="majorBidi" w:hAnsiTheme="majorBidi" w:cstheme="majorBidi"/>
          <w:b w:val="0"/>
          <w:bCs/>
          <w:sz w:val="24"/>
          <w:szCs w:val="24"/>
        </w:rPr>
      </w:pPr>
      <w:r w:rsidRPr="00AA5F9F">
        <w:rPr>
          <w:rFonts w:asciiTheme="majorBidi" w:hAnsiTheme="majorBidi" w:cstheme="majorBidi"/>
          <w:b w:val="0"/>
          <w:bCs/>
          <w:sz w:val="24"/>
          <w:szCs w:val="24"/>
        </w:rPr>
        <w:t>Sereen Sandouka</w:t>
      </w:r>
      <w:r w:rsidRPr="00AA5F9F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 w:val="0"/>
          <w:bCs/>
          <w:sz w:val="24"/>
          <w:szCs w:val="24"/>
        </w:rPr>
        <w:t>, A</w:t>
      </w:r>
      <w:r w:rsidRPr="00AA5F9F">
        <w:rPr>
          <w:rFonts w:asciiTheme="majorBidi" w:hAnsiTheme="majorBidi" w:cstheme="majorBidi"/>
          <w:b w:val="0"/>
          <w:bCs/>
          <w:sz w:val="24"/>
          <w:szCs w:val="24"/>
        </w:rPr>
        <w:t>seel Saadi</w:t>
      </w:r>
      <w:r w:rsidRPr="00AA5F9F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 xml:space="preserve"> 1</w:t>
      </w:r>
      <w:r>
        <w:rPr>
          <w:rFonts w:asciiTheme="majorBidi" w:hAnsiTheme="majorBidi" w:cstheme="majorBidi"/>
          <w:b w:val="0"/>
          <w:bCs/>
          <w:sz w:val="24"/>
          <w:szCs w:val="24"/>
        </w:rPr>
        <w:t>,</w:t>
      </w:r>
      <w:r w:rsidR="00BD06A9" w:rsidRPr="00BD06A9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 w:rsidR="00BD06A9" w:rsidRPr="008A7B1E">
        <w:rPr>
          <w:rFonts w:asciiTheme="majorBidi" w:hAnsiTheme="majorBidi" w:cstheme="majorBidi"/>
          <w:b w:val="0"/>
          <w:bCs/>
          <w:sz w:val="24"/>
          <w:szCs w:val="24"/>
        </w:rPr>
        <w:t>Prince Kumar Singh</w:t>
      </w:r>
      <w:r w:rsidR="00BD06A9" w:rsidRPr="008A7B1E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1</w:t>
      </w:r>
      <w:r w:rsidR="00BD06A9">
        <w:rPr>
          <w:rFonts w:asciiTheme="majorBidi" w:hAnsiTheme="majorBidi" w:cstheme="majorBidi"/>
          <w:b w:val="0"/>
          <w:bCs/>
          <w:sz w:val="24"/>
          <w:szCs w:val="24"/>
        </w:rPr>
        <w:t>,</w:t>
      </w:r>
      <w:r>
        <w:rPr>
          <w:rFonts w:asciiTheme="majorBidi" w:hAnsiTheme="majorBidi" w:cstheme="majorBidi"/>
          <w:b w:val="0"/>
          <w:bCs/>
          <w:sz w:val="24"/>
          <w:szCs w:val="24"/>
        </w:rPr>
        <w:t xml:space="preserve"> Rhoda Olowe</w:t>
      </w:r>
      <w:r w:rsidRPr="00AA5F9F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1</w:t>
      </w:r>
      <w:r w:rsidRPr="00AA5F9F">
        <w:rPr>
          <w:rFonts w:asciiTheme="majorBidi" w:hAnsiTheme="majorBidi" w:cstheme="majorBidi"/>
          <w:b w:val="0"/>
          <w:bCs/>
          <w:sz w:val="24"/>
          <w:szCs w:val="24"/>
        </w:rPr>
        <w:t>, Tawfeeq Shekh-Ahmad</w:t>
      </w:r>
      <w:r w:rsidRPr="00AA5F9F">
        <w:rPr>
          <w:rFonts w:asciiTheme="majorBidi" w:hAnsiTheme="majorBidi" w:cstheme="majorBidi"/>
          <w:b w:val="0"/>
          <w:bCs/>
          <w:sz w:val="24"/>
          <w:szCs w:val="24"/>
          <w:vertAlign w:val="superscript"/>
        </w:rPr>
        <w:t>1</w:t>
      </w:r>
      <w:r w:rsidRPr="00AA5F9F">
        <w:rPr>
          <w:rFonts w:asciiTheme="majorBidi" w:hAnsiTheme="majorBidi" w:cstheme="majorBidi"/>
          <w:sz w:val="24"/>
          <w:szCs w:val="24"/>
        </w:rPr>
        <w:t>*</w:t>
      </w:r>
    </w:p>
    <w:p w14:paraId="4298E149" w14:textId="77777777" w:rsidR="009C2DEF" w:rsidRDefault="009C2DEF" w:rsidP="009C2DE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A5F9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A5F9F">
        <w:rPr>
          <w:rFonts w:asciiTheme="majorBidi" w:hAnsiTheme="majorBidi" w:cstheme="majorBidi"/>
          <w:sz w:val="24"/>
          <w:szCs w:val="24"/>
        </w:rPr>
        <w:t>The Institute for Drug Research, The School of Pharmacy, Faculty of Medicine, The Hebrew University of Jerusalem, Jerusalem, Israel – 91120.</w:t>
      </w:r>
    </w:p>
    <w:p w14:paraId="7E078BA0" w14:textId="77777777" w:rsidR="009C2DEF" w:rsidRPr="00AA5F9F" w:rsidRDefault="009C2DEF" w:rsidP="009C2DEF">
      <w:pPr>
        <w:spacing w:line="360" w:lineRule="auto"/>
        <w:jc w:val="both"/>
        <w:rPr>
          <w:rStyle w:val="Hyperlink"/>
          <w:rFonts w:asciiTheme="majorBidi" w:hAnsiTheme="majorBidi" w:cstheme="majorBidi"/>
          <w:sz w:val="24"/>
          <w:szCs w:val="24"/>
        </w:rPr>
      </w:pPr>
      <w:r w:rsidRPr="00AA5F9F">
        <w:rPr>
          <w:rFonts w:asciiTheme="majorBidi" w:hAnsiTheme="majorBidi" w:cstheme="majorBidi"/>
          <w:sz w:val="24"/>
          <w:szCs w:val="24"/>
        </w:rPr>
        <w:t xml:space="preserve">*Correspondence: Tawfeeq Shekh-Ahmad, The Institute for Drug Research, The School of Pharmacy, Faculty of Medicine, The Hebrew University of Jerusalem, Jerusalem, Israel – 91120. E-mail: </w:t>
      </w:r>
      <w:hyperlink r:id="rId4" w:history="1">
        <w:r w:rsidRPr="00AA5F9F">
          <w:rPr>
            <w:rStyle w:val="Hyperlink"/>
            <w:rFonts w:asciiTheme="majorBidi" w:hAnsiTheme="majorBidi" w:cstheme="majorBidi"/>
            <w:sz w:val="24"/>
            <w:szCs w:val="24"/>
          </w:rPr>
          <w:t>Tawfeeq.Shekh-Ahmad@mail.huji.ac.il</w:t>
        </w:r>
      </w:hyperlink>
    </w:p>
    <w:p w14:paraId="400EFA8D" w14:textId="3EA33130" w:rsidR="009C2DEF" w:rsidRDefault="009C2DEF"/>
    <w:p w14:paraId="15A2E52B" w14:textId="253E5739" w:rsidR="00E45B0A" w:rsidRDefault="00E45B0A"/>
    <w:p w14:paraId="63A4ECD0" w14:textId="491DCFDD" w:rsidR="00E45B0A" w:rsidRDefault="00E45B0A"/>
    <w:p w14:paraId="17BC2522" w14:textId="27E946A5" w:rsidR="00E45B0A" w:rsidRDefault="00E45B0A"/>
    <w:p w14:paraId="3B47F1BF" w14:textId="52120301" w:rsidR="00E45B0A" w:rsidRDefault="00E45B0A"/>
    <w:p w14:paraId="180A164E" w14:textId="5606791D" w:rsidR="00E45B0A" w:rsidRDefault="00E45B0A"/>
    <w:p w14:paraId="51613203" w14:textId="18C88D2F" w:rsidR="00E45B0A" w:rsidRDefault="00E45B0A"/>
    <w:p w14:paraId="60DD13B9" w14:textId="1C4A7D45" w:rsidR="00E45B0A" w:rsidRDefault="00E45B0A"/>
    <w:p w14:paraId="70B48A78" w14:textId="59310598" w:rsidR="00E45B0A" w:rsidRDefault="00E45B0A"/>
    <w:p w14:paraId="48B0768E" w14:textId="34C0F35D" w:rsidR="00E45B0A" w:rsidRDefault="00E45B0A"/>
    <w:p w14:paraId="6944FF17" w14:textId="16FAFA10" w:rsidR="00E45B0A" w:rsidRDefault="00E45B0A"/>
    <w:p w14:paraId="3557F016" w14:textId="09A23F48" w:rsidR="00E45B0A" w:rsidRDefault="00E45B0A"/>
    <w:p w14:paraId="306264FB" w14:textId="49C8B106" w:rsidR="00E45B0A" w:rsidRDefault="00E45B0A"/>
    <w:p w14:paraId="333C03BB" w14:textId="2067DA87" w:rsidR="00E45B0A" w:rsidRDefault="00E45B0A"/>
    <w:p w14:paraId="4B372C5B" w14:textId="1EAD8B8F" w:rsidR="00E45B0A" w:rsidRDefault="00E45B0A"/>
    <w:p w14:paraId="02CFA107" w14:textId="7261463B" w:rsidR="00E45B0A" w:rsidRDefault="00E45B0A"/>
    <w:p w14:paraId="18D04A96" w14:textId="09CA1E5C" w:rsidR="00E45B0A" w:rsidRDefault="00E45B0A"/>
    <w:p w14:paraId="29FB55F0" w14:textId="2A1C999A" w:rsidR="00E45B0A" w:rsidRDefault="00E45B0A"/>
    <w:p w14:paraId="263D7260" w14:textId="1E59A704" w:rsidR="00E45B0A" w:rsidRDefault="00E45B0A"/>
    <w:p w14:paraId="70690BA2" w14:textId="08F03520" w:rsidR="00E45B0A" w:rsidRDefault="00E45B0A"/>
    <w:p w14:paraId="0232B610" w14:textId="6E7F4872" w:rsidR="00E45B0A" w:rsidRDefault="00E45B0A"/>
    <w:p w14:paraId="240B25F2" w14:textId="5ABB67F0" w:rsidR="00E45B0A" w:rsidRDefault="00E45B0A"/>
    <w:p w14:paraId="628F56C6" w14:textId="3000DC0C" w:rsidR="00E45B0A" w:rsidRDefault="00E45B0A"/>
    <w:p w14:paraId="2C068457" w14:textId="110FB821" w:rsidR="00E45B0A" w:rsidRDefault="00E45B0A"/>
    <w:p w14:paraId="23177825" w14:textId="367F5876" w:rsidR="00E45B0A" w:rsidRDefault="00E74443">
      <w:r>
        <w:rPr>
          <w:noProof/>
        </w:rPr>
        <w:drawing>
          <wp:inline distT="0" distB="0" distL="0" distR="0" wp14:anchorId="2629C284" wp14:editId="00D19106">
            <wp:extent cx="5731510" cy="52324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C283" w14:textId="184249DB" w:rsidR="00E45B0A" w:rsidRPr="00E74443" w:rsidRDefault="00E45B0A">
      <w:pPr>
        <w:rPr>
          <w:b/>
          <w:bCs/>
          <w:sz w:val="24"/>
          <w:szCs w:val="24"/>
        </w:rPr>
      </w:pPr>
      <w:r w:rsidRPr="00E74443">
        <w:rPr>
          <w:b/>
          <w:bCs/>
          <w:sz w:val="24"/>
          <w:szCs w:val="24"/>
        </w:rPr>
        <w:t>Supplementary Figure 1</w:t>
      </w:r>
    </w:p>
    <w:p w14:paraId="42181BB8" w14:textId="61F70B9E" w:rsidR="00BD06A9" w:rsidRPr="00BD06A9" w:rsidRDefault="00BD06A9" w:rsidP="00BD06A9">
      <w:pPr>
        <w:spacing w:line="276" w:lineRule="auto"/>
        <w:jc w:val="both"/>
        <w:rPr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Temporal</w:t>
      </w:r>
      <w:r w:rsidRPr="000A70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605B" w:rsidRPr="000A70E9">
        <w:rPr>
          <w:rFonts w:asciiTheme="majorBidi" w:hAnsiTheme="majorBidi" w:cstheme="majorBidi"/>
          <w:b/>
          <w:bCs/>
          <w:sz w:val="24"/>
          <w:szCs w:val="24"/>
        </w:rPr>
        <w:t xml:space="preserve">mRNA </w:t>
      </w:r>
      <w:r w:rsidRPr="000A70E9">
        <w:rPr>
          <w:rFonts w:asciiTheme="majorBidi" w:hAnsiTheme="majorBidi" w:cstheme="majorBidi"/>
          <w:b/>
          <w:bCs/>
          <w:sz w:val="24"/>
          <w:szCs w:val="24"/>
        </w:rPr>
        <w:t>expression of Nrf2 downstream target genes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SimSun" w:hAnsiTheme="majorBidi" w:cstheme="majorBidi"/>
          <w:b/>
          <w:bCs/>
          <w:noProof/>
          <w:color w:val="000000"/>
          <w:sz w:val="24"/>
          <w:szCs w:val="24"/>
          <w:lang w:val="en-GB" w:eastAsia="zh-CN"/>
        </w:rPr>
        <w:t>during late epileptic phase</w:t>
      </w:r>
      <w:r w:rsidRPr="000A70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03827">
        <w:rPr>
          <w:rFonts w:asciiTheme="majorBidi" w:hAnsiTheme="majorBidi" w:cstheme="majorBidi"/>
          <w:sz w:val="24"/>
          <w:szCs w:val="24"/>
        </w:rPr>
        <w:t xml:space="preserve"> (A) heme oxygenase-1 [HO-1], (B)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038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03827">
        <w:rPr>
          <w:rFonts w:asciiTheme="majorBidi" w:hAnsiTheme="majorBidi" w:cstheme="majorBidi"/>
          <w:sz w:val="24"/>
          <w:szCs w:val="24"/>
        </w:rPr>
        <w:t>Sulfiredoxin</w:t>
      </w:r>
      <w:proofErr w:type="spellEnd"/>
      <w:r w:rsidRPr="0050382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[</w:t>
      </w:r>
      <w:proofErr w:type="spellStart"/>
      <w:r w:rsidRPr="00503827">
        <w:rPr>
          <w:rFonts w:asciiTheme="majorBidi" w:hAnsiTheme="majorBidi" w:cstheme="majorBidi"/>
          <w:sz w:val="24"/>
          <w:szCs w:val="24"/>
        </w:rPr>
        <w:t>Srxn</w:t>
      </w:r>
      <w:proofErr w:type="spellEnd"/>
      <w:r>
        <w:rPr>
          <w:rFonts w:asciiTheme="majorBidi" w:hAnsiTheme="majorBidi" w:cstheme="majorBidi"/>
          <w:sz w:val="24"/>
          <w:szCs w:val="24"/>
        </w:rPr>
        <w:t>],</w:t>
      </w:r>
      <w:r w:rsidRPr="00503827">
        <w:rPr>
          <w:rFonts w:asciiTheme="majorBidi" w:hAnsiTheme="majorBidi" w:cstheme="majorBidi"/>
          <w:sz w:val="24"/>
          <w:szCs w:val="24"/>
        </w:rPr>
        <w:t xml:space="preserve"> (C)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03827">
        <w:rPr>
          <w:rFonts w:asciiTheme="majorBidi" w:hAnsiTheme="majorBidi" w:cstheme="majorBidi"/>
          <w:sz w:val="24"/>
          <w:szCs w:val="24"/>
        </w:rPr>
        <w:t>Glutamate-Cysteine Ligase Catalytic Subunit</w:t>
      </w:r>
      <w:r>
        <w:rPr>
          <w:rFonts w:asciiTheme="majorBidi" w:hAnsiTheme="majorBidi" w:cstheme="majorBidi"/>
          <w:sz w:val="24"/>
          <w:szCs w:val="24"/>
        </w:rPr>
        <w:t xml:space="preserve"> 1</w:t>
      </w:r>
      <w:r w:rsidRPr="0050382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[</w:t>
      </w:r>
      <w:r w:rsidRPr="00503827">
        <w:rPr>
          <w:rFonts w:asciiTheme="majorBidi" w:hAnsiTheme="majorBidi" w:cstheme="majorBidi"/>
          <w:sz w:val="24"/>
          <w:szCs w:val="24"/>
        </w:rPr>
        <w:t>GCLC1</w:t>
      </w:r>
      <w:r>
        <w:rPr>
          <w:rFonts w:asciiTheme="majorBidi" w:hAnsiTheme="majorBidi" w:cstheme="majorBidi"/>
          <w:sz w:val="24"/>
          <w:szCs w:val="24"/>
        </w:rPr>
        <w:t>],</w:t>
      </w:r>
      <w:r w:rsidRPr="0050382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Pr="00503827">
        <w:rPr>
          <w:rFonts w:asciiTheme="majorBidi" w:hAnsiTheme="majorBidi" w:cstheme="majorBidi"/>
          <w:sz w:val="24"/>
          <w:szCs w:val="24"/>
        </w:rPr>
        <w:t xml:space="preserve">(D) </w:t>
      </w:r>
      <w:r w:rsidRPr="009A4A40">
        <w:rPr>
          <w:rFonts w:asciiTheme="majorBidi" w:eastAsia="Times New Roman" w:hAnsiTheme="majorBidi" w:cstheme="majorBidi"/>
          <w:color w:val="auto"/>
          <w:sz w:val="24"/>
          <w:szCs w:val="24"/>
          <w:lang w:val="en-GB" w:eastAsia="it-IT"/>
        </w:rPr>
        <w:t>Catalase</w:t>
      </w:r>
      <w:r w:rsidRPr="0050382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[</w:t>
      </w:r>
      <w:r w:rsidRPr="00503827">
        <w:rPr>
          <w:rFonts w:asciiTheme="majorBidi" w:hAnsiTheme="majorBidi" w:cstheme="majorBidi"/>
          <w:sz w:val="24"/>
          <w:szCs w:val="24"/>
        </w:rPr>
        <w:t>CAT-2</w:t>
      </w:r>
      <w:r>
        <w:rPr>
          <w:rFonts w:asciiTheme="majorBidi" w:hAnsiTheme="majorBidi" w:cstheme="majorBidi"/>
          <w:sz w:val="24"/>
          <w:szCs w:val="24"/>
        </w:rPr>
        <w:t xml:space="preserve">] </w:t>
      </w:r>
      <w:r w:rsidRPr="00503827">
        <w:rPr>
          <w:rFonts w:asciiTheme="majorBidi" w:hAnsiTheme="majorBidi" w:cstheme="majorBidi"/>
          <w:sz w:val="24"/>
          <w:szCs w:val="24"/>
        </w:rPr>
        <w:t xml:space="preserve"> in the cortex</w:t>
      </w:r>
      <w:r>
        <w:rPr>
          <w:rFonts w:asciiTheme="majorBidi" w:hAnsiTheme="majorBidi" w:cstheme="majorBidi"/>
          <w:sz w:val="24"/>
          <w:szCs w:val="24"/>
        </w:rPr>
        <w:t xml:space="preserve"> (A-D) and the hippocampus (E-H)</w:t>
      </w:r>
      <w:r w:rsidRPr="00503827">
        <w:rPr>
          <w:rFonts w:asciiTheme="majorBidi" w:hAnsiTheme="majorBidi" w:cstheme="majorBidi"/>
          <w:sz w:val="24"/>
          <w:szCs w:val="24"/>
        </w:rPr>
        <w:t xml:space="preserve"> following </w:t>
      </w:r>
      <w:r w:rsidRPr="00503827">
        <w:rPr>
          <w:rFonts w:asciiTheme="majorBidi" w:hAnsiTheme="majorBidi" w:cstheme="majorBidi"/>
          <w:sz w:val="24"/>
          <w:szCs w:val="24"/>
          <w:lang w:val="en-GB"/>
        </w:rPr>
        <w:t>kainic acid induced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-SE </w:t>
      </w:r>
      <w:r w:rsidRPr="004D3B5C">
        <w:rPr>
          <w:rFonts w:asciiTheme="majorBidi" w:hAnsiTheme="majorBidi" w:cstheme="majorBidi"/>
          <w:sz w:val="24"/>
          <w:szCs w:val="24"/>
          <w:lang w:val="en-GB"/>
        </w:rPr>
        <w:t>(n=5 rat</w:t>
      </w:r>
      <w:r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4D3B5C">
        <w:rPr>
          <w:rFonts w:asciiTheme="majorBidi" w:hAnsiTheme="majorBidi" w:cstheme="majorBidi"/>
          <w:sz w:val="24"/>
          <w:szCs w:val="24"/>
          <w:lang w:val="en-GB"/>
        </w:rPr>
        <w:t xml:space="preserve"> for each timepoint)</w:t>
      </w:r>
      <w:r w:rsidRPr="0050382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03827">
        <w:rPr>
          <w:rFonts w:asciiTheme="majorBidi" w:hAnsiTheme="majorBidi" w:cstheme="majorBidi"/>
          <w:sz w:val="24"/>
          <w:szCs w:val="24"/>
        </w:rPr>
        <w:t xml:space="preserve">Results are expressed as relative mRNA expression and reported as </w:t>
      </w:r>
      <w:r w:rsidRPr="00503827">
        <w:rPr>
          <w:rFonts w:asciiTheme="majorBidi" w:hAnsiTheme="majorBidi" w:cstheme="majorBidi"/>
          <w:sz w:val="24"/>
          <w:szCs w:val="24"/>
          <w:lang w:val="en-GB"/>
        </w:rPr>
        <w:t>mean ± SEM</w:t>
      </w:r>
      <w:r w:rsidRPr="00503827">
        <w:rPr>
          <w:rFonts w:asciiTheme="majorBidi" w:hAnsiTheme="majorBidi" w:cstheme="majorBidi"/>
          <w:sz w:val="24"/>
          <w:szCs w:val="24"/>
        </w:rPr>
        <w:t>.</w:t>
      </w:r>
      <w:r w:rsidRPr="00503827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 xml:space="preserve"> </w:t>
      </w:r>
      <w:r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>**P&lt;0.01</w:t>
      </w:r>
      <w:r w:rsidR="00E74443"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>analyzed</w:t>
      </w:r>
      <w:r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 xml:space="preserve"> by one-way ANOVA followed by </w:t>
      </w:r>
      <w:r w:rsidR="0062605B"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>Tukey’s</w:t>
      </w:r>
      <w:r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> post-hoc</w:t>
      </w:r>
      <w:r w:rsidR="0062605B" w:rsidRP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 xml:space="preserve"> test</w:t>
      </w:r>
      <w:r w:rsidR="0062605B">
        <w:rPr>
          <w:rFonts w:asciiTheme="majorBidi" w:eastAsia="SimSun" w:hAnsiTheme="majorBidi" w:cstheme="majorBidi"/>
          <w:i/>
          <w:iCs/>
          <w:color w:val="000000"/>
          <w:sz w:val="24"/>
          <w:szCs w:val="24"/>
          <w:lang w:eastAsia="zh-CN"/>
        </w:rPr>
        <w:t>.</w:t>
      </w:r>
    </w:p>
    <w:sectPr w:rsidR="00BD06A9" w:rsidRPr="00BD06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EF"/>
    <w:rsid w:val="0062605B"/>
    <w:rsid w:val="009C2DEF"/>
    <w:rsid w:val="00B63D4A"/>
    <w:rsid w:val="00BD06A9"/>
    <w:rsid w:val="00E45B0A"/>
    <w:rsid w:val="00E7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83E2"/>
  <w15:chartTrackingRefBased/>
  <w15:docId w15:val="{7C2375F1-6C4B-4C42-90C7-2B992157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DEF"/>
    <w:rPr>
      <w:rFonts w:ascii="Times New Roman" w:hAnsi="Times New Roman" w:cs="Times New Roman"/>
      <w:color w:val="2222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DEF"/>
    <w:rPr>
      <w:color w:val="0000FF"/>
      <w:u w:val="single"/>
    </w:rPr>
  </w:style>
  <w:style w:type="paragraph" w:customStyle="1" w:styleId="MDPI13authornames">
    <w:name w:val="MDPI_1.3_authornames"/>
    <w:basedOn w:val="Normal"/>
    <w:next w:val="Normal"/>
    <w:qFormat/>
    <w:rsid w:val="009C2DEF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Tawfeeq.Shekh-Ahmad@mail.huji.ac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Hebrew University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Tawfeeq Shekh-Ahmad</dc:creator>
  <cp:keywords/>
  <dc:description/>
  <cp:lastModifiedBy>Tawfeeq Shekh-Ahmad</cp:lastModifiedBy>
  <cp:revision>5</cp:revision>
  <dcterms:created xsi:type="dcterms:W3CDTF">2022-10-10T11:58:00Z</dcterms:created>
  <dcterms:modified xsi:type="dcterms:W3CDTF">2022-10-13T21:34:00Z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44784b7c30574c08f9440d02cce300d8901af48c50879dbeb5d54670136db80c</vt:lpwstr>
  </property>
</Properties>
</file>