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43F48" w14:textId="0436D88D" w:rsidR="00E06BF4" w:rsidRPr="00434680" w:rsidRDefault="000948FD" w:rsidP="00434680">
      <w:pPr>
        <w:pStyle w:val="Paragraph"/>
        <w:spacing w:before="0" w:line="480" w:lineRule="auto"/>
        <w:ind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Supplementary Materials</w:t>
      </w:r>
    </w:p>
    <w:p w14:paraId="357C89FE" w14:textId="77777777" w:rsidR="00E06BF4" w:rsidRDefault="00E06BF4">
      <w:pPr>
        <w:jc w:val="both"/>
        <w:rPr>
          <w:color w:val="000000" w:themeColor="text1"/>
        </w:rPr>
      </w:pPr>
    </w:p>
    <w:p w14:paraId="05C6B124" w14:textId="77777777" w:rsidR="00E06BF4" w:rsidRDefault="00E06BF4">
      <w:pPr>
        <w:jc w:val="both"/>
        <w:rPr>
          <w:color w:val="000000" w:themeColor="text1"/>
          <w:szCs w:val="24"/>
        </w:rPr>
      </w:pPr>
    </w:p>
    <w:p w14:paraId="328659B7" w14:textId="77777777" w:rsidR="00E06BF4" w:rsidRDefault="00E06BF4">
      <w:pPr>
        <w:jc w:val="both"/>
        <w:rPr>
          <w:color w:val="000000" w:themeColor="text1"/>
        </w:rPr>
      </w:pPr>
    </w:p>
    <w:p w14:paraId="672C9EB0" w14:textId="77777777" w:rsidR="00E06BF4" w:rsidRDefault="00E06BF4">
      <w:pPr>
        <w:jc w:val="both"/>
        <w:rPr>
          <w:b/>
          <w:color w:val="000000" w:themeColor="text1"/>
        </w:rPr>
      </w:pPr>
    </w:p>
    <w:p w14:paraId="35D0C4A4" w14:textId="77777777" w:rsidR="00E06BF4" w:rsidRDefault="000948F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This PDF file includes:</w:t>
      </w:r>
    </w:p>
    <w:p w14:paraId="2514A757" w14:textId="77777777" w:rsidR="00E06BF4" w:rsidRDefault="00E06BF4">
      <w:pPr>
        <w:jc w:val="both"/>
        <w:rPr>
          <w:color w:val="000000" w:themeColor="text1"/>
        </w:rPr>
      </w:pPr>
    </w:p>
    <w:p w14:paraId="24646D54" w14:textId="77777777" w:rsidR="00E06BF4" w:rsidRDefault="000948FD">
      <w:pPr>
        <w:ind w:left="720"/>
        <w:jc w:val="both"/>
        <w:rPr>
          <w:rFonts w:eastAsia="宋体"/>
          <w:color w:val="000000" w:themeColor="text1"/>
          <w:lang w:eastAsia="zh-CN"/>
        </w:rPr>
      </w:pPr>
      <w:r>
        <w:rPr>
          <w:color w:val="000000" w:themeColor="text1"/>
        </w:rPr>
        <w:t>Figs. S1 to S</w:t>
      </w:r>
      <w:r>
        <w:rPr>
          <w:rFonts w:eastAsia="宋体" w:hint="eastAsia"/>
          <w:color w:val="000000" w:themeColor="text1"/>
          <w:lang w:eastAsia="zh-CN"/>
        </w:rPr>
        <w:t>15</w:t>
      </w:r>
    </w:p>
    <w:p w14:paraId="3BC2F640" w14:textId="77777777" w:rsidR="00E06BF4" w:rsidRDefault="000948FD">
      <w:pPr>
        <w:ind w:left="720"/>
        <w:jc w:val="both"/>
        <w:rPr>
          <w:rFonts w:eastAsia="宋体"/>
          <w:color w:val="000000" w:themeColor="text1"/>
          <w:lang w:eastAsia="zh-CN"/>
        </w:rPr>
      </w:pPr>
      <w:r>
        <w:rPr>
          <w:color w:val="000000" w:themeColor="text1"/>
        </w:rPr>
        <w:t>Tables S</w:t>
      </w:r>
      <w:r>
        <w:rPr>
          <w:rFonts w:eastAsia="宋体" w:hint="eastAsia"/>
          <w:color w:val="000000" w:themeColor="text1"/>
          <w:lang w:eastAsia="zh-CN"/>
        </w:rPr>
        <w:t>1</w:t>
      </w:r>
      <w:bookmarkStart w:id="0" w:name="MaterialsMethods"/>
      <w:bookmarkStart w:id="1" w:name="Tables"/>
      <w:bookmarkEnd w:id="0"/>
      <w:bookmarkEnd w:id="1"/>
    </w:p>
    <w:p w14:paraId="416DBAB5" w14:textId="4230E7A0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6932AEC7" w14:textId="40D7AE6E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2D4B8415" w14:textId="73FB70E5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1026F6AF" w14:textId="2F6D50B0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0FBD497C" w14:textId="34316A4C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66C7C597" w14:textId="013CBBFA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1204166A" w14:textId="7ABD4764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4A68B387" w14:textId="08ED3F27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109C794A" w14:textId="30E0FE9B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42944924" w14:textId="255E744E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33A09766" w14:textId="3083CBAE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4B2991AD" w14:textId="07BF4F11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5148E5EA" w14:textId="33B0A82C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1B3069A4" w14:textId="7A62E247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3E8FACE9" w14:textId="6FF2F4DF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56A8F510" w14:textId="732C2BA1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0092BA3A" w14:textId="09508315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70C18130" w14:textId="77777777" w:rsidR="00434680" w:rsidRDefault="00434680">
      <w:pPr>
        <w:jc w:val="both"/>
        <w:rPr>
          <w:rFonts w:eastAsia="宋体"/>
          <w:color w:val="000000" w:themeColor="text1"/>
          <w:lang w:eastAsia="zh-CN"/>
        </w:rPr>
      </w:pPr>
    </w:p>
    <w:p w14:paraId="29A09A35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11489EAD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29FC07E6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44C7CD1C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40147ABF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6CB5C77A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14B28836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202040E2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1065D999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2E597E9A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3A5AA061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41C77930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1C80F903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1ADDA203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439D103A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7B845151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1E307EDF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458000F6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5AB1AFF0" w14:textId="77777777" w:rsidR="00E06BF4" w:rsidRDefault="00E06BF4">
      <w:pPr>
        <w:jc w:val="both"/>
        <w:rPr>
          <w:rFonts w:eastAsia="宋体"/>
          <w:color w:val="000000" w:themeColor="text1"/>
          <w:lang w:eastAsia="zh-CN"/>
        </w:rPr>
      </w:pPr>
    </w:p>
    <w:p w14:paraId="6DB76A78" w14:textId="77777777" w:rsidR="00E06BF4" w:rsidRDefault="000948FD">
      <w:pPr>
        <w:jc w:val="center"/>
        <w:rPr>
          <w:rFonts w:eastAsia="宋体"/>
          <w:color w:val="000000" w:themeColor="text1"/>
          <w:lang w:eastAsia="zh-CN"/>
        </w:rPr>
      </w:pPr>
      <w:r>
        <w:rPr>
          <w:rFonts w:eastAsia="宋体" w:hint="eastAsia"/>
          <w:noProof/>
          <w:color w:val="000000" w:themeColor="text1"/>
          <w:lang w:eastAsia="zh-CN"/>
        </w:rPr>
        <w:lastRenderedPageBreak/>
        <w:drawing>
          <wp:inline distT="0" distB="0" distL="0" distR="0" wp14:anchorId="08CBD570" wp14:editId="0EC7ECA4">
            <wp:extent cx="5939790" cy="2234565"/>
            <wp:effectExtent l="0" t="0" r="381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 cstate="hq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941" cy="223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C6718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F8BD3F8" w14:textId="77777777" w:rsidR="00E06BF4" w:rsidRDefault="000948FD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Fig.S1. Flow diagram 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>of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 patient selection 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>criteria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.</w:t>
      </w:r>
    </w:p>
    <w:p w14:paraId="224F992D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62B42325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33B52D71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489D0A36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4B9DA25E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796AC770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107204FB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0135DD3D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0A752EA7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4C8B66B4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1AEFE8EA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00C708D1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6EA9E90E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075EA198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546A0BA0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034CD6F0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35DE788D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32C37804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0FE0042D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200CFA35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2CE77E26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47DF48CD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5BF8C7DF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7218A953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3724C3E6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187C1404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6B189F8A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2AAD52EA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5652B67F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3E2FF7A9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513CD9D9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267E304D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520FC4FA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42047DD7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415C84D6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1560D685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3F125873" w14:textId="77777777" w:rsidR="00E06BF4" w:rsidRDefault="00E06BF4">
      <w:pPr>
        <w:rPr>
          <w:rFonts w:eastAsia="宋体"/>
          <w:color w:val="000000" w:themeColor="text1"/>
          <w:sz w:val="23"/>
          <w:szCs w:val="23"/>
          <w:lang w:bidi="ar"/>
        </w:rPr>
      </w:pPr>
    </w:p>
    <w:p w14:paraId="3DD80D18" w14:textId="77777777" w:rsidR="00E06BF4" w:rsidRDefault="000948FD">
      <w:pPr>
        <w:jc w:val="center"/>
        <w:rPr>
          <w:rFonts w:eastAsia="宋体"/>
          <w:color w:val="000000" w:themeColor="text1"/>
          <w:sz w:val="23"/>
          <w:szCs w:val="23"/>
          <w:lang w:bidi="ar"/>
        </w:rPr>
      </w:pPr>
      <w:r>
        <w:rPr>
          <w:rFonts w:eastAsia="宋体"/>
          <w:noProof/>
          <w:color w:val="000000" w:themeColor="text1"/>
          <w:sz w:val="23"/>
          <w:szCs w:val="23"/>
          <w:lang w:bidi="ar"/>
        </w:rPr>
        <w:lastRenderedPageBreak/>
        <w:drawing>
          <wp:inline distT="0" distB="0" distL="0" distR="0" wp14:anchorId="26CDFB3A" wp14:editId="472B9F46">
            <wp:extent cx="5843905" cy="4442460"/>
            <wp:effectExtent l="0" t="0" r="444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2" cstate="hq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4234" cy="444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B18FA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179FEB2" w14:textId="77777777" w:rsidR="00E06BF4" w:rsidRDefault="000948FD">
      <w:pPr>
        <w:jc w:val="both"/>
        <w:rPr>
          <w:rFonts w:eastAsia="宋体"/>
          <w:color w:val="000000" w:themeColor="text1"/>
          <w:sz w:val="23"/>
          <w:szCs w:val="23"/>
          <w:lang w:eastAsia="zh-CN" w:bidi="ar"/>
        </w:rPr>
      </w:pP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 xml:space="preserve">Fig.S2. 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Synthesis routes of PGA-covered MoS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 with different sizes. </w:t>
      </w:r>
      <w:r>
        <w:rPr>
          <w:rFonts w:eastAsia="宋体"/>
          <w:color w:val="000000" w:themeColor="text1"/>
          <w:sz w:val="23"/>
          <w:szCs w:val="23"/>
          <w:lang w:bidi="ar"/>
        </w:rPr>
        <w:t>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A</w:t>
      </w:r>
      <w:r>
        <w:rPr>
          <w:rFonts w:eastAsia="宋体"/>
          <w:color w:val="000000" w:themeColor="text1"/>
          <w:sz w:val="23"/>
          <w:szCs w:val="23"/>
          <w:lang w:bidi="ar"/>
        </w:rPr>
        <w:t>) MoS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monolayers with large size (MoS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color w:val="000000" w:themeColor="text1"/>
          <w:sz w:val="23"/>
          <w:szCs w:val="23"/>
          <w:lang w:bidi="ar"/>
        </w:rPr>
        <w:t>-L) were prepared through intercalation method with lithium ions and then broke down to medium (MoS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color w:val="000000" w:themeColor="text1"/>
          <w:sz w:val="23"/>
          <w:szCs w:val="23"/>
          <w:lang w:bidi="ar"/>
        </w:rPr>
        <w:t>-M) and small size (MoS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color w:val="000000" w:themeColor="text1"/>
          <w:sz w:val="23"/>
          <w:szCs w:val="23"/>
          <w:lang w:bidi="ar"/>
        </w:rPr>
        <w:t>-S) with tip sonication. 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B</w:t>
      </w:r>
      <w:r>
        <w:rPr>
          <w:rFonts w:eastAsia="宋体"/>
          <w:color w:val="000000" w:themeColor="text1"/>
          <w:sz w:val="23"/>
          <w:szCs w:val="23"/>
          <w:lang w:bidi="ar"/>
        </w:rPr>
        <w:t>) PGA-covered MoS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with 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>large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size (M-PGA-L), medium size (M-PGA-M) and small size (M-PGA-S) were synthesized through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amidation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reaction, substitution reaction, and reduction reaction. </w:t>
      </w:r>
    </w:p>
    <w:p w14:paraId="602CBE4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F8C1B1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CF8C3EF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E817B9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86F52E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1CC5C35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7FA338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4966B9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9AAABF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394055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09D8F9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79A0AB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B99E22E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986AE1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ED0943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2D3249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92EFB6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A6ED29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891CB9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C3C267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A9B74B8" w14:textId="77777777" w:rsidR="00E06BF4" w:rsidRDefault="000948FD">
      <w:pPr>
        <w:jc w:val="center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noProof/>
          <w:color w:val="000000" w:themeColor="text1"/>
          <w:sz w:val="23"/>
          <w:szCs w:val="23"/>
          <w:lang w:bidi="ar"/>
        </w:rPr>
        <w:lastRenderedPageBreak/>
        <w:drawing>
          <wp:inline distT="0" distB="0" distL="0" distR="0" wp14:anchorId="6F8A0F4A" wp14:editId="1E797DB9">
            <wp:extent cx="5331460" cy="490537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3" cstate="hq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562" cy="490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9B579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313BBE6" w14:textId="77777777" w:rsidR="00E06BF4" w:rsidRDefault="000948FD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 xml:space="preserve">Fig.S3. 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The Nuclear Magnetic Resonance (NMR) spectra of (A) </w:t>
      </w:r>
      <w:proofErr w:type="spellStart"/>
      <w:proofErr w:type="gramStart"/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hPG</w:t>
      </w:r>
      <w:proofErr w:type="spellEnd"/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(</w:t>
      </w:r>
      <w:proofErr w:type="gramEnd"/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OMs)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5%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 and (B) </w:t>
      </w:r>
      <w:proofErr w:type="spellStart"/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hPG</w:t>
      </w:r>
      <w:proofErr w:type="spellEnd"/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(NH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)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5%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 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>in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 D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O.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NMR spectrum confirmed 5% hydroxyls were replaced as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methanesulfonyl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groups on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hPG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>(OMs)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5%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and then these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methanesulfonyl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groups were reduced to amino groups to prepare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hPG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>(NH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color w:val="000000" w:themeColor="text1"/>
          <w:sz w:val="23"/>
          <w:szCs w:val="23"/>
          <w:lang w:bidi="ar"/>
        </w:rPr>
        <w:t>)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5%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. The signals at 3.4-4.4 ppm and 3.1-3.25 ppm were attributed to the protons of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hPG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backbone and methyl of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methanesulfonyl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>, respectively.</w:t>
      </w:r>
    </w:p>
    <w:p w14:paraId="771C3155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F9D6E5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59F893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4604CAF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D6AD4E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675869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5B93A4E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DFE881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8B7DEAE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0E68AA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76239E2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E53475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BE42C25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B7E5DF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9E85E8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27EE33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8DF991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500AE3E" w14:textId="77777777" w:rsidR="00E06BF4" w:rsidRDefault="000948FD">
      <w:pPr>
        <w:jc w:val="center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noProof/>
          <w:color w:val="000000" w:themeColor="text1"/>
          <w:sz w:val="23"/>
          <w:szCs w:val="23"/>
          <w:lang w:bidi="ar"/>
        </w:rPr>
        <w:lastRenderedPageBreak/>
        <w:drawing>
          <wp:inline distT="0" distB="0" distL="0" distR="0" wp14:anchorId="35D8F527" wp14:editId="5F41B5ED">
            <wp:extent cx="5401310" cy="4966970"/>
            <wp:effectExtent l="0" t="0" r="8890" b="50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4" cstate="hq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1665" cy="4967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964C7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D0C017B" w14:textId="77777777" w:rsidR="00E06BF4" w:rsidRDefault="000948FD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Fig.S4. The NMR spectra of </w:t>
      </w:r>
      <w:r>
        <w:rPr>
          <w:rFonts w:eastAsia="宋体"/>
          <w:color w:val="000000" w:themeColor="text1"/>
          <w:sz w:val="23"/>
          <w:szCs w:val="23"/>
          <w:lang w:bidi="ar"/>
        </w:rPr>
        <w:t>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A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) 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M-PG(OMs)-M in (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>CD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3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)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>CO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 and (B) M-PGA-M in D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O.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NMR spectrum confirmed around 50% hydroxyls were replaced as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methanesulfonyl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groups on M-PG(O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>M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s)-M and then all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methanesulfonyl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groups were reduced to amino groups to prepare M-PGA-M. The signals at 3.4-4.4 ppm and 3.1-3.25 ppm were attributed to the protons of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hPG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backbone and methyl of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methanesulfonyl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>, respectively.</w:t>
      </w:r>
    </w:p>
    <w:p w14:paraId="10A1A7B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4AB339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6E76FE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7BD3D1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1DDC0C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33A2E5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A10D6D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30DC92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2EB6E22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CECDD5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5F3A43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EF00E3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A5D9F2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4AF993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F9500EF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251AEA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2A5669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E5CFA8E" w14:textId="77777777" w:rsidR="00E06BF4" w:rsidRDefault="000948FD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noProof/>
          <w:color w:val="000000" w:themeColor="text1"/>
          <w:sz w:val="23"/>
          <w:szCs w:val="23"/>
          <w:lang w:bidi="ar"/>
        </w:rPr>
        <w:lastRenderedPageBreak/>
        <w:drawing>
          <wp:inline distT="0" distB="0" distL="0" distR="0" wp14:anchorId="76ED405A" wp14:editId="06CAB52F">
            <wp:extent cx="5827395" cy="2239645"/>
            <wp:effectExtent l="0" t="0" r="1905" b="82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5" cstate="hq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7775" cy="22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512AD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DAA1857" w14:textId="77777777" w:rsidR="00E06BF4" w:rsidRDefault="000948FD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Fig.S5. The Fourier Transform Infrared Spectrometer (FTIR) spectra of (A) </w:t>
      </w:r>
      <w:proofErr w:type="spellStart"/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hPG</w:t>
      </w:r>
      <w:proofErr w:type="spellEnd"/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 (N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3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)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5%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 and (B) </w:t>
      </w:r>
      <w:proofErr w:type="spellStart"/>
      <w:proofErr w:type="gramStart"/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hPG</w:t>
      </w:r>
      <w:proofErr w:type="spellEnd"/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(</w:t>
      </w:r>
      <w:proofErr w:type="gramEnd"/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NH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)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5%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.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Appearance of a new absorbance band in the IR spectra at 2100 cm</w:t>
      </w:r>
      <w:r>
        <w:rPr>
          <w:rFonts w:eastAsia="宋体"/>
          <w:color w:val="000000" w:themeColor="text1"/>
          <w:sz w:val="23"/>
          <w:szCs w:val="23"/>
          <w:vertAlign w:val="superscript"/>
          <w:lang w:bidi="ar"/>
        </w:rPr>
        <w:t>-1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for </w:t>
      </w:r>
      <w:proofErr w:type="spellStart"/>
      <w:proofErr w:type="gramStart"/>
      <w:r>
        <w:rPr>
          <w:rFonts w:eastAsia="宋体"/>
          <w:color w:val="000000" w:themeColor="text1"/>
          <w:sz w:val="23"/>
          <w:szCs w:val="23"/>
          <w:lang w:bidi="ar"/>
        </w:rPr>
        <w:t>hPG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>(</w:t>
      </w:r>
      <w:proofErr w:type="gramEnd"/>
      <w:r>
        <w:rPr>
          <w:rFonts w:eastAsia="宋体"/>
          <w:color w:val="000000" w:themeColor="text1"/>
          <w:sz w:val="23"/>
          <w:szCs w:val="23"/>
          <w:lang w:bidi="ar"/>
        </w:rPr>
        <w:t>O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>M</w:t>
      </w:r>
      <w:r>
        <w:rPr>
          <w:rFonts w:eastAsia="宋体"/>
          <w:color w:val="000000" w:themeColor="text1"/>
          <w:sz w:val="23"/>
          <w:szCs w:val="23"/>
          <w:lang w:bidi="ar"/>
        </w:rPr>
        <w:t>s)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5%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after reaction with sodium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azide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confirmed that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azaidation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of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hPG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was successfully performed. Reduction of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hPG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>(N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3</w:t>
      </w:r>
      <w:r>
        <w:rPr>
          <w:rFonts w:eastAsia="宋体"/>
          <w:color w:val="000000" w:themeColor="text1"/>
          <w:sz w:val="23"/>
          <w:szCs w:val="23"/>
          <w:lang w:bidi="ar"/>
        </w:rPr>
        <w:t>)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5%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to </w:t>
      </w:r>
      <w:proofErr w:type="spellStart"/>
      <w:proofErr w:type="gramStart"/>
      <w:r>
        <w:rPr>
          <w:rFonts w:eastAsia="宋体"/>
          <w:color w:val="000000" w:themeColor="text1"/>
          <w:sz w:val="23"/>
          <w:szCs w:val="23"/>
          <w:lang w:bidi="ar"/>
        </w:rPr>
        <w:t>hPG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>(</w:t>
      </w:r>
      <w:proofErr w:type="gramEnd"/>
      <w:r>
        <w:rPr>
          <w:rFonts w:eastAsia="宋体"/>
          <w:color w:val="000000" w:themeColor="text1"/>
          <w:sz w:val="23"/>
          <w:szCs w:val="23"/>
          <w:lang w:bidi="ar"/>
        </w:rPr>
        <w:t>NH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color w:val="000000" w:themeColor="text1"/>
          <w:sz w:val="23"/>
          <w:szCs w:val="23"/>
          <w:lang w:bidi="ar"/>
        </w:rPr>
        <w:t>)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5%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was substantiated by the disappearance of the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azide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peak.</w:t>
      </w:r>
    </w:p>
    <w:p w14:paraId="6174A2D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298D725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C827EA2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540DEA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4AB53CF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BBB188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3A97F5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887D7B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E6B8BE2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EE20F02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166722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236256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2449A3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CDDB8C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10680F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18F238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B52E60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64FA1A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7F8D73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065FDA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3C0B5E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30E33C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2E55E9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46AA60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A6FCC2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DF7F92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D1EA9E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C69077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450468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6ADC0BE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2C818D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16E6F9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4BC9CA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2D2522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9A5EDA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D9AA031" w14:textId="77777777" w:rsidR="00E06BF4" w:rsidRDefault="000948FD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noProof/>
          <w:color w:val="000000" w:themeColor="text1"/>
          <w:sz w:val="23"/>
          <w:szCs w:val="23"/>
          <w:lang w:bidi="ar"/>
        </w:rPr>
        <w:drawing>
          <wp:anchor distT="0" distB="0" distL="114300" distR="114300" simplePos="0" relativeHeight="251659264" behindDoc="0" locked="0" layoutInCell="1" allowOverlap="1" wp14:anchorId="2995828C" wp14:editId="67BE10B8">
            <wp:simplePos x="0" y="0"/>
            <wp:positionH relativeFrom="margin">
              <wp:posOffset>83820</wp:posOffset>
            </wp:positionH>
            <wp:positionV relativeFrom="margin">
              <wp:posOffset>16510</wp:posOffset>
            </wp:positionV>
            <wp:extent cx="5773420" cy="2727960"/>
            <wp:effectExtent l="0" t="0" r="2540" b="0"/>
            <wp:wrapSquare wrapText="bothSides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16" cstate="hq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342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Fig.S6. The FTIR spectra of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(A) M-PG(N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3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)-M and (B) M-PGA-M.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The new absorbance band in the IR spectrum at 2100 cm</w:t>
      </w:r>
      <w:r>
        <w:rPr>
          <w:rFonts w:eastAsia="宋体"/>
          <w:color w:val="000000" w:themeColor="text1"/>
          <w:sz w:val="23"/>
          <w:szCs w:val="23"/>
          <w:vertAlign w:val="superscript"/>
          <w:lang w:bidi="ar"/>
        </w:rPr>
        <w:t>-1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for M-PG(N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3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)-M after reaction with sodium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azide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confirmed that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azaidation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of M-PG-M was successfully conducted. The disappearance of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azide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peak in M-PGA-M indicated the reduction of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azide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groups to amino groups.</w:t>
      </w:r>
    </w:p>
    <w:p w14:paraId="70005C0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8D8604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FF2398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A955FD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F8B4BC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DE69E0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3496E1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311A31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6AA029F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33344C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0E1ACC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CAD3FA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D6EE35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213A6D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6F46F3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A5BFE3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633ED9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12E14B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FDCA08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E07D0F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CE8268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11B466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E681E0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B54D92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11A474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82DB13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BF50BF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2D99D95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17F5192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C690BD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4F8A4C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1D651ED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611DB4F" w14:textId="77777777" w:rsidR="00E06BF4" w:rsidRDefault="000948FD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noProof/>
          <w:color w:val="000000" w:themeColor="text1"/>
          <w:sz w:val="23"/>
          <w:szCs w:val="23"/>
          <w:lang w:bidi="ar"/>
        </w:rPr>
        <w:drawing>
          <wp:anchor distT="0" distB="0" distL="114300" distR="114300" simplePos="0" relativeHeight="251660288" behindDoc="0" locked="0" layoutInCell="1" allowOverlap="1" wp14:anchorId="01945736" wp14:editId="32E26977">
            <wp:simplePos x="0" y="0"/>
            <wp:positionH relativeFrom="margin">
              <wp:posOffset>13970</wp:posOffset>
            </wp:positionH>
            <wp:positionV relativeFrom="margin">
              <wp:posOffset>24130</wp:posOffset>
            </wp:positionV>
            <wp:extent cx="5937250" cy="1423670"/>
            <wp:effectExtent l="0" t="0" r="6350" b="8890"/>
            <wp:wrapSquare wrapText="bothSides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17" cstate="hqprint"/>
                    <a:srcRect r="3620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Fig.S7. Zeta potential and DLS data of (A) M-PGA-L, (B) M-PGA-M and (C) M-PGA-S in PBS (pH 7.4).</w:t>
      </w:r>
    </w:p>
    <w:p w14:paraId="06173E9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4C8047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860F1A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A2336A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3F4C49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025B9F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25C9AB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5A831B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0887ED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F76E8E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FD0D36F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94C1F0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84FBB0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5C76AD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E5B804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754A4B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53EFB0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C314ED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AAADF15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83CF2F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541820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D2675B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77F2DF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513755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68A245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CA0CFE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053E65F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DB99942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439758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B5DD1DF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949231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5D4035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1912695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881CCE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69EFBF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C35C2B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57BF452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F58C1C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B0F074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A95E3D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35179E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7BF715C" w14:textId="77777777" w:rsidR="00E06BF4" w:rsidRDefault="000948FD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  <w:r>
        <w:rPr>
          <w:rFonts w:eastAsia="宋体"/>
          <w:noProof/>
          <w:color w:val="000000" w:themeColor="text1"/>
          <w:sz w:val="23"/>
          <w:szCs w:val="23"/>
          <w:lang w:bidi="ar"/>
        </w:rPr>
        <w:lastRenderedPageBreak/>
        <w:drawing>
          <wp:anchor distT="0" distB="0" distL="114300" distR="114300" simplePos="0" relativeHeight="251661312" behindDoc="0" locked="0" layoutInCell="1" allowOverlap="1" wp14:anchorId="32F4D293" wp14:editId="753F164C">
            <wp:simplePos x="0" y="0"/>
            <wp:positionH relativeFrom="margin">
              <wp:posOffset>27940</wp:posOffset>
            </wp:positionH>
            <wp:positionV relativeFrom="margin">
              <wp:posOffset>69850</wp:posOffset>
            </wp:positionV>
            <wp:extent cx="5930900" cy="1708150"/>
            <wp:effectExtent l="0" t="0" r="12700" b="13970"/>
            <wp:wrapSquare wrapText="bothSides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18" cstate="hq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6C9E6E" w14:textId="77777777" w:rsidR="00E06BF4" w:rsidRDefault="000948FD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Fig.S8. UV-vis absorption of PGA and MoS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.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A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) The 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>UV-vis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>a</w:t>
      </w:r>
      <w:r>
        <w:rPr>
          <w:rFonts w:eastAsia="宋体"/>
          <w:color w:val="000000" w:themeColor="text1"/>
          <w:sz w:val="23"/>
          <w:szCs w:val="23"/>
          <w:lang w:bidi="ar"/>
        </w:rPr>
        <w:t>bsorbance of PGA at a series concentration from 0.1 mg/mL to 2 mg/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mL.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B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) The 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>UV-vis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absorbance of MoS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at a series concentration from 20 µg/mL to 100 µg/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mL.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C</w:t>
      </w:r>
      <w:r>
        <w:rPr>
          <w:rFonts w:eastAsia="宋体"/>
          <w:color w:val="000000" w:themeColor="text1"/>
          <w:sz w:val="23"/>
          <w:szCs w:val="23"/>
          <w:lang w:bidi="ar"/>
        </w:rPr>
        <w:t>) Standard curve of MoS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with absorbance at 360 nm. The data are expressed as the means ± SEM. The absorbance value at 360 nm of M-PGA-L, M-PGA-M and M-PGA-S (200 µg/mL) solutions were 0.432, 0.361 and 0.324, giving MoS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concentrations of 41.2 µg/mL, 34.7 µg/mL and 31.3 µg/mL, respectively. The MoS</w:t>
      </w:r>
      <w:r>
        <w:rPr>
          <w:rFonts w:eastAsia="宋体"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contents of M-PGA-L, M-PGA-M and M-PGA-S was 20.6%, 17.4% and 15.7%, respectively. Therefore, the polymer contents of M-PGA-L, M-PGA-M and M-PGA-S was 79.4%, 82.6% and 84.3%, respectively.</w:t>
      </w:r>
    </w:p>
    <w:p w14:paraId="3006AAC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AD2F68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A4774A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252F095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2E4234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52B0A0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F2CA335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E7DFAF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21210AE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A169E1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0BC42CF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15BC03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7EAB11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1996DE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61A95D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4F2CE7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1E7988E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CD433A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3CEBD7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D46C39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EC93C8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92429B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B61121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5FF060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397B51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E0B8FDF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C9B274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73F347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ECBEF3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0A4660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DEBB12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5F6FF8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FB4BA6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35FC048" w14:textId="77777777" w:rsidR="00E06BF4" w:rsidRDefault="000948FD">
      <w:pPr>
        <w:jc w:val="center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noProof/>
          <w:color w:val="000000" w:themeColor="text1"/>
          <w:sz w:val="23"/>
          <w:szCs w:val="23"/>
          <w:lang w:bidi="ar"/>
        </w:rPr>
        <w:lastRenderedPageBreak/>
        <w:drawing>
          <wp:inline distT="0" distB="0" distL="0" distR="0" wp14:anchorId="10474F58" wp14:editId="1ABBAA3A">
            <wp:extent cx="2879090" cy="1861185"/>
            <wp:effectExtent l="0" t="0" r="0" b="57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9" cstate="hq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141" cy="186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07334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E30850E" w14:textId="77777777" w:rsidR="00E06BF4" w:rsidRDefault="000948FD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Fig.S9. Biodegradation of MoS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-L, M-PGA-L, MoS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-M, M-PGA-M, MoS</w:t>
      </w:r>
      <w:r>
        <w:rPr>
          <w:rFonts w:eastAsia="宋体"/>
          <w:b/>
          <w:bCs/>
          <w:color w:val="000000" w:themeColor="text1"/>
          <w:sz w:val="23"/>
          <w:szCs w:val="23"/>
          <w:vertAlign w:val="subscript"/>
          <w:lang w:bidi="ar"/>
        </w:rPr>
        <w:t>2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-S and M-PGA-S in PBS (7.4) at 37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>℃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 within 4 weeks.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Remaining percent of nanomaterials were calculated by the UV adsorption at 360 nm.</w:t>
      </w:r>
    </w:p>
    <w:p w14:paraId="566D4AF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9E1E0B0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9759C8D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003942F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4588313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2A94BFE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3D50BD2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F3321C7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7A38266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6CE31E3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F5C9918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E6A206F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86B1FB0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0AB62DB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9FC1CB6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7E651F3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9E2C8CC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C3DF4B4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FE178E1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7E72143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8F3D2CC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CEA8C36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D11E4FC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28A6A92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3272068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F13068D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7EF4816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1AD2705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ABEB90A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1CDA6C1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982DFCD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CD0A353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B168E8E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B67AA8A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3063883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0B2E543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A1215ED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2E01617" w14:textId="77777777" w:rsidR="00E06BF4" w:rsidRDefault="000948FD">
      <w:pPr>
        <w:jc w:val="center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noProof/>
          <w:color w:val="000000" w:themeColor="text1"/>
          <w:sz w:val="23"/>
          <w:szCs w:val="23"/>
          <w:lang w:bidi="ar"/>
        </w:rPr>
        <w:lastRenderedPageBreak/>
        <w:drawing>
          <wp:inline distT="0" distB="0" distL="0" distR="0" wp14:anchorId="2C7E42F2" wp14:editId="02DB0985">
            <wp:extent cx="3331210" cy="185039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0" cstate="hq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1464" cy="1850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C46E7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6F8B787" w14:textId="77777777" w:rsidR="00E06BF4" w:rsidRDefault="000948FD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Fig.S10. Dynamic light scattering (DLS) results of M-PGA-M before and after </w:t>
      </w:r>
      <w:proofErr w:type="gramStart"/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2 or 4 weeks</w:t>
      </w:r>
      <w:proofErr w:type="gramEnd"/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 incubation in PBS (7.4) at 37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>℃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>.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</w:t>
      </w:r>
    </w:p>
    <w:p w14:paraId="5EA584F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EE9F5A9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081FB48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591DD69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7E7E055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595F8E3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57A1EC5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8FB1A40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42AC2F2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7859283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A5261D6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5803C10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38D0C40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51BD64E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7F94D20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2106F7D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B91BDFD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13279DD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879F3CA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98A8AC9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2FB2B58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8BA9F38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A7AEF6C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93FF865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62925C5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39A9955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CF93683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FACF0F8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8A52878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30E5D49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91D7D41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B5B0840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E58265D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6C49094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DEB72F4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CA5D7C6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153BEAA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4C663A3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9E942ED" w14:textId="77777777" w:rsidR="00E06BF4" w:rsidRDefault="000948FD">
      <w:pPr>
        <w:jc w:val="center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noProof/>
          <w:color w:val="000000" w:themeColor="text1"/>
          <w:sz w:val="23"/>
          <w:szCs w:val="23"/>
          <w:lang w:bidi="ar"/>
        </w:rPr>
        <w:lastRenderedPageBreak/>
        <w:drawing>
          <wp:inline distT="0" distB="0" distL="0" distR="0" wp14:anchorId="2808F15C" wp14:editId="7A20192F">
            <wp:extent cx="5493385" cy="3101340"/>
            <wp:effectExtent l="0" t="0" r="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1" cstate="hq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3716" cy="31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94859" w14:textId="77777777" w:rsidR="00E06BF4" w:rsidRDefault="00E06BF4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3197EC3" w14:textId="77777777" w:rsidR="00E06BF4" w:rsidRDefault="000948FD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Fig.S11. Biocompatibility and cytocompatibility assessment of M-PGA-M or PGA </w:t>
      </w:r>
      <w:r>
        <w:rPr>
          <w:rFonts w:eastAsia="宋体"/>
          <w:b/>
          <w:bCs/>
          <w:i/>
          <w:iCs/>
          <w:color w:val="000000" w:themeColor="text1"/>
          <w:sz w:val="23"/>
          <w:szCs w:val="23"/>
          <w:lang w:bidi="ar"/>
        </w:rPr>
        <w:t>in vitro.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 </w:t>
      </w:r>
      <w:r>
        <w:rPr>
          <w:rFonts w:eastAsia="宋体"/>
          <w:color w:val="000000" w:themeColor="text1"/>
          <w:sz w:val="23"/>
          <w:szCs w:val="23"/>
          <w:lang w:bidi="ar"/>
        </w:rPr>
        <w:t>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A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) Human red blood cells (RBCs) hemolysis test of M-PGA-M and PGA. Insets 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>were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digital photographs of hemolysis test for M-PGA-M and PGA at different concentrations. Data shown 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>were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representative of three independent experiments. 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B to D</w:t>
      </w:r>
      <w:r>
        <w:rPr>
          <w:rFonts w:eastAsia="宋体"/>
          <w:color w:val="000000" w:themeColor="text1"/>
          <w:sz w:val="23"/>
          <w:szCs w:val="23"/>
          <w:lang w:bidi="ar"/>
        </w:rPr>
        <w:t>) Representative images of different human cells before and after incubation with M-PGA-M (100</w:t>
      </w:r>
      <w:r>
        <w:rPr>
          <w:rFonts w:eastAsia="宋体" w:hint="eastAsia"/>
          <w:color w:val="000000" w:themeColor="text1"/>
          <w:sz w:val="23"/>
          <w:szCs w:val="23"/>
          <w:lang w:eastAsia="zh-CN" w:bidi="ar"/>
        </w:rPr>
        <w:t xml:space="preserve">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μg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>/mL) or PGA (100</w:t>
      </w:r>
      <w:r>
        <w:rPr>
          <w:rFonts w:eastAsia="宋体" w:hint="eastAsia"/>
          <w:color w:val="000000" w:themeColor="text1"/>
          <w:sz w:val="23"/>
          <w:szCs w:val="23"/>
          <w:lang w:eastAsia="zh-CN" w:bidi="ar"/>
        </w:rPr>
        <w:t xml:space="preserve">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μg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/mL). Microscope images of RBCs (B). Scale bars: 50μm. Wright-Giemsa staining of neutrophils and platelets suspension (C). Blue arrows and red arrows indicated neutrophils and platelets, respectively. Scale bars: 50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μm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. Cytoskeleton staining of HK-2 cells (D). Scale bars: 20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μm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>.</w:t>
      </w:r>
    </w:p>
    <w:p w14:paraId="0420BF35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75408D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DE497A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59AFE7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622085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2A76A2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B9FD42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D9B87CE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2B5D24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4511C4E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6B7916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B514D85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917B6E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DD01EE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43F124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2AC559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85CD6C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CA958D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7C28FF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E1AD33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626044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B7EF81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0FFDA6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26A71A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897753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5781BB1" w14:textId="77777777" w:rsidR="00E06BF4" w:rsidRDefault="000948FD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  <w:r>
        <w:rPr>
          <w:rFonts w:eastAsia="宋体"/>
          <w:noProof/>
          <w:color w:val="000000" w:themeColor="text1"/>
          <w:sz w:val="23"/>
          <w:szCs w:val="23"/>
          <w:lang w:bidi="ar"/>
        </w:rPr>
        <w:lastRenderedPageBreak/>
        <w:drawing>
          <wp:anchor distT="0" distB="0" distL="114300" distR="114300" simplePos="0" relativeHeight="251662336" behindDoc="0" locked="0" layoutInCell="1" allowOverlap="1" wp14:anchorId="3C730AD9" wp14:editId="2473FA87">
            <wp:simplePos x="0" y="0"/>
            <wp:positionH relativeFrom="margin">
              <wp:posOffset>246380</wp:posOffset>
            </wp:positionH>
            <wp:positionV relativeFrom="margin">
              <wp:posOffset>16510</wp:posOffset>
            </wp:positionV>
            <wp:extent cx="5509260" cy="4930140"/>
            <wp:effectExtent l="0" t="0" r="7620" b="7620"/>
            <wp:wrapSquare wrapText="bothSides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r:embed="rId22" cstate="hqprint"/>
                    <a:srcRect l="1027" r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CB19EF" w14:textId="77777777" w:rsidR="00E06BF4" w:rsidRDefault="000948FD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Fig.S1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>2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. Effect of 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>M-PGA-M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 on chromatin </w:t>
      </w:r>
      <w:proofErr w:type="spellStart"/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decondensation</w:t>
      </w:r>
      <w:proofErr w:type="spellEnd"/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 in NETs.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 xml:space="preserve"> </w:t>
      </w:r>
      <w:r>
        <w:rPr>
          <w:rFonts w:eastAsia="宋体"/>
          <w:color w:val="000000" w:themeColor="text1"/>
          <w:sz w:val="23"/>
          <w:szCs w:val="23"/>
          <w:lang w:bidi="ar"/>
        </w:rPr>
        <w:t>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A</w:t>
      </w:r>
      <w:r>
        <w:rPr>
          <w:rFonts w:eastAsia="宋体"/>
          <w:color w:val="000000" w:themeColor="text1"/>
          <w:sz w:val="23"/>
          <w:szCs w:val="23"/>
          <w:lang w:bidi="ar"/>
        </w:rPr>
        <w:t>) Dynamic analyses of chromatin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 xml:space="preserve"> 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(red arrows)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decondensation</w:t>
      </w:r>
      <w:proofErr w:type="spellEnd"/>
      <w:r>
        <w:rPr>
          <w:rFonts w:eastAsia="宋体" w:hint="eastAsia"/>
          <w:color w:val="000000" w:themeColor="text1"/>
          <w:sz w:val="23"/>
          <w:szCs w:val="23"/>
          <w:lang w:bidi="ar"/>
        </w:rPr>
        <w:t xml:space="preserve"> 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(blue arrows) by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Sytoxgreen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 xml:space="preserve"> staining from different groups. Scale bar: 50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μm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>. 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B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) Fluorescence intensity measured by microplate reader from indicated groups in 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>A</w:t>
      </w:r>
      <w:r>
        <w:rPr>
          <w:rFonts w:eastAsia="宋体"/>
          <w:color w:val="000000" w:themeColor="text1"/>
          <w:sz w:val="23"/>
          <w:szCs w:val="23"/>
          <w:lang w:bidi="ar"/>
        </w:rPr>
        <w:t>.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 xml:space="preserve"> 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Data shown 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>were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representative of three independent experiments. Differences were assessed via Kruskal-Wallis and Mann-Whitney U test (*</w:t>
      </w:r>
      <w:r>
        <w:rPr>
          <w:rFonts w:eastAsia="宋体"/>
          <w:i/>
          <w:iCs/>
          <w:color w:val="000000" w:themeColor="text1"/>
          <w:sz w:val="23"/>
          <w:szCs w:val="23"/>
          <w:lang w:bidi="ar"/>
        </w:rPr>
        <w:t>P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&lt; 0.05, compared with Medium; </w:t>
      </w:r>
      <w:r>
        <w:rPr>
          <w:rFonts w:eastAsia="宋体"/>
          <w:color w:val="000000" w:themeColor="text1"/>
          <w:sz w:val="23"/>
          <w:szCs w:val="23"/>
          <w:lang w:bidi="ar"/>
        </w:rPr>
        <w:t>＃</w:t>
      </w:r>
      <w:r>
        <w:rPr>
          <w:rFonts w:eastAsia="宋体"/>
          <w:i/>
          <w:iCs/>
          <w:color w:val="000000" w:themeColor="text1"/>
          <w:sz w:val="23"/>
          <w:szCs w:val="23"/>
          <w:lang w:bidi="ar"/>
        </w:rPr>
        <w:t>P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&lt; 0.05, compared with LPS alone or LPS+PGA).  </w:t>
      </w:r>
    </w:p>
    <w:p w14:paraId="69AECE59" w14:textId="77777777" w:rsidR="00E06BF4" w:rsidRDefault="00E06BF4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</w:p>
    <w:p w14:paraId="722F1527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34B7DC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2259BB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7D322C2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9E9223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FD1E17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1C2302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1BEE174" w14:textId="77777777" w:rsidR="00E06BF4" w:rsidRDefault="00E06BF4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</w:p>
    <w:p w14:paraId="62DBCDF9" w14:textId="77777777" w:rsidR="00E06BF4" w:rsidRDefault="00E06BF4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</w:p>
    <w:p w14:paraId="2579A818" w14:textId="77777777" w:rsidR="00E06BF4" w:rsidRDefault="00E06BF4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</w:p>
    <w:p w14:paraId="47326401" w14:textId="77777777" w:rsidR="00E06BF4" w:rsidRDefault="00E06BF4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</w:p>
    <w:p w14:paraId="7333588C" w14:textId="77777777" w:rsidR="00E06BF4" w:rsidRDefault="00E06BF4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</w:p>
    <w:p w14:paraId="13D8D911" w14:textId="77777777" w:rsidR="00E06BF4" w:rsidRDefault="00E06BF4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</w:p>
    <w:p w14:paraId="010C0B5D" w14:textId="77777777" w:rsidR="00E06BF4" w:rsidRDefault="00E06BF4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</w:p>
    <w:p w14:paraId="461CAC60" w14:textId="77777777" w:rsidR="00E06BF4" w:rsidRDefault="00E06BF4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</w:p>
    <w:p w14:paraId="550DC48E" w14:textId="77777777" w:rsidR="00E06BF4" w:rsidRDefault="000948FD">
      <w:pPr>
        <w:jc w:val="center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noProof/>
          <w:color w:val="000000" w:themeColor="text1"/>
          <w:sz w:val="23"/>
          <w:szCs w:val="23"/>
          <w:lang w:bidi="ar"/>
        </w:rPr>
        <w:lastRenderedPageBreak/>
        <w:drawing>
          <wp:inline distT="0" distB="0" distL="0" distR="0" wp14:anchorId="105EE2C4" wp14:editId="232E24E3">
            <wp:extent cx="5081905" cy="3985260"/>
            <wp:effectExtent l="0" t="0" r="444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3" cstate="hq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233" cy="39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A4D3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3AFD67F" w14:textId="77777777" w:rsidR="00E06BF4" w:rsidRDefault="000948FD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Fig.S1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>3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.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 xml:space="preserve"> 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Inhibition of oxidative stress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 xml:space="preserve"> 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in the mixture of platelets and neutrophils by M-PGA-M. </w:t>
      </w:r>
      <w:r>
        <w:rPr>
          <w:rFonts w:eastAsia="宋体"/>
          <w:color w:val="000000" w:themeColor="text1"/>
          <w:sz w:val="23"/>
          <w:szCs w:val="23"/>
          <w:lang w:bidi="ar"/>
        </w:rPr>
        <w:t>Platelet-neutrophil mixed cells were stimulated with conditioned medium. 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A</w:t>
      </w:r>
      <w:r>
        <w:rPr>
          <w:rFonts w:eastAsia="宋体"/>
          <w:color w:val="000000" w:themeColor="text1"/>
          <w:sz w:val="23"/>
          <w:szCs w:val="23"/>
          <w:lang w:bidi="ar"/>
        </w:rPr>
        <w:t>) Representative ROS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 xml:space="preserve"> </w:t>
      </w:r>
      <w:r>
        <w:rPr>
          <w:rFonts w:eastAsia="宋体"/>
          <w:color w:val="000000" w:themeColor="text1"/>
          <w:sz w:val="23"/>
          <w:szCs w:val="23"/>
          <w:lang w:bidi="ar"/>
        </w:rPr>
        <w:t>fluorescent staining after different treatment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 xml:space="preserve"> conditions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. Scale bar: 20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μm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>. 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B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) Quantitative data for ROS levels 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>in A</w:t>
      </w:r>
      <w:r>
        <w:rPr>
          <w:rFonts w:eastAsia="宋体"/>
          <w:color w:val="000000" w:themeColor="text1"/>
          <w:sz w:val="23"/>
          <w:szCs w:val="23"/>
          <w:lang w:bidi="ar"/>
        </w:rPr>
        <w:t>. 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C to E</w:t>
      </w:r>
      <w:r>
        <w:rPr>
          <w:rFonts w:eastAsia="宋体"/>
          <w:color w:val="000000" w:themeColor="text1"/>
          <w:sz w:val="23"/>
          <w:szCs w:val="23"/>
          <w:lang w:bidi="ar"/>
        </w:rPr>
        <w:t>) MDA, SOD and GSH levels were measured after different treatment conditions. The data are expressed as the means ± SD, categorical variables are presented as numbers (%). All experiments were performed in triplicate (n = 3). Differences were assessed via Kruskal-Wallis and Mann-Whitney U test in B and one-way ANOVA with Tukey’s multiple comparison tests in C-E (*</w:t>
      </w:r>
      <w:r>
        <w:rPr>
          <w:rFonts w:eastAsia="宋体"/>
          <w:i/>
          <w:iCs/>
          <w:color w:val="000000" w:themeColor="text1"/>
          <w:sz w:val="23"/>
          <w:szCs w:val="23"/>
          <w:lang w:bidi="ar"/>
        </w:rPr>
        <w:t>P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&lt; 0.05, compared with CTL; </w:t>
      </w:r>
      <w:r>
        <w:rPr>
          <w:rFonts w:eastAsia="宋体"/>
          <w:color w:val="000000" w:themeColor="text1"/>
          <w:sz w:val="23"/>
          <w:szCs w:val="23"/>
          <w:lang w:bidi="ar"/>
        </w:rPr>
        <w:t>＃</w:t>
      </w:r>
      <w:r>
        <w:rPr>
          <w:rFonts w:eastAsia="宋体"/>
          <w:i/>
          <w:iCs/>
          <w:color w:val="000000" w:themeColor="text1"/>
          <w:sz w:val="23"/>
          <w:szCs w:val="23"/>
          <w:lang w:bidi="ar"/>
        </w:rPr>
        <w:t>P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&lt; 0.05, compared with LPS alone or LPS+PGA). </w:t>
      </w:r>
    </w:p>
    <w:p w14:paraId="7BC4987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01A986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7565D3F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74416F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A3132AE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C72253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20A66F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41C6C6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1780D2E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59E5C2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7411D3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80B2B22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F82BB3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5556DE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966C60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6C71B4F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F6F84B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442F9E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8791CC2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951073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48F4A95" w14:textId="77777777" w:rsidR="00E06BF4" w:rsidRDefault="000948FD">
      <w:pPr>
        <w:jc w:val="center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noProof/>
          <w:color w:val="000000" w:themeColor="text1"/>
          <w:sz w:val="23"/>
          <w:szCs w:val="23"/>
          <w:lang w:bidi="ar"/>
        </w:rPr>
        <w:lastRenderedPageBreak/>
        <w:drawing>
          <wp:inline distT="0" distB="0" distL="0" distR="0" wp14:anchorId="3C49EE55" wp14:editId="7B4912DC">
            <wp:extent cx="5105400" cy="4145280"/>
            <wp:effectExtent l="0" t="0" r="0" b="762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4" cstate="hq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D226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68D8EF4" w14:textId="77777777" w:rsidR="00E06BF4" w:rsidRDefault="000948FD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Fig.S1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>4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. Blockage of renal oxidative stress by M-PGA-M.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Kidney tissues were collected at 24 hours after different treatments. 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A</w:t>
      </w:r>
      <w:r>
        <w:rPr>
          <w:rFonts w:eastAsia="宋体"/>
          <w:color w:val="000000" w:themeColor="text1"/>
          <w:sz w:val="23"/>
          <w:szCs w:val="23"/>
          <w:lang w:bidi="ar"/>
        </w:rPr>
        <w:t>) Representative ROS fluorescent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 xml:space="preserve"> 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staining of kidneys. Scale bar: 20 </w:t>
      </w:r>
      <w:proofErr w:type="spellStart"/>
      <w:r>
        <w:rPr>
          <w:rFonts w:eastAsia="宋体"/>
          <w:color w:val="000000" w:themeColor="text1"/>
          <w:sz w:val="23"/>
          <w:szCs w:val="23"/>
          <w:lang w:bidi="ar"/>
        </w:rPr>
        <w:t>μm</w:t>
      </w:r>
      <w:proofErr w:type="spellEnd"/>
      <w:r>
        <w:rPr>
          <w:rFonts w:eastAsia="宋体"/>
          <w:color w:val="000000" w:themeColor="text1"/>
          <w:sz w:val="23"/>
          <w:szCs w:val="23"/>
          <w:lang w:bidi="ar"/>
        </w:rPr>
        <w:t>. 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B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) Quantitative data for ROS levels 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>in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>A</w:t>
      </w:r>
      <w:r>
        <w:rPr>
          <w:rFonts w:eastAsia="宋体"/>
          <w:color w:val="000000" w:themeColor="text1"/>
          <w:sz w:val="23"/>
          <w:szCs w:val="23"/>
          <w:lang w:bidi="ar"/>
        </w:rPr>
        <w:t>. 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C to E</w:t>
      </w:r>
      <w:r>
        <w:rPr>
          <w:rFonts w:eastAsia="宋体"/>
          <w:color w:val="000000" w:themeColor="text1"/>
          <w:sz w:val="23"/>
          <w:szCs w:val="23"/>
          <w:lang w:bidi="ar"/>
        </w:rPr>
        <w:t>) MDA, SOD and GSH levels in kidneys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 xml:space="preserve"> </w:t>
      </w:r>
      <w:r>
        <w:rPr>
          <w:rFonts w:eastAsia="宋体"/>
          <w:color w:val="000000" w:themeColor="text1"/>
          <w:sz w:val="23"/>
          <w:szCs w:val="23"/>
          <w:lang w:bidi="ar"/>
        </w:rPr>
        <w:t>were measured after different treatment conditions. The data were expressed as the means ± S</w:t>
      </w:r>
      <w:r>
        <w:rPr>
          <w:rFonts w:eastAsia="宋体" w:hint="eastAsia"/>
          <w:color w:val="000000" w:themeColor="text1"/>
          <w:sz w:val="23"/>
          <w:szCs w:val="23"/>
          <w:lang w:eastAsia="zh-CN" w:bidi="ar"/>
        </w:rPr>
        <w:t>D</w:t>
      </w:r>
      <w:r>
        <w:rPr>
          <w:rFonts w:eastAsia="宋体"/>
          <w:color w:val="000000" w:themeColor="text1"/>
          <w:sz w:val="23"/>
          <w:szCs w:val="23"/>
          <w:lang w:bidi="ar"/>
        </w:rPr>
        <w:t>, categorical variables were presented as numbers (%). Differences were assessed via Kruskal-Wallis and Mann-Whitney U test in B and one-way ANOVA with Tukey’s multiple comparison tests in C-E (*</w:t>
      </w:r>
      <w:r>
        <w:rPr>
          <w:rFonts w:eastAsia="宋体"/>
          <w:i/>
          <w:iCs/>
          <w:color w:val="000000" w:themeColor="text1"/>
          <w:sz w:val="23"/>
          <w:szCs w:val="23"/>
          <w:lang w:bidi="ar"/>
        </w:rPr>
        <w:t>P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&lt; 0.05, compared with saline; </w:t>
      </w:r>
      <w:r>
        <w:rPr>
          <w:rFonts w:eastAsia="宋体"/>
          <w:color w:val="000000" w:themeColor="text1"/>
          <w:sz w:val="23"/>
          <w:szCs w:val="23"/>
          <w:lang w:bidi="ar"/>
        </w:rPr>
        <w:t>＃</w:t>
      </w:r>
      <w:r>
        <w:rPr>
          <w:rFonts w:eastAsia="宋体"/>
          <w:i/>
          <w:iCs/>
          <w:color w:val="000000" w:themeColor="text1"/>
          <w:sz w:val="23"/>
          <w:szCs w:val="23"/>
          <w:lang w:bidi="ar"/>
        </w:rPr>
        <w:t>P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&lt; 0.05, compared with LPS). </w:t>
      </w:r>
    </w:p>
    <w:p w14:paraId="1FB1EFB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8455D5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81A14F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BA22895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6FBBD7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2A02FD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657E1A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478DDB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BDEC71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C87AE3E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C345CE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FDD2F0F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363392E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0954E5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AEA1A2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1FACBE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D6DF09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DB3416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0E1963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94B9411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37C27D7" w14:textId="77777777" w:rsidR="00E06BF4" w:rsidRDefault="000948FD">
      <w:pPr>
        <w:jc w:val="center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noProof/>
          <w:color w:val="000000" w:themeColor="text1"/>
          <w:sz w:val="23"/>
          <w:szCs w:val="23"/>
          <w:lang w:bidi="ar"/>
        </w:rPr>
        <w:lastRenderedPageBreak/>
        <w:drawing>
          <wp:inline distT="0" distB="0" distL="0" distR="0" wp14:anchorId="3D6575E9" wp14:editId="78694C60">
            <wp:extent cx="5463540" cy="3611880"/>
            <wp:effectExtent l="0" t="0" r="3810" b="762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5" cstate="hq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3843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150DF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C587F43" w14:textId="77777777" w:rsidR="00E06BF4" w:rsidRDefault="000948FD">
      <w:pPr>
        <w:jc w:val="both"/>
        <w:rPr>
          <w:rFonts w:eastAsia="宋体"/>
          <w:color w:val="000000" w:themeColor="text1"/>
          <w:sz w:val="23"/>
          <w:szCs w:val="23"/>
          <w:lang w:bidi="ar"/>
        </w:rPr>
      </w:pP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Fig.S1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>5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. Mitigation of LPS-induced multiple organ injury by M-PGA-M. </w:t>
      </w:r>
      <w:r>
        <w:rPr>
          <w:rFonts w:eastAsia="宋体"/>
          <w:color w:val="000000" w:themeColor="text1"/>
          <w:sz w:val="23"/>
          <w:szCs w:val="23"/>
          <w:lang w:bidi="ar"/>
        </w:rPr>
        <w:t>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A to D</w:t>
      </w:r>
      <w:r>
        <w:rPr>
          <w:rFonts w:eastAsia="宋体"/>
          <w:color w:val="000000" w:themeColor="text1"/>
          <w:sz w:val="23"/>
          <w:szCs w:val="23"/>
          <w:lang w:bidi="ar"/>
        </w:rPr>
        <w:t>) Blood samples were collected at 24 hours after different treatments. 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A</w:t>
      </w:r>
      <w:r>
        <w:rPr>
          <w:rFonts w:eastAsia="宋体"/>
          <w:color w:val="000000" w:themeColor="text1"/>
          <w:sz w:val="23"/>
          <w:szCs w:val="23"/>
          <w:lang w:bidi="ar"/>
        </w:rPr>
        <w:t>) AST, 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B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) 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>ALT</w:t>
      </w:r>
      <w:r>
        <w:rPr>
          <w:rFonts w:eastAsia="宋体"/>
          <w:color w:val="000000" w:themeColor="text1"/>
          <w:sz w:val="23"/>
          <w:szCs w:val="23"/>
          <w:lang w:bidi="ar"/>
        </w:rPr>
        <w:t>, 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C</w:t>
      </w:r>
      <w:r>
        <w:rPr>
          <w:rFonts w:eastAsia="宋体"/>
          <w:color w:val="000000" w:themeColor="text1"/>
          <w:sz w:val="23"/>
          <w:szCs w:val="23"/>
          <w:lang w:bidi="ar"/>
        </w:rPr>
        <w:t>) CK and (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>D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) </w:t>
      </w:r>
      <w:r>
        <w:rPr>
          <w:rFonts w:eastAsia="宋体" w:hint="eastAsia"/>
          <w:color w:val="000000" w:themeColor="text1"/>
          <w:sz w:val="23"/>
          <w:szCs w:val="23"/>
          <w:lang w:bidi="ar"/>
        </w:rPr>
        <w:t>CK-MB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levels in serum were analyzed. The data were expressed as the means ± S</w:t>
      </w:r>
      <w:r>
        <w:rPr>
          <w:rFonts w:eastAsia="宋体" w:hint="eastAsia"/>
          <w:color w:val="000000" w:themeColor="text1"/>
          <w:sz w:val="23"/>
          <w:szCs w:val="23"/>
          <w:lang w:eastAsia="zh-CN" w:bidi="ar"/>
        </w:rPr>
        <w:t>D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(n = 6). Differences were assessed via Kruskal-Wallis and Mann-Whitney U test (*</w:t>
      </w:r>
      <w:r>
        <w:rPr>
          <w:rFonts w:eastAsia="宋体"/>
          <w:i/>
          <w:iCs/>
          <w:color w:val="000000" w:themeColor="text1"/>
          <w:sz w:val="23"/>
          <w:szCs w:val="23"/>
          <w:lang w:bidi="ar"/>
        </w:rPr>
        <w:t>P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&lt; 0.05, compared with saline; </w:t>
      </w:r>
      <w:r>
        <w:rPr>
          <w:rFonts w:eastAsia="宋体"/>
          <w:color w:val="000000" w:themeColor="text1"/>
          <w:sz w:val="23"/>
          <w:szCs w:val="23"/>
          <w:lang w:bidi="ar"/>
        </w:rPr>
        <w:t>＃</w:t>
      </w:r>
      <w:r>
        <w:rPr>
          <w:rFonts w:eastAsia="宋体"/>
          <w:i/>
          <w:iCs/>
          <w:color w:val="000000" w:themeColor="text1"/>
          <w:sz w:val="23"/>
          <w:szCs w:val="23"/>
          <w:lang w:bidi="ar"/>
        </w:rPr>
        <w:t>P</w:t>
      </w:r>
      <w:r>
        <w:rPr>
          <w:rFonts w:eastAsia="宋体"/>
          <w:color w:val="000000" w:themeColor="text1"/>
          <w:sz w:val="23"/>
          <w:szCs w:val="23"/>
          <w:lang w:bidi="ar"/>
        </w:rPr>
        <w:t xml:space="preserve"> &lt; 0.05, compared with LPS alone or LPS+PGA). </w:t>
      </w:r>
    </w:p>
    <w:p w14:paraId="0A16F7BF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E2B1C0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6DEF084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71BDC5BA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8575F3E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AED8BF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61E5BC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5B439E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E1E7E35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2DC7392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E4A8A5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CAA37C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92B612E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03BF3E8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708EF1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CC8F6B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4AE58AC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F8C982D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1FB6BA16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400D9943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4BD6CD0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520460B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0CFF6809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3D46D80B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61DAEF5E" w14:textId="77777777" w:rsidR="00E06BF4" w:rsidRDefault="00E06BF4">
      <w:pPr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</w:p>
    <w:p w14:paraId="271DCD08" w14:textId="77777777" w:rsidR="00E06BF4" w:rsidRDefault="000948FD">
      <w:pPr>
        <w:jc w:val="both"/>
        <w:rPr>
          <w:rFonts w:eastAsia="宋体"/>
          <w:b/>
          <w:bCs/>
          <w:color w:val="000000" w:themeColor="text1"/>
          <w:sz w:val="23"/>
          <w:szCs w:val="23"/>
          <w:lang w:bidi="ar"/>
        </w:rPr>
      </w:pP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lastRenderedPageBreak/>
        <w:t xml:space="preserve">Table.S1. Values expressed as mean 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>±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 xml:space="preserve"> SD or number (percent), </w:t>
      </w:r>
      <w:r>
        <w:rPr>
          <w:rFonts w:eastAsia="宋体" w:hint="eastAsia"/>
          <w:b/>
          <w:bCs/>
          <w:i/>
          <w:iCs/>
          <w:color w:val="000000" w:themeColor="text1"/>
          <w:sz w:val="23"/>
          <w:szCs w:val="23"/>
          <w:lang w:bidi="ar"/>
        </w:rPr>
        <w:t xml:space="preserve">P 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>&lt; 0.05</w:t>
      </w:r>
      <w:r>
        <w:rPr>
          <w:rFonts w:eastAsia="宋体"/>
          <w:b/>
          <w:bCs/>
          <w:color w:val="000000" w:themeColor="text1"/>
          <w:sz w:val="23"/>
          <w:szCs w:val="23"/>
          <w:lang w:bidi="ar"/>
        </w:rPr>
        <w:t xml:space="preserve"> were</w:t>
      </w:r>
      <w:r>
        <w:rPr>
          <w:rFonts w:eastAsia="宋体" w:hint="eastAsia"/>
          <w:b/>
          <w:bCs/>
          <w:color w:val="000000" w:themeColor="text1"/>
          <w:sz w:val="23"/>
          <w:szCs w:val="23"/>
          <w:lang w:bidi="ar"/>
        </w:rPr>
        <w:t xml:space="preserve"> considered statistically significant.</w:t>
      </w:r>
    </w:p>
    <w:p w14:paraId="3D4F6441" w14:textId="77777777" w:rsidR="00E06BF4" w:rsidRDefault="00E06BF4">
      <w:pPr>
        <w:pStyle w:val="SMcaption"/>
        <w:jc w:val="both"/>
        <w:rPr>
          <w:color w:val="000000" w:themeColor="text1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0"/>
        <w:gridCol w:w="1608"/>
        <w:gridCol w:w="1723"/>
        <w:gridCol w:w="957"/>
      </w:tblGrid>
      <w:tr w:rsidR="00E06BF4" w14:paraId="027637A7" w14:textId="77777777">
        <w:trPr>
          <w:trHeight w:val="397"/>
          <w:jc w:val="center"/>
        </w:trPr>
        <w:tc>
          <w:tcPr>
            <w:tcW w:w="0" w:type="auto"/>
            <w:tcBorders>
              <w:top w:val="single" w:sz="12" w:space="0" w:color="080000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C5DBDE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Characteristic</w:t>
            </w:r>
          </w:p>
        </w:tc>
        <w:tc>
          <w:tcPr>
            <w:tcW w:w="0" w:type="auto"/>
            <w:tcBorders>
              <w:top w:val="single" w:sz="12" w:space="0" w:color="080000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90ADB7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Health (n=47)</w:t>
            </w:r>
          </w:p>
        </w:tc>
        <w:tc>
          <w:tcPr>
            <w:tcW w:w="0" w:type="auto"/>
            <w:tcBorders>
              <w:top w:val="single" w:sz="12" w:space="0" w:color="080000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6505B2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AKI (n=46)</w:t>
            </w:r>
          </w:p>
        </w:tc>
        <w:tc>
          <w:tcPr>
            <w:tcW w:w="0" w:type="auto"/>
            <w:tcBorders>
              <w:top w:val="single" w:sz="12" w:space="0" w:color="080000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984AB1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000000" w:themeColor="text1"/>
                <w:sz w:val="23"/>
                <w:szCs w:val="23"/>
              </w:rPr>
              <w:t>P</w:t>
            </w:r>
            <w:r>
              <w:rPr>
                <w:b/>
                <w:bCs/>
                <w:color w:val="000000" w:themeColor="text1"/>
                <w:sz w:val="23"/>
                <w:szCs w:val="23"/>
              </w:rPr>
              <w:t>-value</w:t>
            </w:r>
          </w:p>
        </w:tc>
      </w:tr>
      <w:tr w:rsidR="00E06BF4" w14:paraId="2E9C24AE" w14:textId="77777777">
        <w:trPr>
          <w:trHeight w:val="362"/>
          <w:jc w:val="center"/>
        </w:trPr>
        <w:tc>
          <w:tcPr>
            <w:tcW w:w="0" w:type="auto"/>
            <w:tcBorders>
              <w:top w:val="single" w:sz="12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41C2DC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Age (y)</w:t>
            </w:r>
          </w:p>
        </w:tc>
        <w:tc>
          <w:tcPr>
            <w:tcW w:w="0" w:type="auto"/>
            <w:tcBorders>
              <w:top w:val="single" w:sz="12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DD2673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47.06 ± 16.68</w:t>
            </w:r>
          </w:p>
        </w:tc>
        <w:tc>
          <w:tcPr>
            <w:tcW w:w="0" w:type="auto"/>
            <w:tcBorders>
              <w:top w:val="single" w:sz="12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18E0E9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52.34 ± 17.33</w:t>
            </w:r>
          </w:p>
        </w:tc>
        <w:tc>
          <w:tcPr>
            <w:tcW w:w="0" w:type="auto"/>
            <w:tcBorders>
              <w:top w:val="single" w:sz="12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791EB7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0.146</w:t>
            </w:r>
          </w:p>
        </w:tc>
      </w:tr>
      <w:tr w:rsidR="00E06BF4" w14:paraId="4D804C34" w14:textId="77777777">
        <w:trPr>
          <w:trHeight w:val="36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37E4A7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Sex (Male/Female)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4BB268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33/14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083485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31/15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D3AC28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0.769</w:t>
            </w:r>
          </w:p>
        </w:tc>
      </w:tr>
      <w:tr w:rsidR="00E06BF4" w14:paraId="7F275826" w14:textId="77777777">
        <w:trPr>
          <w:trHeight w:val="3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F84048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Sepsis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C6D862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宋体"/>
                <w:color w:val="000000" w:themeColor="text1"/>
                <w:sz w:val="23"/>
                <w:szCs w:val="23"/>
              </w:rPr>
              <w:t>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67F35B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EFB609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宋体"/>
                <w:color w:val="000000" w:themeColor="text1"/>
                <w:sz w:val="23"/>
                <w:szCs w:val="23"/>
              </w:rPr>
              <w:t>－</w:t>
            </w:r>
          </w:p>
        </w:tc>
      </w:tr>
      <w:tr w:rsidR="00E06BF4" w14:paraId="46E72D22" w14:textId="77777777">
        <w:trPr>
          <w:trHeight w:val="3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6DA4B0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Nephrotic Syndrome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53C995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宋体"/>
                <w:color w:val="000000" w:themeColor="text1"/>
                <w:sz w:val="23"/>
                <w:szCs w:val="23"/>
              </w:rPr>
              <w:t>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692434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9EDF3F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宋体"/>
                <w:color w:val="000000" w:themeColor="text1"/>
                <w:sz w:val="23"/>
                <w:szCs w:val="23"/>
              </w:rPr>
              <w:t>－</w:t>
            </w:r>
          </w:p>
        </w:tc>
      </w:tr>
      <w:tr w:rsidR="00E06BF4" w14:paraId="5FD7C0EB" w14:textId="77777777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BB4280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Lupus Nephritis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F302F1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宋体"/>
                <w:color w:val="000000" w:themeColor="text1"/>
                <w:sz w:val="23"/>
                <w:szCs w:val="23"/>
              </w:rPr>
              <w:t>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C4943F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77ED4F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宋体"/>
                <w:color w:val="000000" w:themeColor="text1"/>
                <w:sz w:val="23"/>
                <w:szCs w:val="23"/>
              </w:rPr>
              <w:t>－</w:t>
            </w:r>
          </w:p>
        </w:tc>
      </w:tr>
      <w:tr w:rsidR="00E06BF4" w14:paraId="6C8E872C" w14:textId="77777777">
        <w:trPr>
          <w:trHeight w:val="38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10F3AD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Chemotherapeutic </w:t>
            </w:r>
            <w:proofErr w:type="gramStart"/>
            <w:r>
              <w:rPr>
                <w:color w:val="000000" w:themeColor="text1"/>
                <w:sz w:val="23"/>
                <w:szCs w:val="23"/>
              </w:rPr>
              <w:t>drug  associated</w:t>
            </w:r>
            <w:proofErr w:type="gramEnd"/>
            <w:r>
              <w:rPr>
                <w:color w:val="000000" w:themeColor="text1"/>
                <w:sz w:val="23"/>
                <w:szCs w:val="23"/>
              </w:rPr>
              <w:t xml:space="preserve"> AKI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611ACC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宋体"/>
                <w:color w:val="000000" w:themeColor="text1"/>
                <w:sz w:val="23"/>
                <w:szCs w:val="23"/>
              </w:rPr>
              <w:t>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4DF420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15.22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9B5EBF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宋体"/>
                <w:color w:val="000000" w:themeColor="text1"/>
                <w:sz w:val="23"/>
                <w:szCs w:val="23"/>
              </w:rPr>
              <w:t>－</w:t>
            </w:r>
          </w:p>
        </w:tc>
      </w:tr>
      <w:tr w:rsidR="00E06BF4" w14:paraId="48D260EF" w14:textId="77777777">
        <w:trPr>
          <w:trHeight w:val="38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E48F42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Malignant Hypertension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589C97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宋体"/>
                <w:color w:val="000000" w:themeColor="text1"/>
                <w:sz w:val="23"/>
                <w:szCs w:val="23"/>
              </w:rPr>
              <w:t>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7BF684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ACFF7E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宋体"/>
                <w:color w:val="000000" w:themeColor="text1"/>
                <w:sz w:val="23"/>
                <w:szCs w:val="23"/>
              </w:rPr>
              <w:t>－</w:t>
            </w:r>
          </w:p>
        </w:tc>
      </w:tr>
      <w:tr w:rsidR="00E06BF4" w14:paraId="35B0F274" w14:textId="77777777">
        <w:trPr>
          <w:trHeight w:val="39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DD9AB3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Obstructive Nephropathy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8491C1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宋体"/>
                <w:color w:val="000000" w:themeColor="text1"/>
                <w:sz w:val="23"/>
                <w:szCs w:val="23"/>
              </w:rPr>
              <w:t>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D872F3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BECC50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宋体"/>
                <w:color w:val="000000" w:themeColor="text1"/>
                <w:sz w:val="23"/>
                <w:szCs w:val="23"/>
              </w:rPr>
              <w:t>－</w:t>
            </w:r>
          </w:p>
        </w:tc>
      </w:tr>
      <w:tr w:rsidR="00E06BF4" w14:paraId="122AE76D" w14:textId="77777777">
        <w:trPr>
          <w:trHeight w:val="39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521A5D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Tsutsugamushi Diseases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CA53E7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宋体"/>
                <w:color w:val="000000" w:themeColor="text1"/>
                <w:sz w:val="23"/>
                <w:szCs w:val="23"/>
              </w:rPr>
              <w:t>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0190E6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208212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宋体"/>
                <w:color w:val="000000" w:themeColor="text1"/>
                <w:sz w:val="23"/>
                <w:szCs w:val="23"/>
              </w:rPr>
              <w:t>－</w:t>
            </w:r>
          </w:p>
        </w:tc>
      </w:tr>
      <w:tr w:rsidR="00E06BF4" w14:paraId="47BC1A8C" w14:textId="77777777">
        <w:trPr>
          <w:trHeight w:val="39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FCEFE1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Serum creatinine (</w:t>
            </w:r>
            <w:proofErr w:type="spellStart"/>
            <w:r>
              <w:rPr>
                <w:color w:val="000000" w:themeColor="text1"/>
                <w:sz w:val="23"/>
                <w:szCs w:val="23"/>
              </w:rPr>
              <w:t>μmoI</w:t>
            </w:r>
            <w:proofErr w:type="spellEnd"/>
            <w:r>
              <w:rPr>
                <w:color w:val="000000" w:themeColor="text1"/>
                <w:sz w:val="23"/>
                <w:szCs w:val="23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8B55D2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69.77 ± 11.81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680CEA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341.09 ± 195.48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C44C9E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0.000</w:t>
            </w:r>
          </w:p>
        </w:tc>
      </w:tr>
      <w:tr w:rsidR="00E06BF4" w14:paraId="12890F55" w14:textId="77777777">
        <w:trPr>
          <w:trHeight w:val="34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533BD6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color w:val="000000" w:themeColor="text1"/>
                <w:sz w:val="23"/>
                <w:szCs w:val="23"/>
              </w:rPr>
              <w:t>cfDNA</w:t>
            </w:r>
            <w:proofErr w:type="spellEnd"/>
            <w:r>
              <w:rPr>
                <w:color w:val="000000" w:themeColor="text1"/>
                <w:sz w:val="23"/>
                <w:szCs w:val="23"/>
              </w:rPr>
              <w:t xml:space="preserve"> (ng/mL)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2B4574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177.40 ± 50.21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143C46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362.51 ± 145.89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5907B3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0.000</w:t>
            </w:r>
          </w:p>
        </w:tc>
      </w:tr>
      <w:tr w:rsidR="00E06BF4" w14:paraId="22345125" w14:textId="77777777">
        <w:trPr>
          <w:trHeight w:val="357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1DF749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Neutrophils </w:t>
            </w:r>
            <w:proofErr w:type="gramStart"/>
            <w:r>
              <w:rPr>
                <w:color w:val="000000" w:themeColor="text1"/>
                <w:sz w:val="23"/>
                <w:szCs w:val="23"/>
              </w:rPr>
              <w:t>( ×</w:t>
            </w:r>
            <w:proofErr w:type="gramEnd"/>
            <w:r>
              <w:rPr>
                <w:color w:val="000000" w:themeColor="text1"/>
                <w:sz w:val="23"/>
                <w:szCs w:val="23"/>
              </w:rPr>
              <w:t>10</w:t>
            </w:r>
            <w:r>
              <w:rPr>
                <w:color w:val="000000" w:themeColor="text1"/>
                <w:sz w:val="23"/>
                <w:szCs w:val="23"/>
                <w:vertAlign w:val="superscript"/>
              </w:rPr>
              <w:t>9</w:t>
            </w:r>
            <w:r>
              <w:rPr>
                <w:color w:val="000000" w:themeColor="text1"/>
                <w:sz w:val="23"/>
                <w:szCs w:val="23"/>
              </w:rPr>
              <w:t>/L 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A48955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宋体"/>
                <w:color w:val="000000" w:themeColor="text1"/>
                <w:sz w:val="23"/>
                <w:szCs w:val="23"/>
              </w:rPr>
              <w:t>－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35453D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7.27 ± 3.99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AE1A51" w14:textId="77777777" w:rsidR="00E06BF4" w:rsidRDefault="000948FD">
            <w:pPr>
              <w:pStyle w:val="SMcaption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rFonts w:eastAsia="宋体"/>
                <w:color w:val="000000" w:themeColor="text1"/>
                <w:sz w:val="23"/>
                <w:szCs w:val="23"/>
              </w:rPr>
              <w:t>－</w:t>
            </w:r>
          </w:p>
        </w:tc>
      </w:tr>
    </w:tbl>
    <w:p w14:paraId="4B4045C4" w14:textId="5EF45C6F" w:rsidR="00E06BF4" w:rsidRPr="00A82736" w:rsidRDefault="000948FD" w:rsidP="00A82736">
      <w:pPr>
        <w:adjustRightInd w:val="0"/>
        <w:snapToGrid w:val="0"/>
        <w:spacing w:line="480" w:lineRule="auto"/>
        <w:jc w:val="both"/>
        <w:textAlignment w:val="center"/>
        <w:rPr>
          <w:rFonts w:eastAsia="Times New Roman"/>
          <w:color w:val="000000" w:themeColor="text1"/>
          <w:sz w:val="24"/>
        </w:rPr>
      </w:pPr>
      <w:r>
        <w:rPr>
          <w:rFonts w:eastAsia="Times New Roman"/>
          <w:color w:val="000000" w:themeColor="text1"/>
          <w:sz w:val="24"/>
        </w:rPr>
        <w:t xml:space="preserve"> </w:t>
      </w:r>
    </w:p>
    <w:sectPr w:rsidR="00E06BF4" w:rsidRPr="00A82736">
      <w:footerReference w:type="default" r:id="rId26"/>
      <w:footerReference w:type="first" r:id="rId27"/>
      <w:pgSz w:w="12240" w:h="15840"/>
      <w:pgMar w:top="994" w:right="1987" w:bottom="806" w:left="806" w:header="432" w:footer="259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C3DC5" w14:textId="77777777" w:rsidR="00F332B8" w:rsidRDefault="00F332B8">
      <w:r>
        <w:separator/>
      </w:r>
    </w:p>
  </w:endnote>
  <w:endnote w:type="continuationSeparator" w:id="0">
    <w:p w14:paraId="69275559" w14:textId="77777777" w:rsidR="00F332B8" w:rsidRDefault="00F3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Courier New"/>
    <w:charset w:val="00"/>
    <w:family w:val="auto"/>
    <w:pitch w:val="default"/>
    <w:sig w:usb0="00000000" w:usb1="00000000" w:usb2="00000000" w:usb3="00000000" w:csb0="000001BF" w:csb1="00000000"/>
  </w:font>
  <w:font w:name="Consolas">
    <w:panose1 w:val="020B0609020204030204"/>
    <w:charset w:val="00"/>
    <w:family w:val="modern"/>
    <w:pitch w:val="default"/>
    <w:sig w:usb0="E00002FF" w:usb1="0000FCFF" w:usb2="00000001" w:usb3="00000000" w:csb0="6000019F" w:csb1="DFD7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BlissRegular">
    <w:altName w:val="Cambria"/>
    <w:charset w:val="00"/>
    <w:family w:val="roman"/>
    <w:pitch w:val="default"/>
    <w:sig w:usb0="00000000" w:usb1="00000000" w:usb2="00000000" w:usb3="00000000" w:csb0="00000001" w:csb1="00000000"/>
  </w:font>
  <w:font w:name="BlissMedium">
    <w:altName w:val="Cambria"/>
    <w:charset w:val="00"/>
    <w:family w:val="roman"/>
    <w:pitch w:val="default"/>
    <w:sig w:usb0="00000000" w:usb1="00000000" w:usb2="00000000" w:usb3="00000000" w:csb0="00000001" w:csb1="00000000"/>
  </w:font>
  <w:font w:name="BlissBold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BADD" w14:textId="77777777" w:rsidR="00E06BF4" w:rsidRDefault="000948FD">
    <w:pPr>
      <w:pStyle w:val="a9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</w:t>
    </w:r>
    <w:r>
      <w:rPr>
        <w:rFonts w:eastAsia="宋体" w:hint="eastAsia"/>
        <w:sz w:val="18"/>
        <w:szCs w:val="18"/>
        <w:lang w:eastAsia="zh-CN"/>
      </w:rPr>
      <w:t xml:space="preserve">                                                                                                                </w:t>
    </w:r>
    <w:r>
      <w:rPr>
        <w:sz w:val="18"/>
        <w:szCs w:val="18"/>
      </w:rPr>
      <w:t xml:space="preserve"> Page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PAGE </w:instrText>
    </w:r>
    <w:r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2</w:t>
    </w:r>
    <w:r>
      <w:rPr>
        <w:b/>
        <w:bCs/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NUMPAGES  </w:instrText>
    </w:r>
    <w:r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6</w:t>
    </w:r>
    <w:r>
      <w:rPr>
        <w:b/>
        <w:bCs/>
        <w:sz w:val="18"/>
        <w:szCs w:val="18"/>
      </w:rPr>
      <w:fldChar w:fldCharType="end"/>
    </w:r>
  </w:p>
  <w:p w14:paraId="1FB7B3F0" w14:textId="77777777" w:rsidR="00E06BF4" w:rsidRDefault="00E06BF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74EDC" w14:textId="77777777" w:rsidR="00E06BF4" w:rsidRDefault="000948FD">
    <w:pPr>
      <w:pStyle w:val="a9"/>
      <w:pBdr>
        <w:top w:val="single" w:sz="4" w:space="1" w:color="auto"/>
      </w:pBdr>
      <w:jc w:val="center"/>
      <w:rPr>
        <w:sz w:val="18"/>
        <w:szCs w:val="18"/>
      </w:rPr>
    </w:pPr>
    <w:r>
      <w:rPr>
        <w:rFonts w:eastAsia="宋体" w:hint="eastAsia"/>
        <w:sz w:val="18"/>
        <w:szCs w:val="18"/>
        <w:lang w:eastAsia="zh-CN"/>
      </w:rPr>
      <w:t xml:space="preserve">                                                                                                                                             </w:t>
    </w:r>
    <w:r>
      <w:rPr>
        <w:sz w:val="18"/>
        <w:szCs w:val="18"/>
      </w:rPr>
      <w:t xml:space="preserve">                                             Page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PAGE </w:instrText>
    </w:r>
    <w:r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>
      <w:rPr>
        <w:b/>
        <w:bCs/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NUMPAGES  </w:instrText>
    </w:r>
    <w:r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6</w:t>
    </w:r>
    <w:r>
      <w:rPr>
        <w:b/>
        <w:bCs/>
        <w:sz w:val="18"/>
        <w:szCs w:val="18"/>
      </w:rPr>
      <w:fldChar w:fldCharType="end"/>
    </w:r>
  </w:p>
  <w:p w14:paraId="4FA92942" w14:textId="77777777" w:rsidR="00E06BF4" w:rsidRDefault="00E06BF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3F7FA" w14:textId="77777777" w:rsidR="00F332B8" w:rsidRDefault="00F332B8">
      <w:r>
        <w:separator/>
      </w:r>
    </w:p>
  </w:footnote>
  <w:footnote w:type="continuationSeparator" w:id="0">
    <w:p w14:paraId="1C7F8B96" w14:textId="77777777" w:rsidR="00F332B8" w:rsidRDefault="00F33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B29D4"/>
    <w:multiLevelType w:val="multilevel"/>
    <w:tmpl w:val="5AFB29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FhYTAyN2NlYWMwODAxODA4NWQ2MTk2MDc1MGUwMjgifQ=="/>
    <w:docVar w:name="KY_MEDREF_DOCUID" w:val="{428A1B9B-EF43-4161-8068-E1C9408317AE}"/>
    <w:docVar w:name="KY_MEDREF_VERSION" w:val="3"/>
  </w:docVars>
  <w:rsids>
    <w:rsidRoot w:val="0064261D"/>
    <w:rsid w:val="00014D96"/>
    <w:rsid w:val="0003674A"/>
    <w:rsid w:val="00037583"/>
    <w:rsid w:val="000377D0"/>
    <w:rsid w:val="0004134A"/>
    <w:rsid w:val="00050A43"/>
    <w:rsid w:val="00061992"/>
    <w:rsid w:val="000627F5"/>
    <w:rsid w:val="000770A7"/>
    <w:rsid w:val="000948FD"/>
    <w:rsid w:val="000A12AF"/>
    <w:rsid w:val="000B2C20"/>
    <w:rsid w:val="000B7F0C"/>
    <w:rsid w:val="0010470F"/>
    <w:rsid w:val="00121D69"/>
    <w:rsid w:val="00125A6E"/>
    <w:rsid w:val="00143D0F"/>
    <w:rsid w:val="00157597"/>
    <w:rsid w:val="00161946"/>
    <w:rsid w:val="00161C59"/>
    <w:rsid w:val="001662E0"/>
    <w:rsid w:val="001B3B1A"/>
    <w:rsid w:val="001B5133"/>
    <w:rsid w:val="001B658A"/>
    <w:rsid w:val="001E37BC"/>
    <w:rsid w:val="002027EB"/>
    <w:rsid w:val="00202BD8"/>
    <w:rsid w:val="002056A7"/>
    <w:rsid w:val="00222BCB"/>
    <w:rsid w:val="00223F87"/>
    <w:rsid w:val="0022573C"/>
    <w:rsid w:val="0023426C"/>
    <w:rsid w:val="00237B12"/>
    <w:rsid w:val="00243C9D"/>
    <w:rsid w:val="00244F9B"/>
    <w:rsid w:val="002542CA"/>
    <w:rsid w:val="00266FB0"/>
    <w:rsid w:val="002762CB"/>
    <w:rsid w:val="00282E2A"/>
    <w:rsid w:val="002A001D"/>
    <w:rsid w:val="002F4616"/>
    <w:rsid w:val="0030158E"/>
    <w:rsid w:val="00326B4D"/>
    <w:rsid w:val="00352C52"/>
    <w:rsid w:val="00354D9E"/>
    <w:rsid w:val="003B6753"/>
    <w:rsid w:val="003C63AD"/>
    <w:rsid w:val="003E5A9F"/>
    <w:rsid w:val="003F6AB3"/>
    <w:rsid w:val="004021D9"/>
    <w:rsid w:val="00402374"/>
    <w:rsid w:val="0041521B"/>
    <w:rsid w:val="00423C6C"/>
    <w:rsid w:val="00434680"/>
    <w:rsid w:val="00454396"/>
    <w:rsid w:val="00460308"/>
    <w:rsid w:val="00461BB3"/>
    <w:rsid w:val="00467929"/>
    <w:rsid w:val="00490034"/>
    <w:rsid w:val="00491A0D"/>
    <w:rsid w:val="004A10BE"/>
    <w:rsid w:val="004A4A54"/>
    <w:rsid w:val="004C6454"/>
    <w:rsid w:val="00516D77"/>
    <w:rsid w:val="00524A4C"/>
    <w:rsid w:val="005341F3"/>
    <w:rsid w:val="00534DAE"/>
    <w:rsid w:val="00534E77"/>
    <w:rsid w:val="00556452"/>
    <w:rsid w:val="005677D3"/>
    <w:rsid w:val="00585E49"/>
    <w:rsid w:val="005B36C0"/>
    <w:rsid w:val="005F1E9F"/>
    <w:rsid w:val="00605309"/>
    <w:rsid w:val="00612E0D"/>
    <w:rsid w:val="00621B71"/>
    <w:rsid w:val="00623C54"/>
    <w:rsid w:val="006336E9"/>
    <w:rsid w:val="0064261D"/>
    <w:rsid w:val="00672FB2"/>
    <w:rsid w:val="00674005"/>
    <w:rsid w:val="00676F73"/>
    <w:rsid w:val="006772C0"/>
    <w:rsid w:val="00677536"/>
    <w:rsid w:val="0069216B"/>
    <w:rsid w:val="0069612A"/>
    <w:rsid w:val="006A01E0"/>
    <w:rsid w:val="006B67F2"/>
    <w:rsid w:val="006D377C"/>
    <w:rsid w:val="006E194D"/>
    <w:rsid w:val="006F0785"/>
    <w:rsid w:val="006F445B"/>
    <w:rsid w:val="007248E2"/>
    <w:rsid w:val="007261A5"/>
    <w:rsid w:val="0072653A"/>
    <w:rsid w:val="0075480B"/>
    <w:rsid w:val="00755DB0"/>
    <w:rsid w:val="00763EA3"/>
    <w:rsid w:val="007871B0"/>
    <w:rsid w:val="007876CD"/>
    <w:rsid w:val="00790685"/>
    <w:rsid w:val="00795C85"/>
    <w:rsid w:val="007B5E14"/>
    <w:rsid w:val="007C461D"/>
    <w:rsid w:val="007E1FBC"/>
    <w:rsid w:val="007F4748"/>
    <w:rsid w:val="00800B9E"/>
    <w:rsid w:val="00811C5F"/>
    <w:rsid w:val="00832E9F"/>
    <w:rsid w:val="00845597"/>
    <w:rsid w:val="008573F1"/>
    <w:rsid w:val="00863890"/>
    <w:rsid w:val="008645E8"/>
    <w:rsid w:val="00865346"/>
    <w:rsid w:val="008707B4"/>
    <w:rsid w:val="0087515E"/>
    <w:rsid w:val="00880C6A"/>
    <w:rsid w:val="008A0DFF"/>
    <w:rsid w:val="008A2BA0"/>
    <w:rsid w:val="008A6ABB"/>
    <w:rsid w:val="008B1E1B"/>
    <w:rsid w:val="008B3C35"/>
    <w:rsid w:val="008B601B"/>
    <w:rsid w:val="008B74EC"/>
    <w:rsid w:val="008D7751"/>
    <w:rsid w:val="0090405E"/>
    <w:rsid w:val="00912AF5"/>
    <w:rsid w:val="00917D4D"/>
    <w:rsid w:val="009311AA"/>
    <w:rsid w:val="0093615D"/>
    <w:rsid w:val="00943D39"/>
    <w:rsid w:val="00950DEC"/>
    <w:rsid w:val="00955ED4"/>
    <w:rsid w:val="009748D2"/>
    <w:rsid w:val="009841BA"/>
    <w:rsid w:val="00986C84"/>
    <w:rsid w:val="009A6229"/>
    <w:rsid w:val="009D10A3"/>
    <w:rsid w:val="00A043A9"/>
    <w:rsid w:val="00A04CD2"/>
    <w:rsid w:val="00A058A2"/>
    <w:rsid w:val="00A06077"/>
    <w:rsid w:val="00A06912"/>
    <w:rsid w:val="00A16C38"/>
    <w:rsid w:val="00A240FE"/>
    <w:rsid w:val="00A320EB"/>
    <w:rsid w:val="00A4424B"/>
    <w:rsid w:val="00A82736"/>
    <w:rsid w:val="00A9311D"/>
    <w:rsid w:val="00A96E1E"/>
    <w:rsid w:val="00AA412F"/>
    <w:rsid w:val="00AB2540"/>
    <w:rsid w:val="00AB5717"/>
    <w:rsid w:val="00AC1076"/>
    <w:rsid w:val="00AC2069"/>
    <w:rsid w:val="00AC2887"/>
    <w:rsid w:val="00AC364C"/>
    <w:rsid w:val="00AE514C"/>
    <w:rsid w:val="00AE53EB"/>
    <w:rsid w:val="00AE6F15"/>
    <w:rsid w:val="00AF6017"/>
    <w:rsid w:val="00B04E19"/>
    <w:rsid w:val="00B151F8"/>
    <w:rsid w:val="00B204EA"/>
    <w:rsid w:val="00B33C12"/>
    <w:rsid w:val="00B3405F"/>
    <w:rsid w:val="00B36EBC"/>
    <w:rsid w:val="00B43C16"/>
    <w:rsid w:val="00B547A9"/>
    <w:rsid w:val="00B80428"/>
    <w:rsid w:val="00B86A81"/>
    <w:rsid w:val="00B9057C"/>
    <w:rsid w:val="00B949F9"/>
    <w:rsid w:val="00BA203B"/>
    <w:rsid w:val="00BB2D93"/>
    <w:rsid w:val="00BC15DD"/>
    <w:rsid w:val="00BC44A1"/>
    <w:rsid w:val="00BD6E93"/>
    <w:rsid w:val="00BF179F"/>
    <w:rsid w:val="00C00F10"/>
    <w:rsid w:val="00C022BD"/>
    <w:rsid w:val="00C24E70"/>
    <w:rsid w:val="00C32922"/>
    <w:rsid w:val="00C64982"/>
    <w:rsid w:val="00C85127"/>
    <w:rsid w:val="00C917E9"/>
    <w:rsid w:val="00CB31D5"/>
    <w:rsid w:val="00CB6904"/>
    <w:rsid w:val="00CC059C"/>
    <w:rsid w:val="00CC4248"/>
    <w:rsid w:val="00CE3B9E"/>
    <w:rsid w:val="00CE6AA7"/>
    <w:rsid w:val="00D00080"/>
    <w:rsid w:val="00D13464"/>
    <w:rsid w:val="00D35E5C"/>
    <w:rsid w:val="00D41836"/>
    <w:rsid w:val="00D4447C"/>
    <w:rsid w:val="00D57045"/>
    <w:rsid w:val="00D57978"/>
    <w:rsid w:val="00D72C37"/>
    <w:rsid w:val="00D90194"/>
    <w:rsid w:val="00D913D9"/>
    <w:rsid w:val="00D92A65"/>
    <w:rsid w:val="00D95992"/>
    <w:rsid w:val="00DD6F03"/>
    <w:rsid w:val="00DE77F7"/>
    <w:rsid w:val="00DF2EEA"/>
    <w:rsid w:val="00DF767A"/>
    <w:rsid w:val="00E03C99"/>
    <w:rsid w:val="00E046B8"/>
    <w:rsid w:val="00E06BF4"/>
    <w:rsid w:val="00E158CC"/>
    <w:rsid w:val="00E251BB"/>
    <w:rsid w:val="00E41B2B"/>
    <w:rsid w:val="00E41BF0"/>
    <w:rsid w:val="00E54686"/>
    <w:rsid w:val="00E54DDF"/>
    <w:rsid w:val="00E66C7D"/>
    <w:rsid w:val="00E76322"/>
    <w:rsid w:val="00E81909"/>
    <w:rsid w:val="00E81946"/>
    <w:rsid w:val="00E81A31"/>
    <w:rsid w:val="00EA75EC"/>
    <w:rsid w:val="00EB3AC7"/>
    <w:rsid w:val="00EB6D47"/>
    <w:rsid w:val="00EC3451"/>
    <w:rsid w:val="00EC5A6C"/>
    <w:rsid w:val="00EC6675"/>
    <w:rsid w:val="00ED3846"/>
    <w:rsid w:val="00ED3CC6"/>
    <w:rsid w:val="00ED3D33"/>
    <w:rsid w:val="00EE1B02"/>
    <w:rsid w:val="00EE3ACF"/>
    <w:rsid w:val="00EE6549"/>
    <w:rsid w:val="00F01E4D"/>
    <w:rsid w:val="00F02265"/>
    <w:rsid w:val="00F04C7D"/>
    <w:rsid w:val="00F07817"/>
    <w:rsid w:val="00F332B8"/>
    <w:rsid w:val="00F33484"/>
    <w:rsid w:val="00F40AF5"/>
    <w:rsid w:val="00F62276"/>
    <w:rsid w:val="00F62B91"/>
    <w:rsid w:val="00FA6774"/>
    <w:rsid w:val="00FB460E"/>
    <w:rsid w:val="00FC2185"/>
    <w:rsid w:val="00FD003F"/>
    <w:rsid w:val="00FD2DE3"/>
    <w:rsid w:val="00FF5437"/>
    <w:rsid w:val="00FF7ACC"/>
    <w:rsid w:val="041B6FDA"/>
    <w:rsid w:val="065E12A3"/>
    <w:rsid w:val="115E8A38"/>
    <w:rsid w:val="132135A6"/>
    <w:rsid w:val="1AE4AC1F"/>
    <w:rsid w:val="248B06E3"/>
    <w:rsid w:val="2B07372B"/>
    <w:rsid w:val="2E392920"/>
    <w:rsid w:val="45EF750C"/>
    <w:rsid w:val="48B42113"/>
    <w:rsid w:val="4FAB6FC5"/>
    <w:rsid w:val="579D34E5"/>
    <w:rsid w:val="65300463"/>
    <w:rsid w:val="66031F8A"/>
    <w:rsid w:val="70674D1D"/>
    <w:rsid w:val="7EC6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EDE0D47"/>
  <w14:defaultImageDpi w14:val="32767"/>
  <w15:docId w15:val="{3DD5756F-5D21-47D4-9119-1AAB7231D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uiPriority="0" w:qFormat="1"/>
    <w:lsdException w:name="line number" w:uiPriority="0" w:qFormat="1"/>
    <w:lsdException w:name="page number" w:uiPriority="0" w:qFormat="1"/>
    <w:lsdException w:name="endnote reference" w:semiHidden="1" w:uiPriority="0" w:qFormat="1"/>
    <w:lsdException w:name="endnote text" w:semiHidden="1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uiPriority="0" w:qFormat="1"/>
    <w:lsdException w:name="HTML Address" w:semiHidden="1" w:unhideWhenUsed="1"/>
    <w:lsdException w:name="HTML Cite" w:uiPriority="0" w:qFormat="1"/>
    <w:lsdException w:name="HTML Code" w:uiPriority="0" w:qFormat="1"/>
    <w:lsdException w:name="HTML Definition" w:uiPriority="0" w:qFormat="1"/>
    <w:lsdException w:name="HTML Keyboard" w:uiPriority="0" w:qFormat="1"/>
    <w:lsdException w:name="HTML Preformatted" w:uiPriority="0" w:qFormat="1"/>
    <w:lsdException w:name="HTML Sample" w:uiPriority="0" w:qFormat="1"/>
    <w:lsdException w:name="HTML Typewriter" w:uiPriority="0" w:qFormat="1"/>
    <w:lsdException w:name="HTML Variable" w:uiPriority="0" w:qFormat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Calibri"/>
      <w:lang w:eastAsia="en-US"/>
    </w:rPr>
  </w:style>
  <w:style w:type="paragraph" w:styleId="1">
    <w:name w:val="heading 1"/>
    <w:basedOn w:val="a"/>
    <w:next w:val="a"/>
    <w:semiHidden/>
    <w:qFormat/>
    <w:pPr>
      <w:keepNext/>
      <w:spacing w:before="240" w:after="60"/>
      <w:outlineLvl w:val="0"/>
    </w:pPr>
    <w:rPr>
      <w:b/>
      <w:bCs/>
      <w:kern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qFormat/>
    <w:rPr>
      <w:rFonts w:eastAsia="Times New Roman"/>
    </w:rPr>
  </w:style>
  <w:style w:type="paragraph" w:styleId="a5">
    <w:name w:val="endnote text"/>
    <w:basedOn w:val="a"/>
    <w:link w:val="a6"/>
    <w:semiHidden/>
    <w:qFormat/>
    <w:rPr>
      <w:rFonts w:ascii="Cambria" w:eastAsia="Cambria" w:hAnsi="Cambria"/>
    </w:rPr>
  </w:style>
  <w:style w:type="paragraph" w:styleId="a7">
    <w:name w:val="Balloon Text"/>
    <w:basedOn w:val="a"/>
    <w:link w:val="a8"/>
    <w:semiHidden/>
    <w:qFormat/>
    <w:rPr>
      <w:rFonts w:ascii="Lucida Grande" w:eastAsia="Times New Roman" w:hAnsi="Lucida Grande"/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320"/>
        <w:tab w:val="right" w:pos="8640"/>
      </w:tabs>
    </w:pPr>
    <w:rPr>
      <w:rFonts w:eastAsia="Times New Roman"/>
    </w:rPr>
  </w:style>
  <w:style w:type="paragraph" w:styleId="ab">
    <w:name w:val="header"/>
    <w:basedOn w:val="a"/>
    <w:link w:val="ac"/>
    <w:qFormat/>
    <w:pPr>
      <w:tabs>
        <w:tab w:val="center" w:pos="4320"/>
        <w:tab w:val="right" w:pos="8640"/>
      </w:tabs>
    </w:pPr>
    <w:rPr>
      <w:rFonts w:eastAsia="Times New Roman"/>
    </w:rPr>
  </w:style>
  <w:style w:type="paragraph" w:styleId="HTML">
    <w:name w:val="HTML Preformatted"/>
    <w:basedOn w:val="a"/>
    <w:link w:val="HTML0"/>
    <w:qFormat/>
    <w:rPr>
      <w:rFonts w:ascii="Consolas" w:eastAsia="Times New Roman" w:hAnsi="Consolas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qFormat/>
    <w:rPr>
      <w:rFonts w:ascii="Times" w:eastAsia="Times New Roman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uiPriority w:val="22"/>
    <w:qFormat/>
    <w:rPr>
      <w:b/>
      <w:bCs/>
    </w:rPr>
  </w:style>
  <w:style w:type="character" w:styleId="af1">
    <w:name w:val="endnote reference"/>
    <w:semiHidden/>
    <w:qFormat/>
    <w:rPr>
      <w:vertAlign w:val="superscript"/>
    </w:rPr>
  </w:style>
  <w:style w:type="character" w:styleId="af2">
    <w:name w:val="page number"/>
    <w:basedOn w:val="a0"/>
    <w:qFormat/>
  </w:style>
  <w:style w:type="character" w:styleId="af3">
    <w:name w:val="FollowedHyperlink"/>
    <w:qFormat/>
    <w:rPr>
      <w:color w:val="800080"/>
      <w:u w:val="single"/>
    </w:rPr>
  </w:style>
  <w:style w:type="character" w:styleId="af4">
    <w:name w:val="Emphasis"/>
    <w:uiPriority w:val="20"/>
    <w:qFormat/>
    <w:rPr>
      <w:i/>
      <w:iCs/>
    </w:rPr>
  </w:style>
  <w:style w:type="character" w:styleId="af5">
    <w:name w:val="line number"/>
    <w:basedOn w:val="a0"/>
    <w:qFormat/>
  </w:style>
  <w:style w:type="character" w:styleId="HTML1">
    <w:name w:val="HTML Definition"/>
    <w:qFormat/>
    <w:rPr>
      <w:i/>
      <w:iCs/>
    </w:rPr>
  </w:style>
  <w:style w:type="character" w:styleId="HTML2">
    <w:name w:val="HTML Typewriter"/>
    <w:qFormat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0"/>
    <w:qFormat/>
  </w:style>
  <w:style w:type="character" w:styleId="HTML4">
    <w:name w:val="HTML Variable"/>
    <w:qFormat/>
    <w:rPr>
      <w:i/>
      <w:iCs/>
    </w:rPr>
  </w:style>
  <w:style w:type="character" w:styleId="af6">
    <w:name w:val="Hyperlink"/>
    <w:qFormat/>
    <w:rPr>
      <w:color w:val="0000FF"/>
      <w:u w:val="single"/>
    </w:rPr>
  </w:style>
  <w:style w:type="character" w:styleId="HTML5">
    <w:name w:val="HTML Code"/>
    <w:qFormat/>
    <w:rPr>
      <w:rFonts w:ascii="Courier New" w:hAnsi="Courier New" w:cs="Courier New"/>
      <w:sz w:val="20"/>
      <w:szCs w:val="20"/>
    </w:rPr>
  </w:style>
  <w:style w:type="character" w:styleId="af7">
    <w:name w:val="annotation reference"/>
    <w:qFormat/>
    <w:rPr>
      <w:sz w:val="18"/>
      <w:szCs w:val="18"/>
    </w:rPr>
  </w:style>
  <w:style w:type="character" w:styleId="HTML6">
    <w:name w:val="HTML Cite"/>
    <w:qFormat/>
    <w:rPr>
      <w:i/>
      <w:iCs/>
    </w:rPr>
  </w:style>
  <w:style w:type="character" w:styleId="af8">
    <w:name w:val="footnote reference"/>
    <w:semiHidden/>
    <w:qFormat/>
    <w:rPr>
      <w:vertAlign w:val="superscript"/>
    </w:rPr>
  </w:style>
  <w:style w:type="character" w:styleId="HTML7">
    <w:name w:val="HTML Keyboard"/>
    <w:qFormat/>
    <w:rPr>
      <w:rFonts w:ascii="Courier New" w:hAnsi="Courier New" w:cs="Courier New"/>
      <w:sz w:val="20"/>
      <w:szCs w:val="20"/>
    </w:rPr>
  </w:style>
  <w:style w:type="character" w:styleId="HTML8">
    <w:name w:val="HTML Sample"/>
    <w:qFormat/>
    <w:rPr>
      <w:rFonts w:ascii="Courier New" w:hAnsi="Courier New" w:cs="Courier New"/>
    </w:rPr>
  </w:style>
  <w:style w:type="paragraph" w:customStyle="1" w:styleId="BaseText">
    <w:name w:val="Base_Text"/>
    <w:qFormat/>
    <w:pPr>
      <w:spacing w:before="120"/>
    </w:pPr>
    <w:rPr>
      <w:rFonts w:eastAsia="Times New Roman"/>
      <w:sz w:val="24"/>
      <w:szCs w:val="24"/>
      <w:lang w:eastAsia="en-US"/>
    </w:rPr>
  </w:style>
  <w:style w:type="paragraph" w:customStyle="1" w:styleId="1stparatext">
    <w:name w:val="1st para text"/>
    <w:basedOn w:val="BaseText"/>
    <w:qFormat/>
  </w:style>
  <w:style w:type="paragraph" w:customStyle="1" w:styleId="BaseHeading">
    <w:name w:val="Base_Heading"/>
    <w:qFormat/>
    <w:pPr>
      <w:keepNext/>
      <w:spacing w:before="240"/>
      <w:outlineLvl w:val="0"/>
    </w:pPr>
    <w:rPr>
      <w:rFonts w:eastAsia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qFormat/>
  </w:style>
  <w:style w:type="paragraph" w:customStyle="1" w:styleId="AbstractSummary">
    <w:name w:val="Abstract/Summary"/>
    <w:basedOn w:val="BaseText"/>
    <w:qFormat/>
  </w:style>
  <w:style w:type="paragraph" w:customStyle="1" w:styleId="Referencesandnotes">
    <w:name w:val="References and notes"/>
    <w:basedOn w:val="BaseText"/>
    <w:qFormat/>
    <w:pPr>
      <w:ind w:left="720" w:hanging="720"/>
    </w:pPr>
  </w:style>
  <w:style w:type="paragraph" w:customStyle="1" w:styleId="Acknowledgement">
    <w:name w:val="Acknowledgement"/>
    <w:basedOn w:val="Referencesandnotes"/>
    <w:qFormat/>
  </w:style>
  <w:style w:type="paragraph" w:customStyle="1" w:styleId="Subhead">
    <w:name w:val="Subhead"/>
    <w:basedOn w:val="BaseHeading"/>
    <w:qFormat/>
    <w:rPr>
      <w:b/>
      <w:bCs/>
      <w:sz w:val="24"/>
      <w:szCs w:val="24"/>
    </w:rPr>
  </w:style>
  <w:style w:type="paragraph" w:customStyle="1" w:styleId="AppendixHead">
    <w:name w:val="AppendixHead"/>
    <w:basedOn w:val="Subhead"/>
    <w:qFormat/>
  </w:style>
  <w:style w:type="paragraph" w:customStyle="1" w:styleId="AppendixSubhead">
    <w:name w:val="AppendixSubhead"/>
    <w:basedOn w:val="Subhead"/>
    <w:qFormat/>
  </w:style>
  <w:style w:type="paragraph" w:customStyle="1" w:styleId="Articletype">
    <w:name w:val="Article type"/>
    <w:basedOn w:val="BaseText"/>
    <w:qFormat/>
  </w:style>
  <w:style w:type="character" w:customStyle="1" w:styleId="aubase">
    <w:name w:val="au_base"/>
    <w:qFormat/>
    <w:rPr>
      <w:sz w:val="24"/>
    </w:rPr>
  </w:style>
  <w:style w:type="character" w:customStyle="1" w:styleId="aucollab">
    <w:name w:val="au_collab"/>
    <w:qFormat/>
    <w:rPr>
      <w:sz w:val="24"/>
      <w:shd w:val="clear" w:color="auto" w:fill="C0C0C0"/>
    </w:rPr>
  </w:style>
  <w:style w:type="character" w:customStyle="1" w:styleId="audeg">
    <w:name w:val="au_deg"/>
    <w:qFormat/>
    <w:rPr>
      <w:sz w:val="24"/>
      <w:shd w:val="clear" w:color="auto" w:fill="FFFF00"/>
    </w:rPr>
  </w:style>
  <w:style w:type="character" w:customStyle="1" w:styleId="aufname">
    <w:name w:val="au_fname"/>
    <w:qFormat/>
    <w:rPr>
      <w:sz w:val="24"/>
      <w:shd w:val="clear" w:color="auto" w:fill="00FFFF"/>
    </w:rPr>
  </w:style>
  <w:style w:type="character" w:customStyle="1" w:styleId="aurole">
    <w:name w:val="au_role"/>
    <w:qFormat/>
    <w:rPr>
      <w:sz w:val="24"/>
      <w:shd w:val="clear" w:color="auto" w:fill="808000"/>
    </w:rPr>
  </w:style>
  <w:style w:type="character" w:customStyle="1" w:styleId="ausuffix">
    <w:name w:val="au_suffix"/>
    <w:qFormat/>
    <w:rPr>
      <w:sz w:val="24"/>
      <w:shd w:val="clear" w:color="auto" w:fill="FF00FF"/>
    </w:rPr>
  </w:style>
  <w:style w:type="character" w:customStyle="1" w:styleId="ausurname">
    <w:name w:val="au_surname"/>
    <w:qFormat/>
    <w:rPr>
      <w:sz w:val="24"/>
      <w:shd w:val="clear" w:color="auto" w:fill="00FF00"/>
    </w:rPr>
  </w:style>
  <w:style w:type="paragraph" w:customStyle="1" w:styleId="AuthorAttribute">
    <w:name w:val="Author Attribute"/>
    <w:basedOn w:val="BaseText"/>
    <w:qFormat/>
    <w:pPr>
      <w:spacing w:before="480"/>
    </w:pPr>
  </w:style>
  <w:style w:type="paragraph" w:customStyle="1" w:styleId="Footnote">
    <w:name w:val="Footnote"/>
    <w:basedOn w:val="BaseText"/>
    <w:qFormat/>
  </w:style>
  <w:style w:type="paragraph" w:customStyle="1" w:styleId="AuthorFootnote">
    <w:name w:val="AuthorFootnote"/>
    <w:basedOn w:val="Footnote"/>
    <w:qFormat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qFormat/>
    <w:pPr>
      <w:spacing w:after="360"/>
      <w:jc w:val="center"/>
    </w:pPr>
  </w:style>
  <w:style w:type="character" w:customStyle="1" w:styleId="a8">
    <w:name w:val="批注框文本 字符"/>
    <w:link w:val="a7"/>
    <w:semiHidden/>
    <w:qFormat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qFormat/>
    <w:rPr>
      <w:sz w:val="24"/>
      <w:shd w:val="clear" w:color="auto" w:fill="00FFFF"/>
    </w:rPr>
  </w:style>
  <w:style w:type="character" w:customStyle="1" w:styleId="bibbase">
    <w:name w:val="bib_base"/>
    <w:qFormat/>
    <w:rPr>
      <w:sz w:val="24"/>
    </w:rPr>
  </w:style>
  <w:style w:type="character" w:customStyle="1" w:styleId="bibcomment">
    <w:name w:val="bib_comment"/>
    <w:qFormat/>
    <w:rPr>
      <w:sz w:val="24"/>
    </w:rPr>
  </w:style>
  <w:style w:type="character" w:customStyle="1" w:styleId="bibdeg">
    <w:name w:val="bib_deg"/>
    <w:qFormat/>
    <w:rPr>
      <w:sz w:val="24"/>
    </w:rPr>
  </w:style>
  <w:style w:type="character" w:customStyle="1" w:styleId="bibdoi">
    <w:name w:val="bib_doi"/>
    <w:qFormat/>
    <w:rPr>
      <w:sz w:val="24"/>
      <w:shd w:val="clear" w:color="auto" w:fill="00FF00"/>
    </w:rPr>
  </w:style>
  <w:style w:type="character" w:customStyle="1" w:styleId="bibetal">
    <w:name w:val="bib_etal"/>
    <w:qFormat/>
    <w:rPr>
      <w:sz w:val="24"/>
      <w:shd w:val="clear" w:color="auto" w:fill="008080"/>
    </w:rPr>
  </w:style>
  <w:style w:type="character" w:customStyle="1" w:styleId="bibfname">
    <w:name w:val="bib_fname"/>
    <w:qFormat/>
    <w:rPr>
      <w:sz w:val="24"/>
      <w:shd w:val="clear" w:color="auto" w:fill="FFFF00"/>
    </w:rPr>
  </w:style>
  <w:style w:type="character" w:customStyle="1" w:styleId="bibfpage">
    <w:name w:val="bib_fpage"/>
    <w:qFormat/>
    <w:rPr>
      <w:sz w:val="24"/>
      <w:shd w:val="clear" w:color="auto" w:fill="808080"/>
    </w:rPr>
  </w:style>
  <w:style w:type="character" w:customStyle="1" w:styleId="bibissue">
    <w:name w:val="bib_issue"/>
    <w:qFormat/>
    <w:rPr>
      <w:sz w:val="24"/>
      <w:shd w:val="clear" w:color="auto" w:fill="FFFF00"/>
    </w:rPr>
  </w:style>
  <w:style w:type="character" w:customStyle="1" w:styleId="bibjournal">
    <w:name w:val="bib_journal"/>
    <w:qFormat/>
    <w:rPr>
      <w:sz w:val="24"/>
      <w:shd w:val="clear" w:color="auto" w:fill="808000"/>
    </w:rPr>
  </w:style>
  <w:style w:type="character" w:customStyle="1" w:styleId="biblpage">
    <w:name w:val="bib_lpage"/>
    <w:qFormat/>
    <w:rPr>
      <w:sz w:val="24"/>
      <w:shd w:val="clear" w:color="auto" w:fill="808080"/>
    </w:rPr>
  </w:style>
  <w:style w:type="character" w:customStyle="1" w:styleId="bibmedline">
    <w:name w:val="bib_medline"/>
    <w:qFormat/>
    <w:rPr>
      <w:sz w:val="24"/>
    </w:rPr>
  </w:style>
  <w:style w:type="character" w:customStyle="1" w:styleId="bibnumber">
    <w:name w:val="bib_number"/>
    <w:qFormat/>
    <w:rPr>
      <w:sz w:val="24"/>
    </w:rPr>
  </w:style>
  <w:style w:type="character" w:customStyle="1" w:styleId="biborganization">
    <w:name w:val="bib_organization"/>
    <w:qFormat/>
    <w:rPr>
      <w:sz w:val="24"/>
      <w:shd w:val="clear" w:color="auto" w:fill="808000"/>
    </w:rPr>
  </w:style>
  <w:style w:type="character" w:customStyle="1" w:styleId="bibsuffix">
    <w:name w:val="bib_suffix"/>
    <w:qFormat/>
    <w:rPr>
      <w:sz w:val="24"/>
    </w:rPr>
  </w:style>
  <w:style w:type="character" w:customStyle="1" w:styleId="bibsuppl">
    <w:name w:val="bib_suppl"/>
    <w:qFormat/>
    <w:rPr>
      <w:sz w:val="24"/>
      <w:shd w:val="clear" w:color="auto" w:fill="FFFF00"/>
    </w:rPr>
  </w:style>
  <w:style w:type="character" w:customStyle="1" w:styleId="bibsurname">
    <w:name w:val="bib_surname"/>
    <w:qFormat/>
    <w:rPr>
      <w:sz w:val="24"/>
      <w:shd w:val="clear" w:color="auto" w:fill="FFFF00"/>
    </w:rPr>
  </w:style>
  <w:style w:type="character" w:customStyle="1" w:styleId="bibunpubl">
    <w:name w:val="bib_unpubl"/>
    <w:qFormat/>
    <w:rPr>
      <w:sz w:val="24"/>
    </w:rPr>
  </w:style>
  <w:style w:type="character" w:customStyle="1" w:styleId="biburl">
    <w:name w:val="bib_url"/>
    <w:qFormat/>
    <w:rPr>
      <w:sz w:val="24"/>
      <w:shd w:val="clear" w:color="auto" w:fill="00FF00"/>
    </w:rPr>
  </w:style>
  <w:style w:type="character" w:customStyle="1" w:styleId="bibvolume">
    <w:name w:val="bib_volume"/>
    <w:qFormat/>
    <w:rPr>
      <w:sz w:val="24"/>
      <w:shd w:val="clear" w:color="auto" w:fill="00FF00"/>
    </w:rPr>
  </w:style>
  <w:style w:type="character" w:customStyle="1" w:styleId="bibyear">
    <w:name w:val="bib_year"/>
    <w:qFormat/>
    <w:rPr>
      <w:sz w:val="24"/>
      <w:shd w:val="clear" w:color="auto" w:fill="FF00FF"/>
    </w:rPr>
  </w:style>
  <w:style w:type="paragraph" w:customStyle="1" w:styleId="BookorMeetingInformation">
    <w:name w:val="Book or Meeting Information"/>
    <w:basedOn w:val="BaseText"/>
    <w:qFormat/>
  </w:style>
  <w:style w:type="paragraph" w:customStyle="1" w:styleId="BookInformation">
    <w:name w:val="BookInformation"/>
    <w:basedOn w:val="BaseText"/>
    <w:qFormat/>
  </w:style>
  <w:style w:type="paragraph" w:customStyle="1" w:styleId="Level2Head">
    <w:name w:val="Level 2 Head"/>
    <w:basedOn w:val="BaseHeading"/>
    <w:qFormat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qFormat/>
    <w:pPr>
      <w:shd w:val="clear" w:color="auto" w:fill="E6E6E6"/>
    </w:pPr>
  </w:style>
  <w:style w:type="paragraph" w:customStyle="1" w:styleId="BoxListUnnumbered">
    <w:name w:val="BoxListUnnumbered"/>
    <w:basedOn w:val="BaseText"/>
    <w:qFormat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qFormat/>
  </w:style>
  <w:style w:type="paragraph" w:customStyle="1" w:styleId="BoxSubhead">
    <w:name w:val="BoxSubhead"/>
    <w:basedOn w:val="Subhead"/>
    <w:qFormat/>
    <w:pPr>
      <w:shd w:val="clear" w:color="auto" w:fill="E6E6E6"/>
    </w:pPr>
  </w:style>
  <w:style w:type="paragraph" w:customStyle="1" w:styleId="Paragraph">
    <w:name w:val="Paragraph"/>
    <w:basedOn w:val="BaseText"/>
    <w:qFormat/>
    <w:pPr>
      <w:ind w:firstLine="720"/>
    </w:pPr>
  </w:style>
  <w:style w:type="paragraph" w:customStyle="1" w:styleId="BoxText">
    <w:name w:val="BoxText"/>
    <w:basedOn w:val="Paragraph"/>
    <w:qFormat/>
    <w:pPr>
      <w:shd w:val="clear" w:color="auto" w:fill="E6E6E6"/>
    </w:pPr>
  </w:style>
  <w:style w:type="paragraph" w:customStyle="1" w:styleId="BoxTitle">
    <w:name w:val="BoxTitle"/>
    <w:basedOn w:val="BaseHeading"/>
    <w:qFormat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qFormat/>
    <w:pPr>
      <w:ind w:left="720" w:hanging="720"/>
    </w:pPr>
  </w:style>
  <w:style w:type="paragraph" w:customStyle="1" w:styleId="career-magazine">
    <w:name w:val="career-magazine"/>
    <w:basedOn w:val="BaseText"/>
    <w:qFormat/>
    <w:pPr>
      <w:jc w:val="right"/>
    </w:pPr>
    <w:rPr>
      <w:color w:val="FF0000"/>
    </w:rPr>
  </w:style>
  <w:style w:type="paragraph" w:customStyle="1" w:styleId="career-stage">
    <w:name w:val="career-stage"/>
    <w:basedOn w:val="BaseText"/>
    <w:qFormat/>
    <w:pPr>
      <w:jc w:val="right"/>
    </w:pPr>
    <w:rPr>
      <w:color w:val="339966"/>
    </w:rPr>
  </w:style>
  <w:style w:type="character" w:customStyle="1" w:styleId="citebase">
    <w:name w:val="cite_base"/>
    <w:qFormat/>
    <w:rPr>
      <w:sz w:val="24"/>
    </w:rPr>
  </w:style>
  <w:style w:type="character" w:customStyle="1" w:styleId="citebib">
    <w:name w:val="cite_bib"/>
    <w:qFormat/>
    <w:rPr>
      <w:sz w:val="24"/>
      <w:shd w:val="clear" w:color="auto" w:fill="00FFFF"/>
    </w:rPr>
  </w:style>
  <w:style w:type="character" w:customStyle="1" w:styleId="citebox">
    <w:name w:val="cite_box"/>
    <w:qFormat/>
    <w:rPr>
      <w:sz w:val="24"/>
    </w:rPr>
  </w:style>
  <w:style w:type="character" w:customStyle="1" w:styleId="citeen">
    <w:name w:val="cite_en"/>
    <w:qFormat/>
    <w:rPr>
      <w:sz w:val="24"/>
      <w:shd w:val="clear" w:color="auto" w:fill="FFFF00"/>
      <w:vertAlign w:val="superscript"/>
    </w:rPr>
  </w:style>
  <w:style w:type="character" w:customStyle="1" w:styleId="citeeq">
    <w:name w:val="cite_eq"/>
    <w:qFormat/>
    <w:rPr>
      <w:sz w:val="24"/>
      <w:shd w:val="clear" w:color="auto" w:fill="FF99CC"/>
    </w:rPr>
  </w:style>
  <w:style w:type="character" w:customStyle="1" w:styleId="citefig">
    <w:name w:val="cite_fig"/>
    <w:qFormat/>
    <w:rPr>
      <w:color w:val="000000"/>
      <w:sz w:val="24"/>
      <w:shd w:val="clear" w:color="auto" w:fill="00FF00"/>
    </w:rPr>
  </w:style>
  <w:style w:type="character" w:customStyle="1" w:styleId="citefn">
    <w:name w:val="cite_fn"/>
    <w:qFormat/>
    <w:rPr>
      <w:sz w:val="24"/>
      <w:shd w:val="clear" w:color="auto" w:fill="FF0000"/>
    </w:rPr>
  </w:style>
  <w:style w:type="character" w:customStyle="1" w:styleId="citetbl">
    <w:name w:val="cite_tbl"/>
    <w:qFormat/>
    <w:rPr>
      <w:color w:val="000000"/>
      <w:sz w:val="24"/>
      <w:shd w:val="clear" w:color="auto" w:fill="FF00FF"/>
    </w:rPr>
  </w:style>
  <w:style w:type="character" w:customStyle="1" w:styleId="a4">
    <w:name w:val="批注文字 字符"/>
    <w:link w:val="a3"/>
    <w:semiHidden/>
    <w:qFormat/>
    <w:rPr>
      <w:rFonts w:ascii="Times New Roman" w:eastAsia="Times New Roman" w:hAnsi="Times New Roman"/>
      <w:sz w:val="20"/>
      <w:szCs w:val="20"/>
    </w:rPr>
  </w:style>
  <w:style w:type="character" w:customStyle="1" w:styleId="ae">
    <w:name w:val="批注主题 字符"/>
    <w:link w:val="ad"/>
    <w:uiPriority w:val="99"/>
    <w:semiHidden/>
    <w:qFormat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qFormat/>
    <w:pPr>
      <w:ind w:firstLine="0"/>
    </w:pPr>
  </w:style>
  <w:style w:type="character" w:customStyle="1" w:styleId="ContractNumber">
    <w:name w:val="Contract Number"/>
    <w:qFormat/>
    <w:rPr>
      <w:sz w:val="24"/>
      <w:szCs w:val="24"/>
      <w:shd w:val="clear" w:color="auto" w:fill="CCFFCC"/>
    </w:rPr>
  </w:style>
  <w:style w:type="character" w:customStyle="1" w:styleId="ContractSponsor">
    <w:name w:val="Contract Sponsor"/>
    <w:qFormat/>
    <w:rPr>
      <w:sz w:val="24"/>
      <w:szCs w:val="24"/>
      <w:shd w:val="clear" w:color="auto" w:fill="FFCC99"/>
    </w:rPr>
  </w:style>
  <w:style w:type="paragraph" w:customStyle="1" w:styleId="Correspondence">
    <w:name w:val="Correspondence"/>
    <w:basedOn w:val="BaseText"/>
    <w:qFormat/>
    <w:pPr>
      <w:spacing w:before="0" w:after="240"/>
    </w:pPr>
  </w:style>
  <w:style w:type="paragraph" w:customStyle="1" w:styleId="DateAccepted">
    <w:name w:val="Date Accepted"/>
    <w:basedOn w:val="BaseText"/>
    <w:qFormat/>
    <w:pPr>
      <w:spacing w:before="360"/>
    </w:pPr>
  </w:style>
  <w:style w:type="paragraph" w:customStyle="1" w:styleId="Deck">
    <w:name w:val="Deck"/>
    <w:basedOn w:val="BaseHeading"/>
    <w:qFormat/>
    <w:pPr>
      <w:outlineLvl w:val="1"/>
    </w:pPr>
  </w:style>
  <w:style w:type="paragraph" w:customStyle="1" w:styleId="DefTerm">
    <w:name w:val="DefTerm"/>
    <w:basedOn w:val="BaseText"/>
    <w:qFormat/>
    <w:pPr>
      <w:ind w:left="720"/>
    </w:pPr>
  </w:style>
  <w:style w:type="paragraph" w:customStyle="1" w:styleId="Definition">
    <w:name w:val="Definition"/>
    <w:basedOn w:val="DefTerm"/>
    <w:qFormat/>
    <w:pPr>
      <w:ind w:left="1080" w:hanging="360"/>
    </w:pPr>
  </w:style>
  <w:style w:type="paragraph" w:customStyle="1" w:styleId="DefListTitle">
    <w:name w:val="DefListTitle"/>
    <w:basedOn w:val="BaseHeading"/>
    <w:qFormat/>
  </w:style>
  <w:style w:type="paragraph" w:customStyle="1" w:styleId="discipline">
    <w:name w:val="discipline"/>
    <w:basedOn w:val="BaseText"/>
    <w:qFormat/>
    <w:pPr>
      <w:jc w:val="right"/>
    </w:pPr>
    <w:rPr>
      <w:color w:val="993366"/>
    </w:rPr>
  </w:style>
  <w:style w:type="paragraph" w:customStyle="1" w:styleId="Editors">
    <w:name w:val="Editors"/>
    <w:basedOn w:val="Authors"/>
    <w:qFormat/>
  </w:style>
  <w:style w:type="character" w:customStyle="1" w:styleId="a6">
    <w:name w:val="尾注文本 字符"/>
    <w:link w:val="a5"/>
    <w:semiHidden/>
    <w:qFormat/>
    <w:rPr>
      <w:rFonts w:ascii="Cambria" w:eastAsia="Cambria" w:hAnsi="Cambria"/>
      <w:sz w:val="20"/>
      <w:szCs w:val="20"/>
    </w:rPr>
  </w:style>
  <w:style w:type="character" w:customStyle="1" w:styleId="eqno">
    <w:name w:val="eq_no"/>
    <w:qFormat/>
    <w:rPr>
      <w:sz w:val="24"/>
    </w:rPr>
  </w:style>
  <w:style w:type="paragraph" w:customStyle="1" w:styleId="Equation">
    <w:name w:val="Equation"/>
    <w:basedOn w:val="BaseText"/>
    <w:qFormat/>
    <w:pPr>
      <w:jc w:val="center"/>
    </w:pPr>
  </w:style>
  <w:style w:type="paragraph" w:customStyle="1" w:styleId="FieldCodes">
    <w:name w:val="FieldCodes"/>
    <w:basedOn w:val="BaseText"/>
    <w:qFormat/>
  </w:style>
  <w:style w:type="paragraph" w:customStyle="1" w:styleId="Legend">
    <w:name w:val="Legend"/>
    <w:basedOn w:val="BaseHeading"/>
    <w:qFormat/>
    <w:rPr>
      <w:sz w:val="24"/>
      <w:szCs w:val="24"/>
    </w:rPr>
  </w:style>
  <w:style w:type="paragraph" w:customStyle="1" w:styleId="FigureCopyright">
    <w:name w:val="FigureCopyright"/>
    <w:basedOn w:val="Legend"/>
    <w:qFormat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qFormat/>
  </w:style>
  <w:style w:type="character" w:customStyle="1" w:styleId="aa">
    <w:name w:val="页脚 字符"/>
    <w:link w:val="a9"/>
    <w:uiPriority w:val="99"/>
    <w:qFormat/>
    <w:rPr>
      <w:rFonts w:ascii="Times New Roman" w:eastAsia="Times New Roman" w:hAnsi="Times New Roman"/>
      <w:sz w:val="20"/>
      <w:szCs w:val="20"/>
    </w:rPr>
  </w:style>
  <w:style w:type="paragraph" w:customStyle="1" w:styleId="Gloss">
    <w:name w:val="Gloss"/>
    <w:basedOn w:val="AbstractSummary"/>
    <w:qFormat/>
  </w:style>
  <w:style w:type="paragraph" w:customStyle="1" w:styleId="Glossary">
    <w:name w:val="Glossary"/>
    <w:basedOn w:val="BaseText"/>
    <w:qFormat/>
  </w:style>
  <w:style w:type="paragraph" w:customStyle="1" w:styleId="GlossHead">
    <w:name w:val="GlossHead"/>
    <w:basedOn w:val="AbstractHead"/>
    <w:qFormat/>
  </w:style>
  <w:style w:type="paragraph" w:customStyle="1" w:styleId="GraphicAltText">
    <w:name w:val="GraphicAltText"/>
    <w:basedOn w:val="Legend"/>
    <w:qFormat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qFormat/>
  </w:style>
  <w:style w:type="paragraph" w:customStyle="1" w:styleId="Head">
    <w:name w:val="Head"/>
    <w:basedOn w:val="BaseHeading"/>
    <w:qFormat/>
    <w:pPr>
      <w:spacing w:before="120" w:after="120"/>
      <w:jc w:val="center"/>
    </w:pPr>
    <w:rPr>
      <w:b/>
      <w:bCs/>
    </w:rPr>
  </w:style>
  <w:style w:type="character" w:customStyle="1" w:styleId="ac">
    <w:name w:val="页眉 字符"/>
    <w:link w:val="ab"/>
    <w:qFormat/>
    <w:rPr>
      <w:rFonts w:ascii="Times New Roman" w:eastAsia="Times New Roman" w:hAnsi="Times New Roman"/>
      <w:sz w:val="20"/>
      <w:szCs w:val="20"/>
    </w:rPr>
  </w:style>
  <w:style w:type="character" w:customStyle="1" w:styleId="HTML0">
    <w:name w:val="HTML 预设格式 字符"/>
    <w:link w:val="HTML"/>
    <w:qFormat/>
    <w:rPr>
      <w:rFonts w:ascii="Consolas" w:eastAsia="Times New Roman" w:hAnsi="Consolas"/>
      <w:sz w:val="20"/>
      <w:szCs w:val="20"/>
    </w:rPr>
  </w:style>
  <w:style w:type="paragraph" w:customStyle="1" w:styleId="InstructionsText">
    <w:name w:val="Instructions Text"/>
    <w:basedOn w:val="BaseText"/>
    <w:qFormat/>
  </w:style>
  <w:style w:type="paragraph" w:customStyle="1" w:styleId="Overline">
    <w:name w:val="Overline"/>
    <w:basedOn w:val="BaseText"/>
    <w:qFormat/>
  </w:style>
  <w:style w:type="paragraph" w:customStyle="1" w:styleId="IssueName">
    <w:name w:val="IssueName"/>
    <w:basedOn w:val="Overline"/>
    <w:qFormat/>
  </w:style>
  <w:style w:type="paragraph" w:customStyle="1" w:styleId="Keywords">
    <w:name w:val="Keywords"/>
    <w:basedOn w:val="BaseText"/>
    <w:qFormat/>
  </w:style>
  <w:style w:type="paragraph" w:customStyle="1" w:styleId="Level3Head">
    <w:name w:val="Level 3 Head"/>
    <w:basedOn w:val="BaseHeading"/>
    <w:qFormat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qFormat/>
    <w:pPr>
      <w:ind w:left="346"/>
    </w:pPr>
    <w:rPr>
      <w:sz w:val="24"/>
      <w:szCs w:val="24"/>
    </w:rPr>
  </w:style>
  <w:style w:type="paragraph" w:customStyle="1" w:styleId="Literaryquote">
    <w:name w:val="Literary quote"/>
    <w:basedOn w:val="BaseText"/>
    <w:qFormat/>
    <w:pPr>
      <w:ind w:left="1440" w:right="1440"/>
    </w:pPr>
  </w:style>
  <w:style w:type="paragraph" w:customStyle="1" w:styleId="MaterialsText">
    <w:name w:val="Materials Text"/>
    <w:basedOn w:val="BaseText"/>
    <w:qFormat/>
  </w:style>
  <w:style w:type="paragraph" w:customStyle="1" w:styleId="NoteInProof">
    <w:name w:val="NoteInProof"/>
    <w:basedOn w:val="BaseText"/>
    <w:qFormat/>
  </w:style>
  <w:style w:type="paragraph" w:customStyle="1" w:styleId="Notes">
    <w:name w:val="Notes"/>
    <w:basedOn w:val="BaseText"/>
    <w:qFormat/>
    <w:rPr>
      <w:i/>
    </w:rPr>
  </w:style>
  <w:style w:type="paragraph" w:customStyle="1" w:styleId="Notes-Helvetica">
    <w:name w:val="Notes-Helvetica"/>
    <w:basedOn w:val="BaseText"/>
    <w:qFormat/>
    <w:rPr>
      <w:i/>
    </w:rPr>
  </w:style>
  <w:style w:type="paragraph" w:customStyle="1" w:styleId="NumberedInstructions">
    <w:name w:val="Numbered Instructions"/>
    <w:basedOn w:val="BaseText"/>
    <w:qFormat/>
  </w:style>
  <w:style w:type="paragraph" w:customStyle="1" w:styleId="OutlineLevel1">
    <w:name w:val="OutlineLevel1"/>
    <w:basedOn w:val="BaseHeading"/>
    <w:qFormat/>
    <w:rPr>
      <w:b/>
      <w:bCs/>
    </w:rPr>
  </w:style>
  <w:style w:type="paragraph" w:customStyle="1" w:styleId="OutlineLevel2">
    <w:name w:val="OutlineLevel2"/>
    <w:basedOn w:val="BaseHeading"/>
    <w:qFormat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qFormat/>
    <w:pPr>
      <w:ind w:left="720"/>
      <w:outlineLvl w:val="2"/>
    </w:pPr>
    <w:rPr>
      <w:b/>
      <w:bCs/>
      <w:sz w:val="24"/>
      <w:szCs w:val="24"/>
    </w:rPr>
  </w:style>
  <w:style w:type="paragraph" w:customStyle="1" w:styleId="Preformat">
    <w:name w:val="Preformat"/>
    <w:basedOn w:val="BaseText"/>
    <w:qFormat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qFormat/>
  </w:style>
  <w:style w:type="paragraph" w:customStyle="1" w:styleId="ProductInformation">
    <w:name w:val="ProductInformation"/>
    <w:basedOn w:val="BaseText"/>
    <w:qFormat/>
  </w:style>
  <w:style w:type="paragraph" w:customStyle="1" w:styleId="ProductTitle">
    <w:name w:val="ProductTitle"/>
    <w:basedOn w:val="BaseText"/>
    <w:qFormat/>
    <w:rPr>
      <w:b/>
      <w:bCs/>
    </w:rPr>
  </w:style>
  <w:style w:type="paragraph" w:customStyle="1" w:styleId="PublishedOnline">
    <w:name w:val="Published Online"/>
    <w:basedOn w:val="DateAccepted"/>
    <w:qFormat/>
  </w:style>
  <w:style w:type="paragraph" w:customStyle="1" w:styleId="RecipeMaterials">
    <w:name w:val="Recipe Materials"/>
    <w:basedOn w:val="BaseText"/>
    <w:qFormat/>
  </w:style>
  <w:style w:type="paragraph" w:customStyle="1" w:styleId="Refhead">
    <w:name w:val="Ref head"/>
    <w:basedOn w:val="BaseHeading"/>
    <w:qFormat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qFormat/>
  </w:style>
  <w:style w:type="paragraph" w:customStyle="1" w:styleId="ReferencesandnotesLong">
    <w:name w:val="References and notes Long"/>
    <w:basedOn w:val="BaseText"/>
    <w:qFormat/>
    <w:pPr>
      <w:ind w:left="720" w:hanging="720"/>
    </w:pPr>
  </w:style>
  <w:style w:type="paragraph" w:customStyle="1" w:styleId="region">
    <w:name w:val="region"/>
    <w:basedOn w:val="BaseText"/>
    <w:qFormat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qFormat/>
  </w:style>
  <w:style w:type="paragraph" w:customStyle="1" w:styleId="RunHead">
    <w:name w:val="RunHead"/>
    <w:basedOn w:val="BaseText"/>
    <w:qFormat/>
  </w:style>
  <w:style w:type="paragraph" w:customStyle="1" w:styleId="SOMContent">
    <w:name w:val="SOMContent"/>
    <w:basedOn w:val="1stparatext"/>
    <w:qFormat/>
  </w:style>
  <w:style w:type="paragraph" w:customStyle="1" w:styleId="SOMHead">
    <w:name w:val="SOMHead"/>
    <w:basedOn w:val="BaseHeading"/>
    <w:qFormat/>
    <w:rPr>
      <w:b/>
      <w:sz w:val="24"/>
      <w:szCs w:val="24"/>
    </w:rPr>
  </w:style>
  <w:style w:type="paragraph" w:customStyle="1" w:styleId="Speaker">
    <w:name w:val="Speaker"/>
    <w:basedOn w:val="Paragraph"/>
    <w:qFormat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qFormat/>
    <w:pPr>
      <w:autoSpaceDE w:val="0"/>
      <w:autoSpaceDN w:val="0"/>
      <w:adjustRightInd w:val="0"/>
    </w:pPr>
    <w:rPr>
      <w:lang w:bidi="he-IL"/>
    </w:rPr>
  </w:style>
  <w:style w:type="paragraph" w:customStyle="1" w:styleId="SX-Abstract">
    <w:name w:val="SX-Abstract"/>
    <w:basedOn w:val="a"/>
    <w:qFormat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a"/>
    <w:next w:val="a"/>
    <w:qFormat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a"/>
    <w:qFormat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a"/>
    <w:qFormat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a"/>
    <w:next w:val="a"/>
    <w:qFormat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qFormat/>
    <w:pPr>
      <w:ind w:firstLine="0"/>
    </w:pPr>
  </w:style>
  <w:style w:type="paragraph" w:customStyle="1" w:styleId="SX-Correspondence">
    <w:name w:val="SX-Correspondence"/>
    <w:basedOn w:val="SX-Affiliation"/>
    <w:qFormat/>
    <w:pPr>
      <w:spacing w:after="80"/>
    </w:pPr>
  </w:style>
  <w:style w:type="paragraph" w:customStyle="1" w:styleId="SX-Date">
    <w:name w:val="SX-Date"/>
    <w:basedOn w:val="a"/>
    <w:qFormat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qFormat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qFormat/>
    <w:pPr>
      <w:jc w:val="both"/>
    </w:pPr>
    <w:rPr>
      <w:sz w:val="18"/>
    </w:rPr>
  </w:style>
  <w:style w:type="paragraph" w:customStyle="1" w:styleId="SX-References">
    <w:name w:val="SX-References"/>
    <w:basedOn w:val="a"/>
    <w:qFormat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a"/>
    <w:qFormat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Pr>
      <w:color w:val="0000FF"/>
      <w:sz w:val="16"/>
      <w:u w:val="words"/>
      <w:shd w:val="clear" w:color="auto" w:fill="FFFFFF"/>
    </w:rPr>
  </w:style>
  <w:style w:type="paragraph" w:customStyle="1" w:styleId="SX-SOMHead">
    <w:name w:val="SX-SOMHead"/>
    <w:basedOn w:val="SX-RefHead"/>
    <w:qFormat/>
  </w:style>
  <w:style w:type="paragraph" w:customStyle="1" w:styleId="SX-Tablehead">
    <w:name w:val="SX-Tablehead"/>
    <w:basedOn w:val="a"/>
    <w:qFormat/>
    <w:rPr>
      <w:rFonts w:eastAsia="Times New Roman"/>
      <w:szCs w:val="24"/>
    </w:rPr>
  </w:style>
  <w:style w:type="paragraph" w:customStyle="1" w:styleId="SX-Tablelegend">
    <w:name w:val="SX-Tablelegend"/>
    <w:basedOn w:val="a"/>
    <w:qFormat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a"/>
    <w:qFormat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a"/>
    <w:qFormat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a"/>
    <w:qFormat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qFormat/>
    <w:pPr>
      <w:spacing w:before="0"/>
    </w:pPr>
  </w:style>
  <w:style w:type="paragraph" w:customStyle="1" w:styleId="Tabletext">
    <w:name w:val="Table text"/>
    <w:basedOn w:val="BaseText"/>
    <w:qFormat/>
    <w:pPr>
      <w:spacing w:before="0"/>
    </w:pPr>
  </w:style>
  <w:style w:type="paragraph" w:customStyle="1" w:styleId="TableLegend">
    <w:name w:val="TableLegend"/>
    <w:basedOn w:val="BaseText"/>
    <w:qFormat/>
    <w:pPr>
      <w:spacing w:before="0"/>
    </w:pPr>
  </w:style>
  <w:style w:type="paragraph" w:customStyle="1" w:styleId="TableTitle">
    <w:name w:val="TableTitle"/>
    <w:basedOn w:val="BaseHeading"/>
    <w:qFormat/>
  </w:style>
  <w:style w:type="paragraph" w:customStyle="1" w:styleId="Teaser">
    <w:name w:val="Teaser"/>
    <w:basedOn w:val="BaseText"/>
    <w:qFormat/>
  </w:style>
  <w:style w:type="paragraph" w:customStyle="1" w:styleId="TWIS">
    <w:name w:val="TWIS"/>
    <w:basedOn w:val="AbstractSummary"/>
    <w:qFormat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qFormat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qFormat/>
    <w:pPr>
      <w:jc w:val="right"/>
    </w:pPr>
    <w:rPr>
      <w:color w:val="003300"/>
    </w:rPr>
  </w:style>
  <w:style w:type="paragraph" w:customStyle="1" w:styleId="DOI">
    <w:name w:val="DOI"/>
    <w:basedOn w:val="DateAccepted"/>
    <w:qFormat/>
  </w:style>
  <w:style w:type="character" w:customStyle="1" w:styleId="custom-cit-author">
    <w:name w:val="custom-cit-author"/>
    <w:basedOn w:val="a0"/>
    <w:qFormat/>
  </w:style>
  <w:style w:type="character" w:customStyle="1" w:styleId="custom-cit-title">
    <w:name w:val="custom-cit-title"/>
    <w:basedOn w:val="a0"/>
    <w:qFormat/>
  </w:style>
  <w:style w:type="character" w:customStyle="1" w:styleId="custom-cit-jour-title">
    <w:name w:val="custom-cit-jour-title"/>
    <w:basedOn w:val="a0"/>
    <w:qFormat/>
  </w:style>
  <w:style w:type="character" w:customStyle="1" w:styleId="custom-cit-volume">
    <w:name w:val="custom-cit-volume"/>
    <w:basedOn w:val="a0"/>
    <w:qFormat/>
  </w:style>
  <w:style w:type="character" w:customStyle="1" w:styleId="custom-cit-volume-sep">
    <w:name w:val="custom-cit-volume-sep"/>
    <w:basedOn w:val="a0"/>
    <w:qFormat/>
  </w:style>
  <w:style w:type="character" w:customStyle="1" w:styleId="custom-cit-fpage">
    <w:name w:val="custom-cit-fpage"/>
    <w:basedOn w:val="a0"/>
    <w:qFormat/>
  </w:style>
  <w:style w:type="character" w:customStyle="1" w:styleId="custom-cit-date">
    <w:name w:val="custom-cit-date"/>
    <w:basedOn w:val="a0"/>
    <w:qFormat/>
  </w:style>
  <w:style w:type="paragraph" w:customStyle="1" w:styleId="MediumList2-Accent21">
    <w:name w:val="Medium List 2 - Accent 21"/>
    <w:hidden/>
    <w:uiPriority w:val="99"/>
    <w:semiHidden/>
    <w:qFormat/>
    <w:rPr>
      <w:rFonts w:eastAsia="Calibri"/>
      <w:lang w:eastAsia="en-US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MHeading">
    <w:name w:val="SM Heading"/>
    <w:basedOn w:val="1"/>
    <w:qFormat/>
  </w:style>
  <w:style w:type="paragraph" w:customStyle="1" w:styleId="SMcaption">
    <w:name w:val="SM caption"/>
    <w:basedOn w:val="SMText"/>
    <w:qFormat/>
    <w:pPr>
      <w:ind w:firstLine="0"/>
    </w:pPr>
  </w:style>
  <w:style w:type="paragraph" w:customStyle="1" w:styleId="SMText">
    <w:name w:val="SM Text"/>
    <w:basedOn w:val="a"/>
    <w:qFormat/>
    <w:pPr>
      <w:ind w:firstLine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image" Target="media/image8.jpe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tiff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image" Target="media/image7.jpeg"/><Relationship Id="rId25" Type="http://schemas.openxmlformats.org/officeDocument/2006/relationships/image" Target="media/image15.tiff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tif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24" Type="http://schemas.openxmlformats.org/officeDocument/2006/relationships/image" Target="media/image14.tiff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23" Type="http://schemas.openxmlformats.org/officeDocument/2006/relationships/image" Target="media/image13.tiff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tif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image" Target="media/image12.jpe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EC6F4A-E94B-424A-B59A-A83A08BCAD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019445-CA74-4879-94B5-1432341CFE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D92BC1-E020-4C3D-ADBB-5DF057B78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245BFD-FF65-4E76-9781-AB5B7A8F2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1106</Words>
  <Characters>6305</Characters>
  <Application>Microsoft Office Word</Application>
  <DocSecurity>0</DocSecurity>
  <Lines>52</Lines>
  <Paragraphs>14</Paragraphs>
  <ScaleCrop>false</ScaleCrop>
  <Company>Microsoft</Company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Manuscript Template</dc:title>
  <dc:creator>bhanson</dc:creator>
  <cp:lastModifiedBy>Administrator</cp:lastModifiedBy>
  <cp:revision>3</cp:revision>
  <cp:lastPrinted>2014-09-16T13:46:00Z</cp:lastPrinted>
  <dcterms:created xsi:type="dcterms:W3CDTF">2022-10-21T04:17:00Z</dcterms:created>
  <dcterms:modified xsi:type="dcterms:W3CDTF">2022-10-21T05:54:00Z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  <property fmtid="{D5CDD505-2E9C-101B-9397-08002B2CF9AE}" pid="3" name="KSOProductBuildVer">
    <vt:lpwstr>2052-11.1.0.12598</vt:lpwstr>
  </property>
  <property fmtid="{D5CDD505-2E9C-101B-9397-08002B2CF9AE}" pid="4" name="ICV">
    <vt:lpwstr>17D05A824DCF49D4AF6F07A22DE8B108</vt:lpwstr>
  </property>
</Properties>
</file>