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731510" cy="3566795"/>
            <wp:effectExtent l="0" t="0" r="2540" b="0"/>
            <wp:docPr id="1" name="图片 1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文字, 地图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6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20"/>
        </w:rPr>
        <w:sectPr>
          <w:footerReference r:id="rId3" w:type="default"/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>Fig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 xml:space="preserve"> S1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>Spatial patterns of standard errors of future PET changes during the 2018-2100 period, introduced by three GCMs (i.e., BNU-ESM, CESM1-CAM5, and GFDL-ESM2M).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731510" cy="3549650"/>
            <wp:effectExtent l="0" t="0" r="2540" b="0"/>
            <wp:docPr id="2" name="图片 2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文字, 地图&#10;&#10;描述已自动生成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20"/>
        </w:r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 xml:space="preserve"> S2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>Spatial patterns of standard errors of future PET changes during the 2018–2040, 2041–2070 and 2071–2100 periods, introduced by three GCMs (i.e., BNU-ESM, CESM1-CAM5, and GFDL-ESM2M).</w:t>
      </w:r>
    </w:p>
    <w:p>
      <w:pPr>
        <w:spacing w:line="360" w:lineRule="auto"/>
        <w:rPr>
          <w:rFonts w:ascii="Times New Roman" w:hAnsi="Times New Roman" w:cs="Times New Roman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731510" cy="4161155"/>
            <wp:effectExtent l="0" t="0" r="2540" b="0"/>
            <wp:docPr id="7" name="图片 7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文字, 地图&#10;&#10;描述已自动生成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18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 xml:space="preserve"> S3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trend magnitude in annual PET variations during </w:t>
      </w:r>
      <w:r>
        <w:rPr>
          <w:rFonts w:ascii="Times New Roman" w:hAnsi="Times New Roman" w:cs="Times New Roman"/>
          <w:sz w:val="18"/>
          <w:szCs w:val="18"/>
        </w:rPr>
        <w:t>beginning-of-century (2018–2040).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731510" cy="41516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51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18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 xml:space="preserve"> S4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trend magnitude in </w:t>
      </w:r>
      <w:r>
        <w:rPr>
          <w:rFonts w:ascii="Times New Roman" w:hAnsi="Times New Roman" w:cs="Times New Roman"/>
          <w:sz w:val="18"/>
          <w:szCs w:val="18"/>
        </w:rPr>
        <w:t xml:space="preserve">mid-century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annual PET variations during </w:t>
      </w:r>
      <w:r>
        <w:rPr>
          <w:rFonts w:ascii="Times New Roman" w:hAnsi="Times New Roman" w:cs="Times New Roman"/>
          <w:sz w:val="18"/>
          <w:szCs w:val="18"/>
        </w:rPr>
        <w:t>(2041–2070).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731510" cy="41351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18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 xml:space="preserve"> S5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trend magnitude in annual PET variations during the </w:t>
      </w:r>
      <w:r>
        <w:rPr>
          <w:rFonts w:ascii="Times New Roman" w:hAnsi="Times New Roman" w:cs="Times New Roman"/>
          <w:sz w:val="18"/>
          <w:szCs w:val="18"/>
        </w:rPr>
        <w:t>end of the century (2071–2100).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731510" cy="4095115"/>
            <wp:effectExtent l="0" t="0" r="254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b w:val="0"/>
          <w:bCs w:val="0"/>
          <w:sz w:val="18"/>
          <w:szCs w:val="18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 xml:space="preserve"> S6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>
        <w:rPr>
          <w:rFonts w:hint="eastAsia" w:ascii="Times New Roman" w:hAnsi="Times New Roman" w:cs="Times New Roman"/>
          <w:b/>
          <w:bCs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trend significance in annual PET variations at the </w:t>
      </w:r>
      <w:r>
        <w:rPr>
          <w:rFonts w:ascii="Times New Roman" w:hAnsi="Times New Roman" w:cs="Times New Roman"/>
          <w:b w:val="0"/>
          <w:bCs w:val="0"/>
          <w:sz w:val="18"/>
          <w:szCs w:val="18"/>
        </w:rPr>
        <w:t>beginning of the century (2018–2040).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731510" cy="409765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18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20"/>
        </w:rPr>
        <w:t xml:space="preserve"> S7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trend significance in annual PET variations during the </w:t>
      </w:r>
      <w:r>
        <w:rPr>
          <w:rFonts w:ascii="Times New Roman" w:hAnsi="Times New Roman" w:cs="Times New Roman"/>
          <w:sz w:val="18"/>
          <w:szCs w:val="18"/>
        </w:rPr>
        <w:t>middle of the century (2041–2070).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731510" cy="41167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6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18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 xml:space="preserve"> S8</w:t>
      </w:r>
      <w:r>
        <w:rPr>
          <w:rFonts w:hint="eastAsia" w:ascii="Times New Roman" w:hAnsi="Times New Roman" w:cs="Times New Roman"/>
          <w:color w:val="0000FF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trend significance in annual PET variations during the </w:t>
      </w:r>
      <w:r>
        <w:rPr>
          <w:rFonts w:ascii="Times New Roman" w:hAnsi="Times New Roman" w:cs="Times New Roman"/>
          <w:sz w:val="18"/>
          <w:szCs w:val="18"/>
        </w:rPr>
        <w:t>end of the century (2071–2100).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731510" cy="4008755"/>
            <wp:effectExtent l="0" t="0" r="2540" b="0"/>
            <wp:docPr id="3" name="图片 3" descr="G:\Climate Change Over China\PET over the China from 1901 to 2100\pics\Figure S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:\Climate Change Over China\PET over the China from 1901 to 2100\pics\Figure S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0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 xml:space="preserve"> S9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</w:t>
      </w:r>
      <w:r>
        <w:rPr>
          <w:rFonts w:ascii="Times New Roman" w:hAnsi="Times New Roman" w:cs="Times New Roman"/>
          <w:sz w:val="18"/>
          <w:szCs w:val="18"/>
        </w:rPr>
        <w:t xml:space="preserve">standard errors of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sensitivity coefficients of minimum, maximum, and mean temperatures on PET variations during the </w:t>
      </w:r>
      <w:r>
        <w:rPr>
          <w:rFonts w:ascii="Times New Roman" w:hAnsi="Times New Roman" w:cs="Times New Roman"/>
          <w:sz w:val="18"/>
          <w:szCs w:val="18"/>
        </w:rPr>
        <w:t>future period (2018–2100). The pattern under each RCP scenario was the averaged result of three GCMs (i.e., BNU-ESM, CESM1-CAM5, and GFDL-ESM2M).</w:t>
      </w:r>
    </w:p>
    <w:p>
      <w:pPr>
        <w:spacing w:line="360" w:lineRule="auto"/>
        <w:rPr>
          <w:rFonts w:ascii="Times New Roman" w:hAnsi="Times New Roman" w:cs="Times New Roman"/>
          <w:szCs w:val="21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731510" cy="4035425"/>
            <wp:effectExtent l="0" t="0" r="2540" b="3175"/>
            <wp:docPr id="4" name="图片 4" descr="G:\Climate Change Over China\PET over the China from 1901 to 2100\pics\Figure S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G:\Climate Change Over China\PET over the China from 1901 to 2100\pics\Figure S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</w:rPr>
        <w:t>F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>ig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 xml:space="preserve"> S10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Spatial patterns of </w:t>
      </w:r>
      <w:r>
        <w:rPr>
          <w:rFonts w:ascii="Times New Roman" w:hAnsi="Times New Roman" w:cs="Times New Roman"/>
          <w:sz w:val="18"/>
          <w:szCs w:val="18"/>
        </w:rPr>
        <w:t xml:space="preserve">standard errors of </w:t>
      </w:r>
      <w:r>
        <w:rPr>
          <w:rFonts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contributions of minimum, maximum, and mean temperatures on annual PET variations during the </w:t>
      </w:r>
      <w:r>
        <w:rPr>
          <w:rFonts w:ascii="Times New Roman" w:hAnsi="Times New Roman" w:cs="Times New Roman"/>
          <w:sz w:val="18"/>
          <w:szCs w:val="18"/>
        </w:rPr>
        <w:t>future period (2018–2100). The pattern under each RCP scenario was averaged result of three GCMs (i.e., BNU-ESM, CESM1-CAM5, and GFDL-ESM2M).</w:t>
      </w: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</w:rPr>
        <w:t>T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>able S1</w:t>
      </w: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Spatial characteristics of annual PET trend (mm/decade) in the 2018–2040 period.</w:t>
      </w:r>
    </w:p>
    <w:tbl>
      <w:tblPr>
        <w:tblStyle w:val="8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31"/>
        <w:gridCol w:w="731"/>
        <w:gridCol w:w="731"/>
        <w:gridCol w:w="732"/>
        <w:gridCol w:w="732"/>
        <w:gridCol w:w="737"/>
        <w:gridCol w:w="732"/>
        <w:gridCol w:w="732"/>
        <w:gridCol w:w="732"/>
        <w:gridCol w:w="732"/>
        <w:gridCol w:w="732"/>
        <w:gridCol w:w="737"/>
        <w:gridCol w:w="732"/>
        <w:gridCol w:w="732"/>
        <w:gridCol w:w="732"/>
        <w:gridCol w:w="732"/>
        <w:gridCol w:w="732"/>
        <w:gridCol w:w="7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vMerge w:val="restar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BNU-ESM</w:t>
            </w: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CESM1-CAM5</w:t>
            </w: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GFDL-ESM2M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3.34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2.89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3.90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18.81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2.22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5.74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3.33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4.80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3.09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2.71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18.99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1.84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5.78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4.27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8.42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2.92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47.47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20.24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51.19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27.12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56.59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22.66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30.02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6.69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33.21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46.07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22.67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43.47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5.95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32.98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30.71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45.95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21.36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19.04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17.39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23.26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22.75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10.97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17.98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5.95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18.21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23.28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20.56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19.03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5.87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18.68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14.97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20.46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Std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6.14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2.50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5.89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1.51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5.82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2.58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5.14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0.55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5.04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6.28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0.72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6.71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4.13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3.60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7.28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CV (%)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28.77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13.14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33.88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6.51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25.56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23.54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28.57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9.30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27.69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26.99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3.50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35.26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0.84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22.10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24.06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35.60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PA (%)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15.29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&lt;0.01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32.44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0.26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65.01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1.07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15.68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&lt;0.01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14.77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57.37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26.22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&lt;0.01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26.43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30.98 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sectPr>
          <w:footerReference r:id="rId4" w:type="default"/>
          <w:pgSz w:w="16838" w:h="11906" w:orient="landscape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Note: Min, Max, Mean, Std, CV, and PA represent the minimum, maximum, mean, standard deviation, coefficient of variation, and percent area, respectively. ↓ and ↑ indicate significant decreasing and increasing trends at 95% significance level, respectively. </w:t>
      </w:r>
      <w:r>
        <w:rPr>
          <w:rFonts w:hint="eastAsia"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– </w:t>
      </w:r>
      <w: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indicates that the significant trend was not detected at 95% significance level. 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</w:rPr>
        <w:t>T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>able S2</w:t>
      </w:r>
      <w:r>
        <w:rPr>
          <w:rFonts w:hint="eastAsia" w:ascii="Times New Roman" w:hAnsi="Times New Roman" w:cs="Times New Roman"/>
          <w:color w:val="0000FF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Spatial characteristics of annual PET trend (mm/decade) in 2041-2070.</w:t>
      </w:r>
    </w:p>
    <w:tbl>
      <w:tblPr>
        <w:tblStyle w:val="8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31"/>
        <w:gridCol w:w="731"/>
        <w:gridCol w:w="731"/>
        <w:gridCol w:w="732"/>
        <w:gridCol w:w="732"/>
        <w:gridCol w:w="737"/>
        <w:gridCol w:w="732"/>
        <w:gridCol w:w="732"/>
        <w:gridCol w:w="732"/>
        <w:gridCol w:w="732"/>
        <w:gridCol w:w="732"/>
        <w:gridCol w:w="737"/>
        <w:gridCol w:w="732"/>
        <w:gridCol w:w="732"/>
        <w:gridCol w:w="732"/>
        <w:gridCol w:w="732"/>
        <w:gridCol w:w="732"/>
        <w:gridCol w:w="7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vMerge w:val="restar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BNU-ESM</w:t>
            </w: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CESM1-CAM5</w:t>
            </w: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GFDL-ESM2M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4.10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2.12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3.02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12.60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3.24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2.27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1.20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2.21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8.20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0.90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15.38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1.83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9.75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2.76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14.07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41.68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40.73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74.13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43.48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24.36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53.94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56.77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14.94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25.43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19.92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41.31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29.48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57.58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11.47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13.27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20.25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36.21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24.33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14.41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16.77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32.20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12.68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17.19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17.47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16.76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14.32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20.49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Std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0.83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6.39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5.68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15.58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5.15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4.61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6.35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7.55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2.02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2.81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1.14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5.21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2.99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6.86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CV (%)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7.26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48.17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28.06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43.01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21.16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31.96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37.86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23.44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15.94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16.36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6.51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31.06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20.85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33.48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PA (%)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0.39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6.42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81.26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0.27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94.20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17.36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67.44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97.57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10.12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&lt;0.01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51.23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73.07 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Note: Min, Max, Mean, Std, CV, and PA represent the minimum, maximum, mean, standard deviation, coefficient of variation, and percent area, respectively. ↓ and ↑ indicate significant decreasing and increasing trends at 95% significance level, respectively. </w:t>
      </w:r>
      <w:r>
        <w:rPr>
          <w:rFonts w:hint="eastAsia"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– </w:t>
      </w:r>
      <w: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means that the significant trend was not detected at 95% significance level.</w:t>
      </w:r>
    </w:p>
    <w:p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color w:val="0000FF"/>
          <w:sz w:val="18"/>
          <w:szCs w:val="18"/>
        </w:rPr>
        <w:t>T</w:t>
      </w:r>
      <w:r>
        <w:rPr>
          <w:rFonts w:ascii="Times New Roman" w:hAnsi="Times New Roman" w:cs="Times New Roman"/>
          <w:b/>
          <w:bCs/>
          <w:color w:val="0000FF"/>
          <w:sz w:val="18"/>
          <w:szCs w:val="18"/>
        </w:rPr>
        <w:t>able S3</w:t>
      </w:r>
      <w:r>
        <w:rPr>
          <w:rFonts w:hint="eastAsia" w:ascii="Times New Roman" w:hAnsi="Times New Roman" w:cs="Times New Roman"/>
          <w:color w:val="0000FF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Spatial characteristics of annual PET trend (mm/decade) in 2071-2100.</w:t>
      </w:r>
    </w:p>
    <w:tbl>
      <w:tblPr>
        <w:tblStyle w:val="8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31"/>
        <w:gridCol w:w="731"/>
        <w:gridCol w:w="731"/>
        <w:gridCol w:w="732"/>
        <w:gridCol w:w="732"/>
        <w:gridCol w:w="737"/>
        <w:gridCol w:w="732"/>
        <w:gridCol w:w="732"/>
        <w:gridCol w:w="732"/>
        <w:gridCol w:w="732"/>
        <w:gridCol w:w="732"/>
        <w:gridCol w:w="737"/>
        <w:gridCol w:w="732"/>
        <w:gridCol w:w="732"/>
        <w:gridCol w:w="732"/>
        <w:gridCol w:w="732"/>
        <w:gridCol w:w="732"/>
        <w:gridCol w:w="7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vMerge w:val="restar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BNU-ESM</w:t>
            </w: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CESM1-CAM5</w:t>
            </w:r>
          </w:p>
        </w:tc>
        <w:tc>
          <w:tcPr>
            <w:tcW w:w="1550" w:type="pct"/>
            <w:gridSpan w:val="6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GFDL-ESM2M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RCP2.6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RCP4.5</w:t>
            </w:r>
          </w:p>
        </w:tc>
        <w:tc>
          <w:tcPr>
            <w:tcW w:w="517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RCP8.5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↓</w:t>
            </w:r>
          </w:p>
        </w:tc>
        <w:tc>
          <w:tcPr>
            <w:tcW w:w="2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4.35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2.64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3.30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2.44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13.41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3.10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4.30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3.17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1.52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2.13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3.22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5.69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4.96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4.59 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2.58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93.47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14.05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15.22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59.86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55.08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49.87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13.17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19.44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45.20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52.35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18.38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29.03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39.41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37.21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48.71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24.95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8.14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11.59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18.44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29.49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25.32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9.45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11.55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18.23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29.90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9.32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18.79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20.06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14.71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24.72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Std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19.94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1.60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1.72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7.85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8.60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6.32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1.54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2.56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7.70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8.82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3.40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4.06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6.89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6.57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6.87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CV (%)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79.94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19.70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14.85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42.56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29.17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24.98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16.33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22.15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42.25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29.51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36.48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21.62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34.37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44.66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27.78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" w:type="pct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PA (%)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1.29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2.64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0.66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15.61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2.54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72.07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1.13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6.21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57.26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99.98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0.47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2.21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5.50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10.73 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258" w:type="pct"/>
          </w:tcPr>
          <w:p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89.17 </w:t>
            </w:r>
          </w:p>
        </w:tc>
      </w:tr>
    </w:tbl>
    <w:p>
      <w:pPr>
        <w:rPr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Note: Min, Max, Mean, Std, CV, and PA represent the minimum, maximum, mean, standard deviation, coefficient of variation, and percent area, respectively. ↓ and ↑ indicate significant decreasing and increasing trends at 95% significance level, respectively. </w:t>
      </w:r>
      <w:r>
        <w:rPr>
          <w:rFonts w:hint="eastAsia"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 xml:space="preserve">– </w:t>
      </w:r>
      <w:r>
        <w:rPr>
          <w:rFonts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  <w:t>means that the significant trend was not detected at 95% significance level.</w:t>
      </w:r>
    </w:p>
    <w:p>
      <w:pPr>
        <w:spacing w:line="360" w:lineRule="auto"/>
        <w:rPr>
          <w:rFonts w:hint="eastAsia" w:ascii="Times New Roman" w:hAnsi="Times New Roman" w:cs="Times New Roman"/>
        </w:rPr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4684875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864373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A0D"/>
    <w:rsid w:val="00015ACB"/>
    <w:rsid w:val="00017263"/>
    <w:rsid w:val="00085CD4"/>
    <w:rsid w:val="000A65FD"/>
    <w:rsid w:val="00151A0D"/>
    <w:rsid w:val="002164BD"/>
    <w:rsid w:val="0025012A"/>
    <w:rsid w:val="002512AE"/>
    <w:rsid w:val="00345DC6"/>
    <w:rsid w:val="00357792"/>
    <w:rsid w:val="00382FEB"/>
    <w:rsid w:val="003D2DBA"/>
    <w:rsid w:val="003F183C"/>
    <w:rsid w:val="00434B62"/>
    <w:rsid w:val="00456F0F"/>
    <w:rsid w:val="0049159F"/>
    <w:rsid w:val="004B6A22"/>
    <w:rsid w:val="004D7D5A"/>
    <w:rsid w:val="00510778"/>
    <w:rsid w:val="005A20B0"/>
    <w:rsid w:val="005A649A"/>
    <w:rsid w:val="005C6C0C"/>
    <w:rsid w:val="006033F5"/>
    <w:rsid w:val="00604A13"/>
    <w:rsid w:val="00631BC7"/>
    <w:rsid w:val="006D2D39"/>
    <w:rsid w:val="007055E3"/>
    <w:rsid w:val="00711365"/>
    <w:rsid w:val="00727132"/>
    <w:rsid w:val="007838D4"/>
    <w:rsid w:val="007E6463"/>
    <w:rsid w:val="007F334D"/>
    <w:rsid w:val="007F680B"/>
    <w:rsid w:val="008535A2"/>
    <w:rsid w:val="00864DE6"/>
    <w:rsid w:val="00933E78"/>
    <w:rsid w:val="00945728"/>
    <w:rsid w:val="009C46D6"/>
    <w:rsid w:val="009D1AAB"/>
    <w:rsid w:val="00A17037"/>
    <w:rsid w:val="00A454B4"/>
    <w:rsid w:val="00A60CE1"/>
    <w:rsid w:val="00A65A4C"/>
    <w:rsid w:val="00A66958"/>
    <w:rsid w:val="00A8170C"/>
    <w:rsid w:val="00AE259B"/>
    <w:rsid w:val="00AF1841"/>
    <w:rsid w:val="00B7765F"/>
    <w:rsid w:val="00B807FC"/>
    <w:rsid w:val="00BA63DB"/>
    <w:rsid w:val="00BB208A"/>
    <w:rsid w:val="00BB4704"/>
    <w:rsid w:val="00C33FE0"/>
    <w:rsid w:val="00C63242"/>
    <w:rsid w:val="00CA33B3"/>
    <w:rsid w:val="00CB7224"/>
    <w:rsid w:val="00CD6F3A"/>
    <w:rsid w:val="00D17C5E"/>
    <w:rsid w:val="00D6466A"/>
    <w:rsid w:val="00E12B3E"/>
    <w:rsid w:val="00E40D4D"/>
    <w:rsid w:val="00FB3CCB"/>
    <w:rsid w:val="00FF2449"/>
    <w:rsid w:val="00FF3BE0"/>
    <w:rsid w:val="047064CA"/>
    <w:rsid w:val="2C156570"/>
    <w:rsid w:val="34C376D1"/>
    <w:rsid w:val="41AC3783"/>
    <w:rsid w:val="663B3A6B"/>
    <w:rsid w:val="68A23697"/>
    <w:rsid w:val="7476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rPr>
      <w:sz w:val="20"/>
      <w:szCs w:val="20"/>
    </w:rPr>
  </w:style>
  <w:style w:type="paragraph" w:styleId="3">
    <w:name w:val="Balloon Text"/>
    <w:basedOn w:val="1"/>
    <w:link w:val="15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16"/>
      <w:szCs w:val="16"/>
    </w:rPr>
  </w:style>
  <w:style w:type="character" w:customStyle="1" w:styleId="11">
    <w:name w:val="页眉 字符"/>
    <w:basedOn w:val="9"/>
    <w:link w:val="5"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sz w:val="18"/>
      <w:szCs w:val="18"/>
    </w:rPr>
  </w:style>
  <w:style w:type="character" w:customStyle="1" w:styleId="13">
    <w:name w:val="批注文字 字符"/>
    <w:basedOn w:val="9"/>
    <w:link w:val="2"/>
    <w:semiHidden/>
    <w:uiPriority w:val="99"/>
    <w:rPr>
      <w:sz w:val="20"/>
      <w:szCs w:val="20"/>
    </w:rPr>
  </w:style>
  <w:style w:type="character" w:customStyle="1" w:styleId="14">
    <w:name w:val="批注主题 字符"/>
    <w:basedOn w:val="13"/>
    <w:link w:val="6"/>
    <w:semiHidden/>
    <w:qFormat/>
    <w:uiPriority w:val="99"/>
    <w:rPr>
      <w:b/>
      <w:bCs/>
      <w:sz w:val="20"/>
      <w:szCs w:val="20"/>
    </w:rPr>
  </w:style>
  <w:style w:type="character" w:customStyle="1" w:styleId="15">
    <w:name w:val="批注框文本 字符"/>
    <w:basedOn w:val="9"/>
    <w:link w:val="3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78E0F1-C58B-4954-B6E2-98AE3B0D96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792</Words>
  <Characters>4516</Characters>
  <Lines>37</Lines>
  <Paragraphs>10</Paragraphs>
  <TotalTime>723</TotalTime>
  <ScaleCrop>false</ScaleCrop>
  <LinksUpToDate>false</LinksUpToDate>
  <CharactersWithSpaces>5298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2019-05-16T08:46:00Z</dcterms:created>
  <dc:creator>Peng Shouzhang</dc:creator>
  <cp:lastModifiedBy>Ding</cp:lastModifiedBy>
  <dcterms:modified xsi:type="dcterms:W3CDTF">2021-01-23T05:04:45Z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