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486C" w:rsidRDefault="0089486C" w:rsidP="0089486C">
      <w:pPr>
        <w:pStyle w:val="NormalWeb"/>
        <w:widowControl/>
        <w:spacing w:before="0" w:beforeAutospacing="0" w:after="0" w:afterAutospacing="0"/>
        <w:ind w:leftChars="500" w:left="1050" w:rightChars="915" w:right="1921" w:firstLine="5"/>
        <w:rPr>
          <w:rFonts w:ascii="Times New Roman" w:eastAsia="SimSun" w:hAnsi="Times New Roman" w:cs="Times"/>
          <w:kern w:val="2"/>
          <w:sz w:val="20"/>
          <w:szCs w:val="20"/>
          <w:lang w:val="en-US"/>
        </w:rPr>
      </w:pPr>
      <w:r>
        <w:rPr>
          <w:rFonts w:ascii="Times New Roman" w:eastAsia="SimSun" w:hAnsi="Times New Roman" w:cs="Times"/>
          <w:b/>
          <w:sz w:val="20"/>
          <w:szCs w:val="20"/>
        </w:rPr>
        <w:t xml:space="preserve">STable 1 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>Diagnostic measurement results for strateg</w:t>
      </w:r>
      <w:r>
        <w:rPr>
          <w:rFonts w:ascii="Times New Roman" w:eastAsia="SimSun" w:hAnsi="Times New Roman" w:cs="Times"/>
          <w:kern w:val="2"/>
          <w:sz w:val="20"/>
          <w:szCs w:val="20"/>
        </w:rPr>
        <w:t>ies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 xml:space="preserve"> </w:t>
      </w:r>
      <w:r>
        <w:rPr>
          <w:rFonts w:ascii="Times New Roman" w:eastAsia="SimSun" w:hAnsi="Times New Roman" w:cs="Times"/>
          <w:kern w:val="2"/>
          <w:sz w:val="20"/>
          <w:szCs w:val="20"/>
        </w:rPr>
        <w:t xml:space="preserve">in identification of 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>malignan</w:t>
      </w:r>
      <w:r>
        <w:rPr>
          <w:rFonts w:ascii="Times New Roman" w:eastAsia="SimSun" w:hAnsi="Times New Roman" w:cs="Times"/>
          <w:kern w:val="2"/>
          <w:sz w:val="20"/>
          <w:szCs w:val="20"/>
        </w:rPr>
        <w:t>cy when SRs model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 xml:space="preserve"> yield</w:t>
      </w:r>
      <w:r>
        <w:rPr>
          <w:rFonts w:ascii="Times New Roman" w:eastAsia="SimSun" w:hAnsi="Times New Roman" w:cs="Times"/>
          <w:kern w:val="2"/>
          <w:sz w:val="20"/>
          <w:szCs w:val="20"/>
        </w:rPr>
        <w:t xml:space="preserve">ed 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 xml:space="preserve">inconclusive </w:t>
      </w:r>
      <w:r>
        <w:rPr>
          <w:rFonts w:ascii="Times New Roman" w:eastAsia="SimSun" w:hAnsi="Times New Roman" w:cs="Times"/>
          <w:kern w:val="2"/>
          <w:sz w:val="20"/>
          <w:szCs w:val="20"/>
        </w:rPr>
        <w:t>diagnoses.</w:t>
      </w:r>
    </w:p>
    <w:tbl>
      <w:tblPr>
        <w:tblW w:w="10500" w:type="dxa"/>
        <w:tblInd w:w="128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191"/>
        <w:gridCol w:w="1246"/>
        <w:gridCol w:w="1246"/>
        <w:gridCol w:w="1190"/>
        <w:gridCol w:w="1190"/>
        <w:gridCol w:w="1190"/>
        <w:gridCol w:w="1190"/>
        <w:gridCol w:w="753"/>
      </w:tblGrid>
      <w:tr w:rsidR="0089486C" w:rsidTr="0089486C">
        <w:trPr>
          <w:trHeight w:val="670"/>
        </w:trPr>
        <w:tc>
          <w:tcPr>
            <w:tcW w:w="130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Strategy</w:t>
            </w:r>
          </w:p>
        </w:tc>
        <w:tc>
          <w:tcPr>
            <w:tcW w:w="119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AUC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Sensitivity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Specificity</w:t>
            </w:r>
          </w:p>
        </w:tc>
        <w:tc>
          <w:tcPr>
            <w:tcW w:w="119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PPV</w:t>
            </w:r>
          </w:p>
        </w:tc>
        <w:tc>
          <w:tcPr>
            <w:tcW w:w="119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NPV</w:t>
            </w:r>
          </w:p>
        </w:tc>
        <w:tc>
          <w:tcPr>
            <w:tcW w:w="119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LR+</w:t>
            </w:r>
          </w:p>
        </w:tc>
        <w:tc>
          <w:tcPr>
            <w:tcW w:w="119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LR-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DOR</w:t>
            </w:r>
          </w:p>
        </w:tc>
      </w:tr>
      <w:tr w:rsidR="0089486C" w:rsidTr="0089486C">
        <w:trPr>
          <w:trHeight w:hRule="exact" w:val="595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ADNEX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125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MS Mincho" w:eastAsia="MS Mincho" w:hAnsi="MS Mincho" w:cs="MS Mincho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0.23-0.57</w:t>
            </w:r>
            <w:r>
              <w:rPr>
                <w:rFonts w:ascii="MS Mincho" w:eastAsia="MS Mincho" w:hAnsi="MS Mincho" w:cs="MS Mincho" w:hint="eastAsia"/>
                <w:sz w:val="18"/>
                <w:szCs w:val="18"/>
              </w:rPr>
              <w:t>）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(0.44-0.73)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(0.51-0.95)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1.46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(1.11-2.00)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(0.09-0.90)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5.21</w:t>
            </w:r>
          </w:p>
        </w:tc>
      </w:tr>
      <w:tr w:rsidR="0089486C" w:rsidTr="0089486C">
        <w:trPr>
          <w:trHeight w:hRule="exact" w:val="595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ADNEX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N125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MS Mincho" w:eastAsia="MS Mincho" w:hAnsi="MS Mincho" w:cs="MS Mincho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0.19-0.51</w:t>
            </w:r>
            <w:r>
              <w:rPr>
                <w:rFonts w:ascii="MS Mincho" w:eastAsia="MS Mincho" w:hAnsi="MS Mincho" w:cs="MS Mincho" w:hint="eastAsia"/>
                <w:sz w:val="18"/>
                <w:szCs w:val="18"/>
              </w:rPr>
              <w:t>）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(0.43-0.71)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(0.46-0.94)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1.34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(1.00-1.70)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(0.10-1.00)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4.19</w:t>
            </w:r>
          </w:p>
        </w:tc>
      </w:tr>
      <w:tr w:rsidR="0089486C" w:rsidTr="0089486C">
        <w:trPr>
          <w:trHeight w:hRule="exact" w:val="595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RMI-I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MS Mincho" w:eastAsia="MS Mincho" w:hAnsi="MS Mincho" w:cs="MS Mincho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0.71-0.95</w:t>
            </w:r>
            <w:r>
              <w:rPr>
                <w:rFonts w:ascii="MS Mincho" w:eastAsia="MS Mincho" w:hAnsi="MS Mincho" w:cs="MS Mincho" w:hint="eastAsia"/>
                <w:sz w:val="18"/>
                <w:szCs w:val="18"/>
              </w:rPr>
              <w:t>）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(0.38-0.89)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(0.40-0.69)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(0.80-5.60)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(0.60-1.10)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2.48</w:t>
            </w:r>
          </w:p>
        </w:tc>
      </w:tr>
      <w:tr w:rsidR="0089486C" w:rsidTr="0089486C">
        <w:trPr>
          <w:trHeight w:hRule="exact" w:val="595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RMI-II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MS Mincho" w:eastAsia="MS Mincho" w:hAnsi="MS Mincho" w:cs="MS Mincho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0.71-0.95</w:t>
            </w:r>
            <w:r>
              <w:rPr>
                <w:rFonts w:ascii="MS Mincho" w:eastAsia="MS Mincho" w:hAnsi="MS Mincho" w:cs="MS Mincho" w:hint="eastAsia"/>
                <w:sz w:val="18"/>
                <w:szCs w:val="18"/>
              </w:rPr>
              <w:t>）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(0.44-0.91)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(0.42-0.71)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2.57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1.00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-6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.7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(0.50-1.00)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3.43</w:t>
            </w:r>
          </w:p>
        </w:tc>
      </w:tr>
      <w:tr w:rsidR="0089486C" w:rsidTr="0089486C">
        <w:trPr>
          <w:trHeight w:hRule="exact" w:val="595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RMI-III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MS Mincho" w:eastAsia="MS Mincho" w:hAnsi="MS Mincho" w:cs="MS Mincho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0.74-0.97</w:t>
            </w:r>
            <w:r>
              <w:rPr>
                <w:rFonts w:ascii="MS Mincho" w:eastAsia="MS Mincho" w:hAnsi="MS Mincho" w:cs="MS Mincho" w:hint="eastAsia"/>
                <w:sz w:val="18"/>
                <w:szCs w:val="18"/>
              </w:rPr>
              <w:t>）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(0.41-0.93)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(0.41-0.69)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2.57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(0.90-7.70)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</w:t>
            </w:r>
          </w:p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(0.60-1.00)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3.21</w:t>
            </w:r>
          </w:p>
        </w:tc>
      </w:tr>
      <w:tr w:rsidR="0089486C" w:rsidTr="0089486C">
        <w:trPr>
          <w:trHeight w:val="356"/>
        </w:trPr>
        <w:tc>
          <w:tcPr>
            <w:tcW w:w="10506" w:type="dxa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Cases with inconclusive results in SRs model (n=64)</w:t>
            </w:r>
          </w:p>
        </w:tc>
      </w:tr>
    </w:tbl>
    <w:p w:rsidR="0089486C" w:rsidRDefault="0089486C" w:rsidP="0089486C">
      <w:pPr>
        <w:pStyle w:val="NormalWeb"/>
        <w:widowControl/>
        <w:tabs>
          <w:tab w:val="left" w:pos="11760"/>
        </w:tabs>
        <w:spacing w:beforeLines="50" w:before="156" w:beforeAutospacing="0" w:afterAutospacing="0" w:line="240" w:lineRule="auto"/>
        <w:ind w:leftChars="499" w:left="1048" w:rightChars="1046" w:right="2197" w:firstLine="12"/>
        <w:rPr>
          <w:rFonts w:ascii="Times New Roman" w:eastAsia="Sabo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Values in parentheses are 95% CI.Strategies</w:t>
      </w:r>
      <w:r>
        <w:rPr>
          <w:rFonts w:ascii="Times New Roman" w:eastAsia="SimSun" w:hAnsi="Times New Roman" w:cs="Times"/>
          <w:sz w:val="20"/>
          <w:szCs w:val="20"/>
        </w:rPr>
        <w:t xml:space="preserve">: </w:t>
      </w:r>
      <w:r>
        <w:rPr>
          <w:rFonts w:ascii="Times New Roman" w:hAnsi="Times New Roman"/>
          <w:sz w:val="18"/>
          <w:szCs w:val="18"/>
        </w:rPr>
        <w:t>ADNEX</w:t>
      </w:r>
      <w:r>
        <w:rPr>
          <w:rFonts w:ascii="Times New Roman" w:hAnsi="Times New Roman"/>
          <w:sz w:val="18"/>
          <w:szCs w:val="18"/>
          <w:vertAlign w:val="superscript"/>
        </w:rPr>
        <w:t>125</w:t>
      </w:r>
      <w:r>
        <w:rPr>
          <w:rFonts w:ascii="Times New Roman" w:hAnsi="Times New Roman"/>
          <w:sz w:val="18"/>
          <w:szCs w:val="18"/>
        </w:rPr>
        <w:t>, the Assessment of Different NEoplasias in the adneXa model with CA125 level; ADNEX</w:t>
      </w:r>
      <w:r>
        <w:rPr>
          <w:rFonts w:ascii="Times New Roman" w:hAnsi="Times New Roman"/>
          <w:sz w:val="18"/>
          <w:szCs w:val="18"/>
          <w:vertAlign w:val="superscript"/>
        </w:rPr>
        <w:t>N125</w:t>
      </w:r>
      <w:r>
        <w:rPr>
          <w:rFonts w:ascii="Times New Roman" w:hAnsi="Times New Roman"/>
          <w:sz w:val="18"/>
          <w:szCs w:val="18"/>
        </w:rPr>
        <w:t xml:space="preserve">, the Assessment of Different NEoplasias in the adneXa model without CA125 level; </w:t>
      </w:r>
      <w:r>
        <w:rPr>
          <w:rFonts w:ascii="Times New Roman" w:hAnsi="Times New Roman"/>
          <w:sz w:val="18"/>
          <w:szCs w:val="18"/>
          <w:lang w:val="en-US"/>
        </w:rPr>
        <w:t xml:space="preserve">RMI-I, RMI-II, RMI-III, three variants of the Risk of Malignancy Index. </w:t>
      </w:r>
      <w:r>
        <w:rPr>
          <w:rFonts w:ascii="Times New Roman" w:hAnsi="Times New Roman"/>
          <w:sz w:val="18"/>
          <w:szCs w:val="18"/>
        </w:rPr>
        <w:t>For ADNEX models, cut-off value of 10% was used and for the three variants of RMI model, cut-off value of 200 was used. AUC, area under receiver-operating characteristic curve; PPV, positive predictive value; NPV, negative predictive value; LR+, positive likelihood ratio; LR–, negative likelihood</w:t>
      </w:r>
      <w:r>
        <w:rPr>
          <w:rFonts w:ascii="Times New Roman" w:eastAsia="Sabon" w:hAnsi="Times New Roman"/>
          <w:sz w:val="18"/>
          <w:szCs w:val="18"/>
        </w:rPr>
        <w:t xml:space="preserve"> ratio; DOR, diagnostic odds ratio. Of the 13.2% (64/486) cases considered as inconclusive results in SRs model, 7.4% (36/486) benign tumours, 2.7% (13/486) borderline ovarian tumours, 1.9% (9/486) stage I ovarian cancer, 0.6% (3/486) stages II-IV ovarian cancer and 0.6% (3/486) ovarian metastases. </w:t>
      </w:r>
    </w:p>
    <w:p w:rsidR="0089486C" w:rsidRDefault="0089486C" w:rsidP="0089486C">
      <w:pPr>
        <w:widowControl/>
        <w:spacing w:beforeAutospacing="1" w:after="0" w:afterAutospacing="1" w:line="240" w:lineRule="auto"/>
        <w:jc w:val="left"/>
        <w:rPr>
          <w:rFonts w:ascii="Times New Roman" w:eastAsia="Sabon" w:hAnsi="Times New Roman" w:cs="Times New Roman"/>
          <w:kern w:val="0"/>
          <w:sz w:val="18"/>
          <w:szCs w:val="18"/>
        </w:rPr>
        <w:sectPr w:rsidR="0089486C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89486C" w:rsidRDefault="0089486C" w:rsidP="0089486C">
      <w:pPr>
        <w:pStyle w:val="NormalWeb"/>
        <w:widowControl/>
        <w:tabs>
          <w:tab w:val="left" w:pos="10720"/>
        </w:tabs>
        <w:spacing w:beforeLines="50" w:before="120" w:beforeAutospacing="0" w:afterAutospacing="0" w:line="240" w:lineRule="auto"/>
        <w:ind w:leftChars="600" w:left="1260" w:rightChars="1541" w:right="3236" w:firstLine="5"/>
        <w:rPr>
          <w:rFonts w:ascii="Times New Roman" w:eastAsia="SimSun" w:hAnsi="Times New Roman" w:cs="Times"/>
          <w:kern w:val="2"/>
          <w:sz w:val="20"/>
          <w:szCs w:val="20"/>
          <w:lang w:val="en-US"/>
        </w:rPr>
      </w:pPr>
      <w:r>
        <w:rPr>
          <w:rFonts w:ascii="Times New Roman" w:eastAsia="SimSun" w:hAnsi="Times New Roman" w:cs="Times"/>
          <w:b/>
          <w:sz w:val="20"/>
          <w:szCs w:val="20"/>
        </w:rPr>
        <w:lastRenderedPageBreak/>
        <w:t xml:space="preserve">STable 2 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>Pairwise ROC</w:t>
      </w:r>
      <w:r>
        <w:rPr>
          <w:rFonts w:ascii="Times New Roman" w:eastAsia="SimSun" w:hAnsi="Times New Roman" w:cs="Times"/>
          <w:kern w:val="2"/>
          <w:sz w:val="20"/>
          <w:szCs w:val="20"/>
        </w:rPr>
        <w:t xml:space="preserve"> 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>curve comparisons</w:t>
      </w:r>
      <w:r>
        <w:rPr>
          <w:rFonts w:ascii="Times New Roman" w:eastAsia="SimSun" w:hAnsi="Times New Roman" w:cs="Times"/>
          <w:kern w:val="2"/>
          <w:sz w:val="20"/>
          <w:szCs w:val="20"/>
        </w:rPr>
        <w:t xml:space="preserve"> 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>for</w:t>
      </w:r>
      <w:r>
        <w:rPr>
          <w:rFonts w:ascii="Times New Roman" w:eastAsia="SimSun" w:hAnsi="Times New Roman" w:cs="Times"/>
          <w:kern w:val="2"/>
          <w:sz w:val="20"/>
          <w:szCs w:val="20"/>
        </w:rPr>
        <w:t xml:space="preserve"> 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>strateg</w:t>
      </w:r>
      <w:r>
        <w:rPr>
          <w:rFonts w:ascii="Times New Roman" w:eastAsia="SimSun" w:hAnsi="Times New Roman" w:cs="Times"/>
          <w:kern w:val="2"/>
          <w:sz w:val="20"/>
          <w:szCs w:val="20"/>
        </w:rPr>
        <w:t>ies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 xml:space="preserve"> </w:t>
      </w:r>
      <w:r>
        <w:rPr>
          <w:rFonts w:ascii="Times New Roman" w:eastAsia="SimSun" w:hAnsi="Times New Roman" w:cs="Times"/>
          <w:kern w:val="2"/>
          <w:sz w:val="20"/>
          <w:szCs w:val="20"/>
        </w:rPr>
        <w:t xml:space="preserve">identification of 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>malignan</w:t>
      </w:r>
      <w:r>
        <w:rPr>
          <w:rFonts w:ascii="Times New Roman" w:eastAsia="SimSun" w:hAnsi="Times New Roman" w:cs="Times"/>
          <w:kern w:val="2"/>
          <w:sz w:val="20"/>
          <w:szCs w:val="20"/>
        </w:rPr>
        <w:t>cy when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 xml:space="preserve"> </w:t>
      </w:r>
      <w:r>
        <w:rPr>
          <w:rFonts w:ascii="Times New Roman" w:eastAsia="SimSun" w:hAnsi="Times New Roman" w:cs="Times"/>
          <w:kern w:val="2"/>
          <w:sz w:val="20"/>
          <w:szCs w:val="20"/>
        </w:rPr>
        <w:t xml:space="preserve">SRs model conceived </w:t>
      </w:r>
      <w:r>
        <w:rPr>
          <w:rFonts w:ascii="Times New Roman" w:eastAsia="SimSun" w:hAnsi="Times New Roman" w:cs="Times"/>
          <w:kern w:val="2"/>
          <w:sz w:val="20"/>
          <w:szCs w:val="20"/>
          <w:lang w:val="en-US"/>
        </w:rPr>
        <w:t>inconclusive result</w:t>
      </w:r>
      <w:r>
        <w:rPr>
          <w:rFonts w:ascii="Times New Roman" w:eastAsia="SimSun" w:hAnsi="Times New Roman" w:cs="Times"/>
          <w:kern w:val="2"/>
          <w:sz w:val="20"/>
          <w:szCs w:val="20"/>
        </w:rPr>
        <w:t>s.</w:t>
      </w:r>
    </w:p>
    <w:tbl>
      <w:tblPr>
        <w:tblW w:w="9435" w:type="dxa"/>
        <w:tblInd w:w="134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3"/>
        <w:gridCol w:w="1983"/>
        <w:gridCol w:w="1983"/>
        <w:gridCol w:w="1983"/>
        <w:gridCol w:w="1983"/>
      </w:tblGrid>
      <w:tr w:rsidR="0089486C" w:rsidTr="0089486C">
        <w:trPr>
          <w:trHeight w:val="90"/>
        </w:trPr>
        <w:tc>
          <w:tcPr>
            <w:tcW w:w="150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eastAsia="SimSu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d-AUC ( P</w:t>
            </w:r>
            <w:r>
              <w:rPr>
                <w:rFonts w:ascii="Times New Roman" w:eastAsia="Sabon" w:hAnsi="Times New Roman" w:cs="Times New Roman"/>
                <w:sz w:val="16"/>
                <w:szCs w:val="16"/>
                <w:vertAlign w:val="superscript"/>
              </w:rPr>
              <w:t>a</w:t>
            </w:r>
            <w:r>
              <w:rPr>
                <w:rFonts w:ascii="Sabon" w:eastAsia="Sabon" w:hAnsi="Sabon" w:cs="Sabon"/>
                <w:sz w:val="16"/>
                <w:szCs w:val="16"/>
              </w:rPr>
              <w:t xml:space="preserve"> 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lang w:val="en-US"/>
              </w:rPr>
              <w:t>ADNEX</w:t>
            </w:r>
            <w:r>
              <w:rPr>
                <w:rFonts w:ascii="Times New Roman" w:eastAsia="SimSun" w:hAnsi="Times New Roman" w:cs="Times New Roman"/>
                <w:i/>
                <w:sz w:val="18"/>
                <w:szCs w:val="18"/>
                <w:vertAlign w:val="superscript"/>
                <w:lang w:val="en-US"/>
              </w:rPr>
              <w:t>N125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RMI-I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RMI-II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i/>
                <w:sz w:val="18"/>
                <w:szCs w:val="18"/>
              </w:rPr>
              <w:t>RMI-III</w:t>
            </w:r>
          </w:p>
        </w:tc>
      </w:tr>
      <w:tr w:rsidR="0089486C" w:rsidTr="0089486C">
        <w:trPr>
          <w:trHeight w:val="340"/>
        </w:trPr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ADNEX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125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0.00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49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-0.046-0.056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)</w:t>
            </w:r>
          </w:p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P=0.849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138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-0.021-0.297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)</w:t>
            </w:r>
          </w:p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P=0.089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139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-0.019-0.297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)</w:t>
            </w:r>
          </w:p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P=0.085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142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-0.016-0.300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)</w:t>
            </w:r>
          </w:p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P=0.079</w:t>
            </w:r>
          </w:p>
        </w:tc>
      </w:tr>
      <w:tr w:rsidR="0089486C" w:rsidTr="0089486C">
        <w:trPr>
          <w:trHeight w:val="340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ADNEX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N125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/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143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-0.027-0.313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)</w:t>
            </w:r>
          </w:p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P=0.100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144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-0.031-0.319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)</w:t>
            </w:r>
          </w:p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P=0.107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147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-0.029-0.323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)</w:t>
            </w:r>
          </w:p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i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P=0.102</w:t>
            </w:r>
          </w:p>
        </w:tc>
      </w:tr>
      <w:tr w:rsidR="0089486C" w:rsidTr="0089486C">
        <w:trPr>
          <w:trHeight w:val="340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RMI-I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/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010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75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077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)</w:t>
            </w:r>
          </w:p>
          <w:p w:rsidR="0089486C" w:rsidRDefault="0089486C">
            <w:pPr>
              <w:spacing w:after="0"/>
              <w:ind w:firstLineChars="300" w:firstLine="54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P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=0.980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040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76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084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)</w:t>
            </w:r>
          </w:p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P=0.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923</w:t>
            </w:r>
          </w:p>
        </w:tc>
      </w:tr>
      <w:tr w:rsidR="0089486C" w:rsidTr="0089486C">
        <w:trPr>
          <w:trHeight w:val="340"/>
        </w:trPr>
        <w:tc>
          <w:tcPr>
            <w:tcW w:w="15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RMI-II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/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030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0.0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16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-0.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022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)</w:t>
            </w:r>
          </w:p>
          <w:p w:rsidR="0089486C" w:rsidRDefault="0089486C">
            <w:pPr>
              <w:spacing w:after="0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en-US"/>
              </w:rPr>
              <w:t>P=0.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762</w:t>
            </w:r>
          </w:p>
        </w:tc>
      </w:tr>
    </w:tbl>
    <w:p w:rsidR="0089486C" w:rsidRDefault="0089486C" w:rsidP="0089486C">
      <w:pPr>
        <w:pStyle w:val="NormalWeb"/>
        <w:widowControl/>
        <w:tabs>
          <w:tab w:val="left" w:pos="11760"/>
        </w:tabs>
        <w:spacing w:beforeLines="50" w:before="120" w:beforeAutospacing="0" w:afterAutospacing="0" w:line="240" w:lineRule="auto"/>
        <w:ind w:leftChars="594" w:left="1247" w:rightChars="1541" w:right="3236" w:firstLine="12"/>
        <w:rPr>
          <w:rFonts w:ascii="Times New Roman" w:hAnsi="Times New Roman"/>
          <w:sz w:val="18"/>
          <w:szCs w:val="18"/>
        </w:rPr>
      </w:pPr>
      <w:r>
        <w:rPr>
          <w:rFonts w:ascii="Times New Roman" w:eastAsia="Sabon" w:hAnsi="Times New Roman"/>
          <w:sz w:val="16"/>
          <w:szCs w:val="16"/>
          <w:vertAlign w:val="superscript"/>
        </w:rPr>
        <w:t>a</w:t>
      </w:r>
      <w:r>
        <w:rPr>
          <w:rFonts w:ascii="Times New Roman" w:hAnsi="Times New Roman"/>
          <w:sz w:val="18"/>
          <w:szCs w:val="18"/>
        </w:rPr>
        <w:t xml:space="preserve">Comparisons </w:t>
      </w:r>
      <w:r>
        <w:rPr>
          <w:rFonts w:ascii="Times New Roman" w:hAnsi="Times New Roman"/>
          <w:sz w:val="18"/>
          <w:szCs w:val="18"/>
          <w:lang w:val="en-US"/>
        </w:rPr>
        <w:t>expressed as differences in area under the curve</w:t>
      </w:r>
      <w:r>
        <w:rPr>
          <w:rFonts w:ascii="Times New Roman" w:hAnsi="Times New Roman"/>
          <w:sz w:val="18"/>
          <w:szCs w:val="18"/>
        </w:rPr>
        <w:t>s (AUCs) of prediction models using Delong’s test; methods in left column are used as reference standard for comparisons; d-AUC, differences in area under the curve. Prediction model strategies: ADNEX</w:t>
      </w:r>
      <w:r>
        <w:rPr>
          <w:rFonts w:ascii="Times New Roman" w:hAnsi="Times New Roman"/>
          <w:sz w:val="18"/>
          <w:szCs w:val="18"/>
          <w:vertAlign w:val="superscript"/>
        </w:rPr>
        <w:t>125</w:t>
      </w:r>
      <w:r>
        <w:rPr>
          <w:rFonts w:ascii="Times New Roman" w:hAnsi="Times New Roman"/>
          <w:sz w:val="18"/>
          <w:szCs w:val="18"/>
        </w:rPr>
        <w:t>, the Assessment of Different NEoplasias in the adneXa model with CA125 level; ADNEX</w:t>
      </w:r>
      <w:r>
        <w:rPr>
          <w:rFonts w:ascii="Times New Roman" w:hAnsi="Times New Roman"/>
          <w:sz w:val="18"/>
          <w:szCs w:val="18"/>
          <w:vertAlign w:val="superscript"/>
        </w:rPr>
        <w:t>N125</w:t>
      </w:r>
      <w:r>
        <w:rPr>
          <w:rFonts w:ascii="Times New Roman" w:hAnsi="Times New Roman"/>
          <w:sz w:val="18"/>
          <w:szCs w:val="18"/>
        </w:rPr>
        <w:t xml:space="preserve">, the Assessment of Different NEoplasias in the adneXa model without CA125 level; </w:t>
      </w:r>
      <w:r>
        <w:rPr>
          <w:rFonts w:ascii="Times New Roman" w:hAnsi="Times New Roman"/>
          <w:sz w:val="18"/>
          <w:szCs w:val="18"/>
          <w:lang w:val="en-US"/>
        </w:rPr>
        <w:t xml:space="preserve">RMI-I, RMI-II, RMI-III, three variants of the Risk of Malignancy Index. </w:t>
      </w:r>
      <w:r>
        <w:rPr>
          <w:rFonts w:ascii="Times New Roman" w:hAnsi="Times New Roman"/>
          <w:sz w:val="18"/>
          <w:szCs w:val="18"/>
        </w:rPr>
        <w:t>Values in parentheses are 95% CI.</w:t>
      </w:r>
    </w:p>
    <w:p w:rsidR="0089486C" w:rsidRDefault="0089486C" w:rsidP="0089486C">
      <w:pPr>
        <w:pStyle w:val="NormalWeb"/>
        <w:widowControl/>
        <w:tabs>
          <w:tab w:val="left" w:pos="11760"/>
        </w:tabs>
        <w:spacing w:beforeLines="50" w:before="120" w:beforeAutospacing="0" w:afterAutospacing="0" w:line="240" w:lineRule="auto"/>
        <w:ind w:rightChars="1541" w:right="3236"/>
        <w:rPr>
          <w:rFonts w:ascii="Times New Roman" w:hAnsi="Times New Roman"/>
          <w:sz w:val="20"/>
          <w:szCs w:val="20"/>
        </w:rPr>
      </w:pPr>
    </w:p>
    <w:p w:rsidR="0089486C" w:rsidRDefault="0089486C" w:rsidP="0089486C"/>
    <w:p w:rsidR="00EB3BB0" w:rsidRDefault="00EB3BB0"/>
    <w:sectPr w:rsidR="00EB3BB0" w:rsidSect="0089486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auto"/>
    <w:pitch w:val="default"/>
    <w:sig w:usb0="E00002FF" w:usb1="5000205A" w:usb2="00000000" w:usb3="00000000" w:csb0="2000019F" w:csb1="4F01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abon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86C"/>
    <w:rsid w:val="0089486C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2F8AA4-FA97-4E35-819A-4C62D1E48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86C"/>
    <w:pPr>
      <w:widowControl w:val="0"/>
      <w:spacing w:line="256" w:lineRule="auto"/>
      <w:jc w:val="both"/>
    </w:pPr>
    <w:rPr>
      <w:rFonts w:eastAsiaTheme="minorEastAsia"/>
      <w:kern w:val="2"/>
      <w:sz w:val="21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qFormat/>
    <w:rsid w:val="0089486C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2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2020-04-16T20:38:00Z</dcterms:created>
  <dcterms:modified xsi:type="dcterms:W3CDTF">2020-04-16T20:38:00Z</dcterms:modified>
</cp:coreProperties>
</file>