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A433" w14:textId="77777777" w:rsidR="003A0A39" w:rsidRDefault="003A0A39" w:rsidP="0004164F">
      <w:pPr>
        <w:jc w:val="center"/>
        <w:rPr>
          <w:b/>
          <w:bCs/>
          <w:sz w:val="32"/>
          <w:szCs w:val="32"/>
        </w:rPr>
      </w:pPr>
    </w:p>
    <w:p w14:paraId="52B8B849" w14:textId="77777777" w:rsidR="003A0A39" w:rsidRDefault="003A0A39" w:rsidP="0004164F">
      <w:pPr>
        <w:jc w:val="center"/>
        <w:rPr>
          <w:b/>
          <w:bCs/>
          <w:sz w:val="32"/>
          <w:szCs w:val="32"/>
        </w:rPr>
      </w:pPr>
    </w:p>
    <w:p w14:paraId="17AC5D4D" w14:textId="77777777" w:rsidR="003A0A39" w:rsidRDefault="003A0A39" w:rsidP="0004164F">
      <w:pPr>
        <w:jc w:val="center"/>
        <w:rPr>
          <w:b/>
          <w:bCs/>
          <w:sz w:val="32"/>
          <w:szCs w:val="32"/>
        </w:rPr>
      </w:pPr>
    </w:p>
    <w:p w14:paraId="473FECB5" w14:textId="77777777" w:rsidR="003A0A39" w:rsidRDefault="003A0A39" w:rsidP="0004164F">
      <w:pPr>
        <w:jc w:val="center"/>
        <w:rPr>
          <w:b/>
          <w:bCs/>
          <w:sz w:val="32"/>
          <w:szCs w:val="32"/>
        </w:rPr>
      </w:pPr>
    </w:p>
    <w:p w14:paraId="1C8FEAF7" w14:textId="31F4A858" w:rsidR="003A0A39" w:rsidRDefault="00693DC6" w:rsidP="00E7375E">
      <w:pPr>
        <w:rPr>
          <w:b/>
          <w:bCs/>
          <w:sz w:val="32"/>
          <w:szCs w:val="32"/>
        </w:rPr>
      </w:pPr>
      <w:r>
        <w:rPr>
          <w:b/>
          <w:bCs/>
          <w:sz w:val="32"/>
          <w:szCs w:val="32"/>
        </w:rPr>
        <w:t>Supplementary Information for:</w:t>
      </w:r>
    </w:p>
    <w:p w14:paraId="210BEC8C" w14:textId="77777777" w:rsidR="003A0A39" w:rsidRDefault="003A0A39" w:rsidP="0004164F">
      <w:pPr>
        <w:jc w:val="center"/>
        <w:rPr>
          <w:b/>
          <w:bCs/>
          <w:sz w:val="32"/>
          <w:szCs w:val="32"/>
        </w:rPr>
      </w:pPr>
    </w:p>
    <w:p w14:paraId="4CD5D37A" w14:textId="77777777" w:rsidR="003A0A39" w:rsidRDefault="003A0A39" w:rsidP="0004164F">
      <w:pPr>
        <w:jc w:val="center"/>
        <w:rPr>
          <w:b/>
          <w:bCs/>
          <w:sz w:val="32"/>
          <w:szCs w:val="32"/>
        </w:rPr>
      </w:pPr>
    </w:p>
    <w:p w14:paraId="169EB690" w14:textId="77777777" w:rsidR="0004164F" w:rsidRPr="0004164F" w:rsidRDefault="0004164F" w:rsidP="0004164F">
      <w:pPr>
        <w:jc w:val="center"/>
        <w:rPr>
          <w:b/>
          <w:bCs/>
          <w:i/>
          <w:sz w:val="32"/>
          <w:szCs w:val="32"/>
        </w:rPr>
      </w:pPr>
      <w:r w:rsidRPr="0004164F">
        <w:rPr>
          <w:b/>
          <w:bCs/>
          <w:sz w:val="32"/>
          <w:szCs w:val="32"/>
        </w:rPr>
        <w:t>A unified framework to enable streamlined RNA-seq analysis for non-model organisms</w:t>
      </w:r>
    </w:p>
    <w:p w14:paraId="61CE6C01" w14:textId="77777777" w:rsidR="0004164F" w:rsidRPr="00C943D9" w:rsidRDefault="0004164F" w:rsidP="0004164F">
      <w:pPr>
        <w:jc w:val="center"/>
        <w:rPr>
          <w:b/>
          <w:iCs/>
          <w:sz w:val="28"/>
          <w:szCs w:val="28"/>
        </w:rPr>
      </w:pPr>
    </w:p>
    <w:p w14:paraId="354856D7" w14:textId="77777777" w:rsidR="003A0A39" w:rsidRPr="00C943D9" w:rsidRDefault="003A0A39" w:rsidP="0004164F">
      <w:pPr>
        <w:jc w:val="center"/>
        <w:rPr>
          <w:b/>
          <w:iCs/>
          <w:sz w:val="28"/>
          <w:szCs w:val="28"/>
        </w:rPr>
      </w:pPr>
    </w:p>
    <w:p w14:paraId="67ABD763" w14:textId="2EAA28E6" w:rsidR="0CA7B8A5" w:rsidRDefault="0CA7B8A5" w:rsidP="3151121B">
      <w:pPr>
        <w:rPr>
          <w:color w:val="000000" w:themeColor="text1"/>
          <w:sz w:val="19"/>
          <w:szCs w:val="19"/>
        </w:rPr>
      </w:pPr>
      <w:r w:rsidRPr="3151121B">
        <w:rPr>
          <w:color w:val="000000" w:themeColor="text1"/>
        </w:rPr>
        <w:t>Peng Liu</w:t>
      </w:r>
      <w:r w:rsidRPr="3151121B">
        <w:rPr>
          <w:color w:val="000000" w:themeColor="text1"/>
          <w:vertAlign w:val="superscript"/>
        </w:rPr>
        <w:t>1</w:t>
      </w:r>
      <w:r w:rsidR="0076125D">
        <w:rPr>
          <w:color w:val="000000" w:themeColor="text1"/>
          <w:vertAlign w:val="superscript"/>
        </w:rPr>
        <w:t>,2</w:t>
      </w:r>
      <w:r w:rsidRPr="3151121B">
        <w:rPr>
          <w:color w:val="000000" w:themeColor="text1"/>
        </w:rPr>
        <w:t>*, Jessica Ewald</w:t>
      </w:r>
      <w:r w:rsidRPr="3151121B">
        <w:rPr>
          <w:color w:val="000000" w:themeColor="text1"/>
          <w:vertAlign w:val="superscript"/>
        </w:rPr>
        <w:t>1</w:t>
      </w:r>
      <w:r w:rsidRPr="3151121B">
        <w:rPr>
          <w:color w:val="000000" w:themeColor="text1"/>
        </w:rPr>
        <w:t>*, Elena Legrand</w:t>
      </w:r>
      <w:r w:rsidRPr="3151121B">
        <w:rPr>
          <w:color w:val="000000" w:themeColor="text1"/>
          <w:vertAlign w:val="superscript"/>
        </w:rPr>
        <w:t>1</w:t>
      </w:r>
      <w:r w:rsidRPr="3151121B">
        <w:rPr>
          <w:color w:val="000000" w:themeColor="text1"/>
        </w:rPr>
        <w:t xml:space="preserve">, Yeon </w:t>
      </w:r>
      <w:proofErr w:type="spellStart"/>
      <w:r w:rsidRPr="3151121B">
        <w:rPr>
          <w:color w:val="000000" w:themeColor="text1"/>
        </w:rPr>
        <w:t>Seon</w:t>
      </w:r>
      <w:proofErr w:type="spellEnd"/>
      <w:r w:rsidRPr="3151121B">
        <w:rPr>
          <w:color w:val="000000" w:themeColor="text1"/>
        </w:rPr>
        <w:t xml:space="preserve"> Jeon</w:t>
      </w:r>
      <w:r w:rsidRPr="3151121B">
        <w:rPr>
          <w:color w:val="000000" w:themeColor="text1"/>
          <w:vertAlign w:val="superscript"/>
        </w:rPr>
        <w:t>1</w:t>
      </w:r>
      <w:r w:rsidRPr="3151121B">
        <w:rPr>
          <w:color w:val="000000" w:themeColor="text1"/>
        </w:rPr>
        <w:t>, Jonathan Sangiovanni</w:t>
      </w:r>
      <w:r w:rsidRPr="3151121B">
        <w:rPr>
          <w:color w:val="000000" w:themeColor="text1"/>
          <w:vertAlign w:val="superscript"/>
        </w:rPr>
        <w:t>1</w:t>
      </w:r>
      <w:r w:rsidRPr="3151121B">
        <w:rPr>
          <w:color w:val="000000" w:themeColor="text1"/>
        </w:rPr>
        <w:t xml:space="preserve">, </w:t>
      </w:r>
      <w:proofErr w:type="spellStart"/>
      <w:r w:rsidRPr="3151121B">
        <w:rPr>
          <w:color w:val="000000" w:themeColor="text1"/>
        </w:rPr>
        <w:t>Orcun</w:t>
      </w:r>
      <w:proofErr w:type="spellEnd"/>
      <w:r w:rsidRPr="3151121B">
        <w:rPr>
          <w:color w:val="000000" w:themeColor="text1"/>
        </w:rPr>
        <w:t xml:space="preserve"> Hacariz</w:t>
      </w:r>
      <w:r w:rsidRPr="3151121B">
        <w:rPr>
          <w:color w:val="000000" w:themeColor="text1"/>
          <w:vertAlign w:val="superscript"/>
        </w:rPr>
        <w:t>1</w:t>
      </w:r>
      <w:r w:rsidRPr="3151121B">
        <w:rPr>
          <w:color w:val="000000" w:themeColor="text1"/>
        </w:rPr>
        <w:t xml:space="preserve">, </w:t>
      </w:r>
      <w:proofErr w:type="spellStart"/>
      <w:r w:rsidRPr="3151121B">
        <w:rPr>
          <w:color w:val="000000" w:themeColor="text1"/>
        </w:rPr>
        <w:t>Zhiqiang</w:t>
      </w:r>
      <w:proofErr w:type="spellEnd"/>
      <w:r w:rsidRPr="3151121B">
        <w:rPr>
          <w:color w:val="000000" w:themeColor="text1"/>
        </w:rPr>
        <w:t xml:space="preserve"> Pang</w:t>
      </w:r>
      <w:r w:rsidRPr="3151121B">
        <w:rPr>
          <w:color w:val="000000" w:themeColor="text1"/>
          <w:vertAlign w:val="superscript"/>
        </w:rPr>
        <w:t>1</w:t>
      </w:r>
      <w:r w:rsidRPr="3151121B">
        <w:rPr>
          <w:color w:val="000000" w:themeColor="text1"/>
        </w:rPr>
        <w:t xml:space="preserve">, </w:t>
      </w:r>
      <w:proofErr w:type="spellStart"/>
      <w:r w:rsidRPr="3151121B">
        <w:rPr>
          <w:color w:val="000000" w:themeColor="text1"/>
        </w:rPr>
        <w:t>Guangyan</w:t>
      </w:r>
      <w:proofErr w:type="spellEnd"/>
      <w:r w:rsidRPr="3151121B">
        <w:rPr>
          <w:color w:val="000000" w:themeColor="text1"/>
        </w:rPr>
        <w:t xml:space="preserve"> Zhou</w:t>
      </w:r>
      <w:r w:rsidRPr="3151121B">
        <w:rPr>
          <w:color w:val="000000" w:themeColor="text1"/>
          <w:vertAlign w:val="superscript"/>
        </w:rPr>
        <w:t>1</w:t>
      </w:r>
      <w:r w:rsidRPr="3151121B">
        <w:rPr>
          <w:color w:val="000000" w:themeColor="text1"/>
        </w:rPr>
        <w:t>, Jessica A. Head</w:t>
      </w:r>
      <w:r w:rsidRPr="3151121B">
        <w:rPr>
          <w:color w:val="000000" w:themeColor="text1"/>
          <w:vertAlign w:val="superscript"/>
        </w:rPr>
        <w:t>1</w:t>
      </w:r>
      <w:r w:rsidRPr="3151121B">
        <w:rPr>
          <w:color w:val="000000" w:themeColor="text1"/>
        </w:rPr>
        <w:t xml:space="preserve">, </w:t>
      </w:r>
      <w:proofErr w:type="spellStart"/>
      <w:r w:rsidRPr="3151121B">
        <w:rPr>
          <w:color w:val="000000" w:themeColor="text1"/>
        </w:rPr>
        <w:t>Niladri</w:t>
      </w:r>
      <w:proofErr w:type="spellEnd"/>
      <w:r w:rsidRPr="3151121B">
        <w:rPr>
          <w:color w:val="000000" w:themeColor="text1"/>
        </w:rPr>
        <w:t xml:space="preserve"> Basu</w:t>
      </w:r>
      <w:r w:rsidRPr="3151121B">
        <w:rPr>
          <w:color w:val="000000" w:themeColor="text1"/>
          <w:vertAlign w:val="superscript"/>
        </w:rPr>
        <w:t>1</w:t>
      </w:r>
      <w:r w:rsidRPr="3151121B">
        <w:rPr>
          <w:color w:val="000000" w:themeColor="text1"/>
        </w:rPr>
        <w:t xml:space="preserve">, </w:t>
      </w:r>
      <w:proofErr w:type="spellStart"/>
      <w:r w:rsidRPr="3151121B">
        <w:rPr>
          <w:color w:val="000000" w:themeColor="text1"/>
        </w:rPr>
        <w:t>Jianguo</w:t>
      </w:r>
      <w:proofErr w:type="spellEnd"/>
      <w:r w:rsidRPr="3151121B">
        <w:rPr>
          <w:color w:val="000000" w:themeColor="text1"/>
        </w:rPr>
        <w:t xml:space="preserve"> Xia</w:t>
      </w:r>
      <w:r w:rsidRPr="3151121B">
        <w:rPr>
          <w:color w:val="000000" w:themeColor="text1"/>
          <w:vertAlign w:val="superscript"/>
        </w:rPr>
        <w:t>1</w:t>
      </w:r>
    </w:p>
    <w:p w14:paraId="09B61C54" w14:textId="79FCC4DB" w:rsidR="3151121B" w:rsidRDefault="3151121B" w:rsidP="3151121B">
      <w:pPr>
        <w:rPr>
          <w:color w:val="000000" w:themeColor="text1"/>
        </w:rPr>
      </w:pPr>
    </w:p>
    <w:p w14:paraId="38DDD119" w14:textId="75D25FAB" w:rsidR="3151121B" w:rsidRDefault="3151121B" w:rsidP="3151121B">
      <w:pPr>
        <w:rPr>
          <w:color w:val="000000" w:themeColor="text1"/>
        </w:rPr>
      </w:pPr>
    </w:p>
    <w:p w14:paraId="56CBF6CE" w14:textId="031D4872" w:rsidR="0CA7B8A5" w:rsidRDefault="0CA7B8A5" w:rsidP="3151121B">
      <w:pPr>
        <w:rPr>
          <w:color w:val="000000" w:themeColor="text1"/>
        </w:rPr>
      </w:pPr>
      <w:r w:rsidRPr="3151121B">
        <w:rPr>
          <w:color w:val="000000" w:themeColor="text1"/>
          <w:vertAlign w:val="superscript"/>
        </w:rPr>
        <w:t>1</w:t>
      </w:r>
      <w:r w:rsidRPr="3151121B">
        <w:rPr>
          <w:color w:val="000000" w:themeColor="text1"/>
        </w:rPr>
        <w:t xml:space="preserve"> Faculty of Agricultural and Environmental Sciences, McGill University, Ste-Anne-de-Bellevue, Canada</w:t>
      </w:r>
    </w:p>
    <w:p w14:paraId="581DF49B" w14:textId="77777777" w:rsidR="002D06B8" w:rsidRDefault="002D06B8" w:rsidP="3151121B">
      <w:pPr>
        <w:rPr>
          <w:color w:val="000000" w:themeColor="text1"/>
        </w:rPr>
      </w:pPr>
    </w:p>
    <w:p w14:paraId="2DB6D9FC" w14:textId="5AD55264" w:rsidR="002D06B8" w:rsidRDefault="002D06B8" w:rsidP="3151121B">
      <w:pPr>
        <w:rPr>
          <w:color w:val="000000" w:themeColor="text1"/>
        </w:rPr>
      </w:pPr>
      <w:r>
        <w:rPr>
          <w:vertAlign w:val="superscript"/>
        </w:rPr>
        <w:t>2</w:t>
      </w:r>
      <w:r>
        <w:t xml:space="preserve"> National Wildlife Research Centre, Environment and Climate Change Canada, Ottawa, Canada</w:t>
      </w:r>
    </w:p>
    <w:p w14:paraId="52E99CC9" w14:textId="2F8370B5" w:rsidR="3151121B" w:rsidRDefault="3151121B" w:rsidP="3151121B">
      <w:pPr>
        <w:rPr>
          <w:color w:val="000000" w:themeColor="text1"/>
        </w:rPr>
      </w:pPr>
    </w:p>
    <w:p w14:paraId="04825527" w14:textId="63273865" w:rsidR="0CA7B8A5" w:rsidRDefault="0CA7B8A5" w:rsidP="3151121B">
      <w:pPr>
        <w:rPr>
          <w:color w:val="000000" w:themeColor="text1"/>
        </w:rPr>
      </w:pPr>
      <w:r w:rsidRPr="3151121B">
        <w:rPr>
          <w:color w:val="000000" w:themeColor="text1"/>
        </w:rPr>
        <w:t>* These authors contributed equally to the work.</w:t>
      </w:r>
    </w:p>
    <w:p w14:paraId="4C2D489F" w14:textId="7095867B" w:rsidR="3151121B" w:rsidRDefault="3151121B" w:rsidP="3151121B"/>
    <w:p w14:paraId="02E9C187" w14:textId="77777777" w:rsidR="0004164F" w:rsidRPr="00C943D9" w:rsidRDefault="0004164F" w:rsidP="0004164F"/>
    <w:p w14:paraId="5CB219D4" w14:textId="77777777" w:rsidR="0004164F" w:rsidRPr="00C943D9" w:rsidRDefault="0004164F" w:rsidP="0004164F"/>
    <w:p w14:paraId="3795C64A" w14:textId="77777777" w:rsidR="0004164F" w:rsidRDefault="0004164F" w:rsidP="0004164F">
      <w:r w:rsidRPr="00BF2E36">
        <w:t xml:space="preserve">Correspondence: </w:t>
      </w:r>
    </w:p>
    <w:p w14:paraId="07E4E16C" w14:textId="77777777" w:rsidR="0004164F" w:rsidRDefault="0004164F" w:rsidP="0004164F">
      <w:r>
        <w:t xml:space="preserve">Email: </w:t>
      </w:r>
      <w:r w:rsidRPr="00BF2E36">
        <w:t>jeff.xia@mcgill.ca (J.X.)</w:t>
      </w:r>
    </w:p>
    <w:p w14:paraId="72A8AC38" w14:textId="77777777" w:rsidR="0004164F" w:rsidRPr="0074421B" w:rsidRDefault="0004164F" w:rsidP="0004164F">
      <w:r w:rsidRPr="00BF2E36">
        <w:t>Tel.: +1-(514) 398-8668 (J.X.)</w:t>
      </w:r>
    </w:p>
    <w:p w14:paraId="3CDB9A69" w14:textId="4FBF745A" w:rsidR="00F1601C" w:rsidRDefault="00F1601C" w:rsidP="00DD2E10"/>
    <w:p w14:paraId="6D0C77D7" w14:textId="44913F38" w:rsidR="0004164F" w:rsidRDefault="0004164F" w:rsidP="522EACD3">
      <w:pPr>
        <w:spacing w:after="200" w:line="276" w:lineRule="auto"/>
        <w:rPr>
          <w:i/>
          <w:iCs/>
        </w:rPr>
      </w:pPr>
    </w:p>
    <w:p w14:paraId="210AFB67" w14:textId="44D6044B" w:rsidR="0004164F" w:rsidRDefault="0004164F" w:rsidP="522EACD3">
      <w:pPr>
        <w:spacing w:after="200" w:line="276" w:lineRule="auto"/>
      </w:pPr>
      <w:r>
        <w:br w:type="page"/>
      </w:r>
    </w:p>
    <w:p w14:paraId="73FA656E" w14:textId="0BEB9DE2" w:rsidR="0004164F" w:rsidRDefault="0004164F" w:rsidP="522EACD3">
      <w:pPr>
        <w:spacing w:after="200" w:line="276" w:lineRule="auto"/>
      </w:pPr>
    </w:p>
    <w:p w14:paraId="18705922" w14:textId="23C22E5A" w:rsidR="0004164F" w:rsidRDefault="00B13E2E" w:rsidP="522EACD3">
      <w:pPr>
        <w:spacing w:after="200" w:line="276" w:lineRule="auto"/>
      </w:pPr>
      <w:r>
        <w:rPr>
          <w:noProof/>
        </w:rPr>
        <w:drawing>
          <wp:inline distT="0" distB="0" distL="0" distR="0" wp14:anchorId="79848399" wp14:editId="1FD67E99">
            <wp:extent cx="5035616" cy="6096000"/>
            <wp:effectExtent l="0" t="0" r="6350" b="0"/>
            <wp:docPr id="1696759651"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3459" cy="6105495"/>
                    </a:xfrm>
                    <a:prstGeom prst="rect">
                      <a:avLst/>
                    </a:prstGeom>
                  </pic:spPr>
                </pic:pic>
              </a:graphicData>
            </a:graphic>
          </wp:inline>
        </w:drawing>
      </w:r>
    </w:p>
    <w:p w14:paraId="458452F8" w14:textId="77777777" w:rsidR="0004164F" w:rsidRDefault="0004164F" w:rsidP="522EACD3">
      <w:pPr>
        <w:spacing w:after="200" w:line="276" w:lineRule="auto"/>
        <w:rPr>
          <w:b/>
          <w:bCs/>
        </w:rPr>
      </w:pPr>
    </w:p>
    <w:p w14:paraId="1EF467DF" w14:textId="02C38928" w:rsidR="522EACD3" w:rsidRPr="00853FB9" w:rsidRDefault="00B13E2E" w:rsidP="00853FB9">
      <w:pPr>
        <w:spacing w:after="200" w:line="276" w:lineRule="auto"/>
      </w:pPr>
      <w:r w:rsidRPr="522EACD3">
        <w:rPr>
          <w:b/>
          <w:bCs/>
        </w:rPr>
        <w:t xml:space="preserve">Figure S1. </w:t>
      </w:r>
      <w:r>
        <w:t xml:space="preserve">Overview of </w:t>
      </w:r>
      <w:proofErr w:type="spellStart"/>
      <w:r>
        <w:t>EcoOmicsAnalyst</w:t>
      </w:r>
      <w:proofErr w:type="spellEnd"/>
      <w:r>
        <w:t xml:space="preserve"> interface for the main steps in a typical Seq2Fun project workflow, including initiation of a project from the Project Home (1), selection and grouping of samples from the home directory (2), annotation of samples with short names and experimental factors (3), selection of quantification database and parameters (4), job status view (5), view of project results via PCA, rarefaction curves, reads quality filters, and summary table (6), and the final results download page (7). </w:t>
      </w:r>
    </w:p>
    <w:p w14:paraId="5DFD6788" w14:textId="5677CA36" w:rsidR="00DF6D99" w:rsidRPr="0004602B" w:rsidRDefault="00AB7C17" w:rsidP="522EACD3">
      <w:pPr>
        <w:spacing w:line="480" w:lineRule="auto"/>
        <w:rPr>
          <w:i/>
          <w:iCs/>
          <w:highlight w:val="yellow"/>
        </w:rPr>
      </w:pPr>
      <w:r w:rsidRPr="522EACD3">
        <w:rPr>
          <w:i/>
          <w:iCs/>
        </w:rPr>
        <w:lastRenderedPageBreak/>
        <w:t>Overview</w:t>
      </w:r>
      <w:r w:rsidR="0017572B" w:rsidRPr="522EACD3">
        <w:rPr>
          <w:i/>
          <w:iCs/>
        </w:rPr>
        <w:t xml:space="preserve"> </w:t>
      </w:r>
    </w:p>
    <w:p w14:paraId="52ABF03F" w14:textId="7F1EB5F0" w:rsidR="00FD01D5" w:rsidRDefault="00FD01D5" w:rsidP="522EACD3">
      <w:pPr>
        <w:spacing w:line="480" w:lineRule="auto"/>
        <w:rPr>
          <w:rFonts w:eastAsiaTheme="minorEastAsia"/>
        </w:rPr>
      </w:pPr>
      <w:r w:rsidRPr="522EACD3">
        <w:rPr>
          <w:rFonts w:eastAsiaTheme="minorEastAsia"/>
        </w:rPr>
        <w:t xml:space="preserve">Several datasets were used to develop, build, test, and update </w:t>
      </w:r>
      <w:proofErr w:type="spellStart"/>
      <w:r w:rsidRPr="522EACD3">
        <w:rPr>
          <w:rFonts w:eastAsiaTheme="minorEastAsia"/>
        </w:rPr>
        <w:t>EcoOmicsAnalyst</w:t>
      </w:r>
      <w:proofErr w:type="spellEnd"/>
      <w:r w:rsidRPr="522EACD3">
        <w:rPr>
          <w:rFonts w:eastAsiaTheme="minorEastAsia"/>
        </w:rPr>
        <w:t xml:space="preserve">, </w:t>
      </w:r>
      <w:proofErr w:type="spellStart"/>
      <w:r w:rsidRPr="522EACD3">
        <w:rPr>
          <w:rFonts w:eastAsiaTheme="minorEastAsia"/>
        </w:rPr>
        <w:t>ExpressAnalyst</w:t>
      </w:r>
      <w:proofErr w:type="spellEnd"/>
      <w:r w:rsidRPr="522EACD3">
        <w:rPr>
          <w:rFonts w:eastAsiaTheme="minorEastAsia"/>
        </w:rPr>
        <w:t xml:space="preserve">, and </w:t>
      </w:r>
      <w:proofErr w:type="spellStart"/>
      <w:r w:rsidRPr="522EACD3">
        <w:rPr>
          <w:rFonts w:eastAsiaTheme="minorEastAsia"/>
        </w:rPr>
        <w:t>EcoOmicsDB</w:t>
      </w:r>
      <w:proofErr w:type="spellEnd"/>
      <w:r w:rsidRPr="522EACD3">
        <w:rPr>
          <w:rFonts w:eastAsiaTheme="minorEastAsia"/>
        </w:rPr>
        <w:t xml:space="preserve">. </w:t>
      </w:r>
      <w:r w:rsidR="00AB7C17" w:rsidRPr="522EACD3">
        <w:rPr>
          <w:rFonts w:eastAsiaTheme="minorEastAsia"/>
        </w:rPr>
        <w:t xml:space="preserve">Here, we analyze two </w:t>
      </w:r>
      <w:r w:rsidR="00D72EF3" w:rsidRPr="522EACD3">
        <w:rPr>
          <w:rFonts w:eastAsiaTheme="minorEastAsia"/>
        </w:rPr>
        <w:t xml:space="preserve">RNA-seq </w:t>
      </w:r>
      <w:r w:rsidR="00AB7C17" w:rsidRPr="522EACD3">
        <w:rPr>
          <w:rFonts w:eastAsiaTheme="minorEastAsia"/>
        </w:rPr>
        <w:t xml:space="preserve">datasets </w:t>
      </w:r>
      <w:r w:rsidR="00D72EF3" w:rsidRPr="522EACD3">
        <w:rPr>
          <w:rFonts w:eastAsiaTheme="minorEastAsia"/>
        </w:rPr>
        <w:t xml:space="preserve">from </w:t>
      </w:r>
      <w:r w:rsidR="00B55BB8" w:rsidRPr="522EACD3">
        <w:rPr>
          <w:rFonts w:eastAsiaTheme="minorEastAsia"/>
        </w:rPr>
        <w:t>zebrafish</w:t>
      </w:r>
      <w:r w:rsidR="00E2664F" w:rsidRPr="522EACD3">
        <w:rPr>
          <w:rFonts w:eastAsiaTheme="minorEastAsia"/>
        </w:rPr>
        <w:t xml:space="preserve"> (</w:t>
      </w:r>
      <w:r w:rsidR="00E2664F" w:rsidRPr="522EACD3">
        <w:rPr>
          <w:rFonts w:eastAsiaTheme="minorEastAsia"/>
          <w:i/>
          <w:iCs/>
        </w:rPr>
        <w:t>Danio rerio</w:t>
      </w:r>
      <w:r w:rsidR="00E2664F" w:rsidRPr="522EACD3">
        <w:rPr>
          <w:rFonts w:eastAsiaTheme="minorEastAsia"/>
        </w:rPr>
        <w:t>)</w:t>
      </w:r>
      <w:r w:rsidR="00B55BB8" w:rsidRPr="522EACD3">
        <w:rPr>
          <w:rFonts w:eastAsiaTheme="minorEastAsia"/>
        </w:rPr>
        <w:t xml:space="preserve"> and American lobster</w:t>
      </w:r>
      <w:r w:rsidR="00E2664F" w:rsidRPr="522EACD3">
        <w:rPr>
          <w:rFonts w:eastAsiaTheme="minorEastAsia"/>
        </w:rPr>
        <w:t xml:space="preserve"> (</w:t>
      </w:r>
      <w:r w:rsidR="00E2664F" w:rsidRPr="522EACD3">
        <w:rPr>
          <w:rFonts w:eastAsiaTheme="minorEastAsia"/>
          <w:i/>
          <w:iCs/>
        </w:rPr>
        <w:t>Homarus americanus</w:t>
      </w:r>
      <w:r w:rsidR="00E2664F" w:rsidRPr="522EACD3">
        <w:rPr>
          <w:rFonts w:eastAsiaTheme="minorEastAsia"/>
        </w:rPr>
        <w:t>)</w:t>
      </w:r>
      <w:r w:rsidR="00B55BB8" w:rsidRPr="522EACD3">
        <w:rPr>
          <w:rFonts w:eastAsiaTheme="minorEastAsia"/>
        </w:rPr>
        <w:t>, organisms</w:t>
      </w:r>
      <w:r w:rsidR="00D72EF3" w:rsidRPr="522EACD3">
        <w:rPr>
          <w:rFonts w:eastAsiaTheme="minorEastAsia"/>
        </w:rPr>
        <w:t xml:space="preserve"> </w:t>
      </w:r>
      <w:r w:rsidR="00AB7C17" w:rsidRPr="522EACD3">
        <w:rPr>
          <w:rFonts w:eastAsiaTheme="minorEastAsia"/>
        </w:rPr>
        <w:t xml:space="preserve">with </w:t>
      </w:r>
      <w:r w:rsidR="00D72EF3" w:rsidRPr="522EACD3">
        <w:rPr>
          <w:rFonts w:eastAsiaTheme="minorEastAsia"/>
        </w:rPr>
        <w:t>reference transcriptomes</w:t>
      </w:r>
      <w:r w:rsidR="00B55BB8" w:rsidRPr="522EACD3">
        <w:rPr>
          <w:rFonts w:eastAsiaTheme="minorEastAsia"/>
        </w:rPr>
        <w:t>,</w:t>
      </w:r>
      <w:r w:rsidR="00D72EF3" w:rsidRPr="522EACD3">
        <w:rPr>
          <w:rFonts w:eastAsiaTheme="minorEastAsia"/>
        </w:rPr>
        <w:t xml:space="preserve"> with both</w:t>
      </w:r>
      <w:r w:rsidR="00AB7C17" w:rsidRPr="522EACD3">
        <w:rPr>
          <w:rFonts w:eastAsiaTheme="minorEastAsia"/>
        </w:rPr>
        <w:t xml:space="preserve"> </w:t>
      </w:r>
      <w:proofErr w:type="spellStart"/>
      <w:r w:rsidR="00AB7C17" w:rsidRPr="522EACD3">
        <w:rPr>
          <w:rFonts w:eastAsiaTheme="minorEastAsia"/>
        </w:rPr>
        <w:t>Kallisto</w:t>
      </w:r>
      <w:proofErr w:type="spellEnd"/>
      <w:r w:rsidR="00AB7C17" w:rsidRPr="522EACD3">
        <w:rPr>
          <w:rFonts w:eastAsiaTheme="minorEastAsia"/>
        </w:rPr>
        <w:t xml:space="preserve"> and Seq2Fun</w:t>
      </w:r>
      <w:r w:rsidR="00D72EF3" w:rsidRPr="522EACD3">
        <w:rPr>
          <w:rFonts w:eastAsiaTheme="minorEastAsia"/>
        </w:rPr>
        <w:t xml:space="preserve">. The results are compared to show that </w:t>
      </w:r>
      <w:r w:rsidR="004A2471" w:rsidRPr="522EACD3">
        <w:rPr>
          <w:rFonts w:eastAsiaTheme="minorEastAsia"/>
        </w:rPr>
        <w:t xml:space="preserve">Seq2Fun still recovers overall trends after changing the </w:t>
      </w:r>
      <w:r w:rsidR="00002C03" w:rsidRPr="522EACD3">
        <w:rPr>
          <w:rFonts w:eastAsiaTheme="minorEastAsia"/>
        </w:rPr>
        <w:t xml:space="preserve">ortholog protein database that was evaluated in the original publication (Liu, Ewald </w:t>
      </w:r>
      <w:r w:rsidR="00002C03" w:rsidRPr="522EACD3">
        <w:rPr>
          <w:rFonts w:eastAsiaTheme="minorEastAsia"/>
          <w:i/>
          <w:iCs/>
        </w:rPr>
        <w:t>et al</w:t>
      </w:r>
      <w:r w:rsidR="00002C03" w:rsidRPr="522EACD3">
        <w:rPr>
          <w:rFonts w:eastAsiaTheme="minorEastAsia"/>
        </w:rPr>
        <w:t xml:space="preserve">., 2021). </w:t>
      </w:r>
      <w:r w:rsidR="00B55BB8" w:rsidRPr="522EACD3">
        <w:rPr>
          <w:rFonts w:eastAsiaTheme="minorEastAsia"/>
        </w:rPr>
        <w:t xml:space="preserve">In both case studies, </w:t>
      </w:r>
      <w:r w:rsidRPr="522EACD3">
        <w:rPr>
          <w:rFonts w:eastAsiaTheme="minorEastAsia"/>
        </w:rPr>
        <w:t xml:space="preserve">resulting counts tables were uploaded to </w:t>
      </w:r>
      <w:proofErr w:type="spellStart"/>
      <w:r w:rsidRPr="522EACD3">
        <w:rPr>
          <w:rFonts w:eastAsiaTheme="minorEastAsia"/>
        </w:rPr>
        <w:t>ExpressAnalyst</w:t>
      </w:r>
      <w:proofErr w:type="spellEnd"/>
      <w:r w:rsidRPr="522EACD3">
        <w:rPr>
          <w:rFonts w:eastAsiaTheme="minorEastAsia"/>
        </w:rPr>
        <w:t xml:space="preserve"> to perform</w:t>
      </w:r>
      <w:r w:rsidR="00E761F4" w:rsidRPr="522EACD3">
        <w:rPr>
          <w:rFonts w:eastAsiaTheme="minorEastAsia"/>
        </w:rPr>
        <w:t xml:space="preserve"> downstream filtering, normalization, statistical analysis, and functional analysis. </w:t>
      </w:r>
      <w:r w:rsidRPr="522EACD3">
        <w:rPr>
          <w:rFonts w:eastAsiaTheme="minorEastAsia"/>
        </w:rPr>
        <w:t xml:space="preserve">Note that American lobster does not have any publicly available pathway libraries for the current version of the reference genome, so </w:t>
      </w:r>
      <w:r w:rsidR="00E51635" w:rsidRPr="522EACD3">
        <w:rPr>
          <w:rFonts w:eastAsiaTheme="minorEastAsia"/>
        </w:rPr>
        <w:t>functional analysis could not be performed for the</w:t>
      </w:r>
      <w:r w:rsidRPr="522EACD3">
        <w:rPr>
          <w:rFonts w:eastAsiaTheme="minorEastAsia"/>
        </w:rPr>
        <w:t xml:space="preserve"> </w:t>
      </w:r>
      <w:r w:rsidR="001A72CE" w:rsidRPr="522EACD3">
        <w:rPr>
          <w:rFonts w:eastAsiaTheme="minorEastAsia"/>
        </w:rPr>
        <w:t xml:space="preserve">American lobster </w:t>
      </w:r>
      <w:proofErr w:type="spellStart"/>
      <w:r w:rsidRPr="522EACD3">
        <w:rPr>
          <w:rFonts w:eastAsiaTheme="minorEastAsia"/>
        </w:rPr>
        <w:t>Kallisto</w:t>
      </w:r>
      <w:proofErr w:type="spellEnd"/>
      <w:r w:rsidRPr="522EACD3">
        <w:rPr>
          <w:rFonts w:eastAsiaTheme="minorEastAsia"/>
        </w:rPr>
        <w:t xml:space="preserve"> </w:t>
      </w:r>
      <w:r w:rsidR="001A72CE" w:rsidRPr="522EACD3">
        <w:rPr>
          <w:rFonts w:eastAsiaTheme="minorEastAsia"/>
        </w:rPr>
        <w:t>dataset</w:t>
      </w:r>
      <w:r w:rsidRPr="522EACD3">
        <w:rPr>
          <w:rFonts w:eastAsiaTheme="minorEastAsia"/>
        </w:rPr>
        <w:t>.</w:t>
      </w:r>
    </w:p>
    <w:p w14:paraId="7ED47FDF" w14:textId="77777777" w:rsidR="009562BA" w:rsidRDefault="009562BA" w:rsidP="0004602B">
      <w:pPr>
        <w:spacing w:line="480" w:lineRule="auto"/>
        <w:rPr>
          <w:rFonts w:eastAsiaTheme="minorEastAsia"/>
        </w:rPr>
      </w:pPr>
    </w:p>
    <w:p w14:paraId="0A063E6E" w14:textId="6217A1DA" w:rsidR="009562BA" w:rsidRDefault="009562BA" w:rsidP="522EACD3">
      <w:pPr>
        <w:spacing w:line="480" w:lineRule="auto"/>
        <w:rPr>
          <w:rFonts w:eastAsiaTheme="minorEastAsia"/>
          <w:u w:val="single"/>
        </w:rPr>
      </w:pPr>
      <w:r w:rsidRPr="522EACD3">
        <w:rPr>
          <w:rFonts w:eastAsiaTheme="minorEastAsia"/>
          <w:u w:val="single"/>
        </w:rPr>
        <w:t>Methods</w:t>
      </w:r>
    </w:p>
    <w:p w14:paraId="5A25AA3A" w14:textId="20D816F7" w:rsidR="009562BA" w:rsidRDefault="009562BA" w:rsidP="522EACD3">
      <w:pPr>
        <w:spacing w:line="480" w:lineRule="auto"/>
        <w:jc w:val="both"/>
        <w:rPr>
          <w:color w:val="000000" w:themeColor="text1"/>
        </w:rPr>
      </w:pPr>
      <w:r w:rsidRPr="522EACD3">
        <w:rPr>
          <w:lang w:val="en"/>
        </w:rPr>
        <w:t xml:space="preserve">Zebrafish RNA-seq data were obtained from NCBI’s Sequence Read Archive (SRA) with sample accessions SRR13332314 – SRR13332325. Files were downloaded and converted to FASTQ format using the NCBI SRA </w:t>
      </w:r>
      <w:proofErr w:type="spellStart"/>
      <w:r w:rsidRPr="522EACD3">
        <w:rPr>
          <w:lang w:val="en"/>
        </w:rPr>
        <w:t>ToolKit</w:t>
      </w:r>
      <w:proofErr w:type="spellEnd"/>
      <w:r w:rsidRPr="522EACD3">
        <w:rPr>
          <w:lang w:val="en"/>
        </w:rPr>
        <w:t xml:space="preserve"> (version 2.11.3) before being uploaded to </w:t>
      </w:r>
      <w:proofErr w:type="spellStart"/>
      <w:r w:rsidRPr="522EACD3">
        <w:rPr>
          <w:lang w:val="en"/>
        </w:rPr>
        <w:t>EcoOmicsAnalyst</w:t>
      </w:r>
      <w:proofErr w:type="spellEnd"/>
      <w:r w:rsidRPr="522EACD3">
        <w:rPr>
          <w:lang w:val="en"/>
        </w:rPr>
        <w:t xml:space="preserve">. Lobster RNA-seq data are previously </w:t>
      </w:r>
      <w:proofErr w:type="gramStart"/>
      <w:r w:rsidRPr="522EACD3">
        <w:rPr>
          <w:lang w:val="en"/>
        </w:rPr>
        <w:t>unpublished, and</w:t>
      </w:r>
      <w:proofErr w:type="gramEnd"/>
      <w:r w:rsidRPr="522EACD3">
        <w:rPr>
          <w:lang w:val="en"/>
        </w:rPr>
        <w:t xml:space="preserve"> collected by us. </w:t>
      </w:r>
      <w:r w:rsidR="522EACD3" w:rsidRPr="522EACD3">
        <w:rPr>
          <w:color w:val="000000" w:themeColor="text1"/>
        </w:rPr>
        <w:t>Briefly, stage I lobster larvae were exposed for 24hrs to four doses of WAF (10%, 19%, 37% and 72%) a positive control (1-methylnaphthalene, at 0.3 mg/L corresponding to the estimated concentration of EC20) or a negative control (0.22 µm filtered seawater). Due to the lack of effects reported on survival, molting and respiration after WAF exposures, only the highest dose of WAF (72% WAF) was considered for transcriptomics analysis. RNA extraction of whole larvae exposed to 72% WAF (</w:t>
      </w:r>
      <w:r w:rsidR="522EACD3" w:rsidRPr="522EACD3">
        <w:rPr>
          <w:i/>
          <w:iCs/>
          <w:color w:val="000000" w:themeColor="text1"/>
        </w:rPr>
        <w:t>n</w:t>
      </w:r>
      <w:r w:rsidR="522EACD3" w:rsidRPr="522EACD3">
        <w:rPr>
          <w:color w:val="000000" w:themeColor="text1"/>
        </w:rPr>
        <w:t xml:space="preserve"> = 7), methylnaphthalene (</w:t>
      </w:r>
      <w:r w:rsidR="522EACD3" w:rsidRPr="522EACD3">
        <w:rPr>
          <w:i/>
          <w:iCs/>
          <w:color w:val="000000" w:themeColor="text1"/>
        </w:rPr>
        <w:t>n</w:t>
      </w:r>
      <w:r w:rsidR="522EACD3" w:rsidRPr="522EACD3">
        <w:rPr>
          <w:color w:val="000000" w:themeColor="text1"/>
        </w:rPr>
        <w:t xml:space="preserve"> = 6) and filtered seawater (</w:t>
      </w:r>
      <w:r w:rsidR="522EACD3" w:rsidRPr="522EACD3">
        <w:rPr>
          <w:i/>
          <w:iCs/>
          <w:color w:val="000000" w:themeColor="text1"/>
        </w:rPr>
        <w:t>n</w:t>
      </w:r>
      <w:r w:rsidR="522EACD3" w:rsidRPr="522EACD3">
        <w:rPr>
          <w:color w:val="000000" w:themeColor="text1"/>
        </w:rPr>
        <w:t xml:space="preserve"> = 6) was performed using </w:t>
      </w:r>
      <w:proofErr w:type="spellStart"/>
      <w:r w:rsidR="522EACD3" w:rsidRPr="522EACD3">
        <w:rPr>
          <w:color w:val="000000" w:themeColor="text1"/>
        </w:rPr>
        <w:t>Trizol</w:t>
      </w:r>
      <w:proofErr w:type="spellEnd"/>
      <w:r w:rsidR="522EACD3" w:rsidRPr="522EACD3">
        <w:rPr>
          <w:color w:val="000000" w:themeColor="text1"/>
        </w:rPr>
        <w:t xml:space="preserve">. The </w:t>
      </w:r>
      <w:r w:rsidR="522EACD3" w:rsidRPr="522EACD3">
        <w:rPr>
          <w:color w:val="000000" w:themeColor="text1"/>
        </w:rPr>
        <w:lastRenderedPageBreak/>
        <w:t xml:space="preserve">transcriptomes were sequenced using </w:t>
      </w:r>
      <w:proofErr w:type="spellStart"/>
      <w:r w:rsidR="522EACD3" w:rsidRPr="522EACD3">
        <w:rPr>
          <w:color w:val="000000" w:themeColor="text1"/>
        </w:rPr>
        <w:t>Novaseq</w:t>
      </w:r>
      <w:proofErr w:type="spellEnd"/>
      <w:r w:rsidR="522EACD3" w:rsidRPr="522EACD3">
        <w:rPr>
          <w:color w:val="000000" w:themeColor="text1"/>
        </w:rPr>
        <w:t xml:space="preserve"> Illumina at 28M reads per library. FASTQ files were downloaded from the Genome Quebec portal and uploaded to </w:t>
      </w:r>
      <w:proofErr w:type="spellStart"/>
      <w:r w:rsidR="522EACD3" w:rsidRPr="522EACD3">
        <w:rPr>
          <w:color w:val="000000" w:themeColor="text1"/>
        </w:rPr>
        <w:t>EcoOmicsAnalyst</w:t>
      </w:r>
      <w:proofErr w:type="spellEnd"/>
      <w:r w:rsidR="522EACD3" w:rsidRPr="522EACD3">
        <w:rPr>
          <w:color w:val="000000" w:themeColor="text1"/>
        </w:rPr>
        <w:t>.</w:t>
      </w:r>
    </w:p>
    <w:p w14:paraId="0F634D62" w14:textId="39C95046" w:rsidR="009562BA" w:rsidRDefault="009562BA" w:rsidP="522EACD3">
      <w:pPr>
        <w:spacing w:line="480" w:lineRule="auto"/>
        <w:jc w:val="both"/>
        <w:rPr>
          <w:lang w:val="en"/>
        </w:rPr>
      </w:pPr>
    </w:p>
    <w:p w14:paraId="053612EE" w14:textId="3FDF857A" w:rsidR="009562BA" w:rsidRDefault="009562BA" w:rsidP="522EACD3">
      <w:pPr>
        <w:spacing w:line="480" w:lineRule="auto"/>
        <w:jc w:val="both"/>
      </w:pPr>
      <w:r w:rsidRPr="522EACD3">
        <w:rPr>
          <w:lang w:val="en"/>
        </w:rPr>
        <w:t xml:space="preserve">For the </w:t>
      </w:r>
      <w:proofErr w:type="spellStart"/>
      <w:r w:rsidRPr="522EACD3">
        <w:rPr>
          <w:lang w:val="en"/>
        </w:rPr>
        <w:t>Kallisto</w:t>
      </w:r>
      <w:proofErr w:type="spellEnd"/>
      <w:r w:rsidRPr="522EACD3">
        <w:rPr>
          <w:lang w:val="en"/>
        </w:rPr>
        <w:t xml:space="preserve"> workflow, zebrafish samples were aligned to the GRCz11 </w:t>
      </w:r>
      <w:r w:rsidRPr="522EACD3">
        <w:rPr>
          <w:i/>
          <w:iCs/>
          <w:lang w:val="en"/>
        </w:rPr>
        <w:t>Danio rerio</w:t>
      </w:r>
      <w:r w:rsidRPr="522EACD3">
        <w:rPr>
          <w:lang w:val="en"/>
        </w:rPr>
        <w:t xml:space="preserve"> genome assembly (accession: GCA_000002035.4) and lobster samples were uploaded to the </w:t>
      </w:r>
      <w:r w:rsidR="522EACD3" w:rsidRPr="522EACD3">
        <w:rPr>
          <w:color w:val="000000" w:themeColor="text1"/>
        </w:rPr>
        <w:t xml:space="preserve">GMGI_Hamer_2.0 </w:t>
      </w:r>
      <w:r w:rsidR="522EACD3" w:rsidRPr="522EACD3">
        <w:rPr>
          <w:i/>
          <w:iCs/>
          <w:color w:val="000000" w:themeColor="text1"/>
        </w:rPr>
        <w:t>Homarus americanus</w:t>
      </w:r>
      <w:r w:rsidR="522EACD3" w:rsidRPr="522EACD3">
        <w:rPr>
          <w:color w:val="000000" w:themeColor="text1"/>
        </w:rPr>
        <w:t xml:space="preserve"> genome assembly (accession: GCA_018991925.1).</w:t>
      </w:r>
      <w:r w:rsidRPr="522EACD3">
        <w:rPr>
          <w:lang w:val="en"/>
        </w:rPr>
        <w:t xml:space="preserve"> The minimum quality score parameter was set to 25. For the Seq2Fun workflow, zebrafish samples were aligned to a customized version of the “Fishes” database that had zebrafish sequences removed, and lobster samples were aligned to the ‘Crustaceans’ database. The Seq2Fun parameters were set as “maximum number of mismatches” = 2, “minimum matching length” = 19, and “minimum matching BLOSUM62 score” = 80. The zebrafish sequences were removed to better demonstrate how mapping to pooled sequences from many other species compares to mapping to a reference transcriptome. This customized database is available for download in the Seq2Fun website (</w:t>
      </w:r>
      <w:hyperlink r:id="rId9">
        <w:r w:rsidRPr="522EACD3">
          <w:rPr>
            <w:rStyle w:val="Hyperlink"/>
            <w:lang w:val="en"/>
          </w:rPr>
          <w:t>www.seq2fun.ca</w:t>
        </w:r>
      </w:hyperlink>
      <w:r w:rsidRPr="522EACD3">
        <w:rPr>
          <w:lang w:val="en"/>
        </w:rPr>
        <w:t xml:space="preserve">) under the “Database” tab. </w:t>
      </w:r>
    </w:p>
    <w:p w14:paraId="7CE59772" w14:textId="39734A19" w:rsidR="009562BA" w:rsidRDefault="009562BA" w:rsidP="522EACD3">
      <w:pPr>
        <w:spacing w:line="480" w:lineRule="auto"/>
        <w:jc w:val="both"/>
        <w:rPr>
          <w:lang w:val="en"/>
        </w:rPr>
      </w:pPr>
    </w:p>
    <w:p w14:paraId="0D18A30A" w14:textId="4FEE00EE" w:rsidR="009562BA" w:rsidRDefault="009562BA" w:rsidP="522EACD3">
      <w:pPr>
        <w:spacing w:line="480" w:lineRule="auto"/>
        <w:jc w:val="both"/>
      </w:pPr>
      <w:r w:rsidRPr="522EACD3">
        <w:rPr>
          <w:lang w:val="en"/>
        </w:rPr>
        <w:t>Both count tables (</w:t>
      </w:r>
      <w:proofErr w:type="spellStart"/>
      <w:r w:rsidRPr="522EACD3">
        <w:rPr>
          <w:lang w:val="en"/>
        </w:rPr>
        <w:t>Kallisto</w:t>
      </w:r>
      <w:proofErr w:type="spellEnd"/>
      <w:r w:rsidRPr="522EACD3">
        <w:rPr>
          <w:lang w:val="en"/>
        </w:rPr>
        <w:t xml:space="preserve"> and Seq2Fun) were uploaded to </w:t>
      </w:r>
      <w:proofErr w:type="spellStart"/>
      <w:r w:rsidRPr="522EACD3">
        <w:rPr>
          <w:lang w:val="en"/>
        </w:rPr>
        <w:t>ExpressAnalyst</w:t>
      </w:r>
      <w:proofErr w:type="spellEnd"/>
      <w:r w:rsidRPr="522EACD3">
        <w:rPr>
          <w:lang w:val="en"/>
        </w:rPr>
        <w:t xml:space="preserve"> for analysis. The appropriate organisms and IDs were selected, data type was set to RNA-seq, and the gene summary method was set to “sum”. Data were filtered to remove those with low abundance and low variation by setting the variance filter to 15 and the abundance filter to 4. Data were normalized using the “Log2 counts per million” option based on the </w:t>
      </w:r>
      <w:proofErr w:type="spellStart"/>
      <w:r w:rsidRPr="522EACD3">
        <w:rPr>
          <w:i/>
          <w:iCs/>
          <w:lang w:val="en"/>
        </w:rPr>
        <w:t>limma</w:t>
      </w:r>
      <w:proofErr w:type="spellEnd"/>
      <w:r w:rsidRPr="522EACD3">
        <w:rPr>
          <w:i/>
          <w:iCs/>
          <w:lang w:val="en"/>
        </w:rPr>
        <w:t xml:space="preserve"> </w:t>
      </w:r>
      <w:proofErr w:type="spellStart"/>
      <w:r w:rsidRPr="522EACD3">
        <w:rPr>
          <w:i/>
          <w:iCs/>
          <w:lang w:val="en"/>
        </w:rPr>
        <w:t>voom</w:t>
      </w:r>
      <w:proofErr w:type="spellEnd"/>
      <w:r w:rsidRPr="522EACD3">
        <w:rPr>
          <w:i/>
          <w:iCs/>
          <w:lang w:val="en"/>
        </w:rPr>
        <w:t xml:space="preserve"> </w:t>
      </w:r>
      <w:r w:rsidRPr="522EACD3">
        <w:rPr>
          <w:lang w:val="en"/>
        </w:rPr>
        <w:t xml:space="preserve">R package followed by differential analysis with the </w:t>
      </w:r>
      <w:proofErr w:type="spellStart"/>
      <w:r w:rsidRPr="522EACD3">
        <w:rPr>
          <w:i/>
          <w:iCs/>
          <w:lang w:val="en"/>
        </w:rPr>
        <w:t>limma</w:t>
      </w:r>
      <w:proofErr w:type="spellEnd"/>
      <w:r w:rsidRPr="522EACD3">
        <w:rPr>
          <w:i/>
          <w:iCs/>
          <w:lang w:val="en"/>
        </w:rPr>
        <w:t xml:space="preserve"> </w:t>
      </w:r>
      <w:r w:rsidRPr="522EACD3">
        <w:rPr>
          <w:lang w:val="en"/>
        </w:rPr>
        <w:t xml:space="preserve">R package. Each treatment group was compared to the control group using the “specific comparison” option. Genes were defined as differentially expressed if their false discovery rate (FDR) adjusted p-values were less than 0.05 and the absolute log fold changes </w:t>
      </w:r>
      <w:r w:rsidRPr="522EACD3">
        <w:rPr>
          <w:lang w:val="en"/>
        </w:rPr>
        <w:lastRenderedPageBreak/>
        <w:t>greater than 1.5. For each contrast, the list of DEGs was analyzed for enriched KEGG pathways using the “ORA Networks” tool. A pathway was defined as significantly enriched if the FDR-adjusted p-value was less than 0.05 and there were at least five DEGs in the gene set.</w:t>
      </w:r>
    </w:p>
    <w:p w14:paraId="09BF5B27" w14:textId="77777777" w:rsidR="009562BA" w:rsidRPr="009562BA" w:rsidRDefault="009562BA" w:rsidP="0004602B">
      <w:pPr>
        <w:spacing w:line="480" w:lineRule="auto"/>
        <w:rPr>
          <w:rFonts w:eastAsiaTheme="minorEastAsia"/>
          <w:u w:val="single"/>
        </w:rPr>
      </w:pPr>
    </w:p>
    <w:p w14:paraId="6DDB52C3" w14:textId="168FB054" w:rsidR="00FD01D5" w:rsidRDefault="522EACD3" w:rsidP="522EACD3">
      <w:pPr>
        <w:spacing w:line="480" w:lineRule="auto"/>
        <w:rPr>
          <w:rFonts w:eastAsiaTheme="minorEastAsia"/>
        </w:rPr>
      </w:pPr>
      <w:r w:rsidRPr="522EACD3">
        <w:rPr>
          <w:rFonts w:eastAsiaTheme="minorEastAsia"/>
          <w:u w:val="single"/>
        </w:rPr>
        <w:t>Results</w:t>
      </w:r>
    </w:p>
    <w:p w14:paraId="7304FCEC" w14:textId="09B953DB" w:rsidR="009C6EA5" w:rsidRPr="009C6EA5" w:rsidRDefault="00921A10" w:rsidP="2EB43769">
      <w:pPr>
        <w:spacing w:line="480" w:lineRule="auto"/>
        <w:rPr>
          <w:rFonts w:eastAsiaTheme="minorEastAsia"/>
          <w:i/>
          <w:iCs/>
          <w:u w:val="single"/>
        </w:rPr>
      </w:pPr>
      <w:r w:rsidRPr="2EB43769">
        <w:rPr>
          <w:rFonts w:eastAsiaTheme="minorEastAsia"/>
          <w:i/>
          <w:iCs/>
        </w:rPr>
        <w:t>Case study</w:t>
      </w:r>
      <w:r w:rsidR="009C6EA5" w:rsidRPr="2EB43769">
        <w:rPr>
          <w:rFonts w:eastAsiaTheme="minorEastAsia"/>
          <w:i/>
          <w:iCs/>
        </w:rPr>
        <w:t xml:space="preserve"> #1: Zebrafish</w:t>
      </w:r>
    </w:p>
    <w:p w14:paraId="185C3189" w14:textId="287585BB" w:rsidR="00FD01D5" w:rsidRDefault="009C6EA5" w:rsidP="522EACD3">
      <w:pPr>
        <w:spacing w:line="480" w:lineRule="auto"/>
        <w:rPr>
          <w:rFonts w:eastAsiaTheme="minorEastAsia"/>
        </w:rPr>
      </w:pPr>
      <w:r w:rsidRPr="522EACD3">
        <w:rPr>
          <w:rFonts w:eastAsiaTheme="minorEastAsia"/>
        </w:rPr>
        <w:t xml:space="preserve">The zebrafish RNA-seq data were collected as part of a previously published study that investigated the toxicity of </w:t>
      </w:r>
      <w:proofErr w:type="spellStart"/>
      <w:r w:rsidRPr="522EACD3">
        <w:rPr>
          <w:rFonts w:eastAsiaTheme="minorEastAsia"/>
        </w:rPr>
        <w:t>perfluorooctane</w:t>
      </w:r>
      <w:proofErr w:type="spellEnd"/>
      <w:r w:rsidRPr="522EACD3">
        <w:rPr>
          <w:rFonts w:eastAsiaTheme="minorEastAsia"/>
        </w:rPr>
        <w:t xml:space="preserve"> sulfonate (PFOS) compared to sodium p-</w:t>
      </w:r>
      <w:proofErr w:type="spellStart"/>
      <w:r w:rsidRPr="522EACD3">
        <w:rPr>
          <w:rFonts w:eastAsiaTheme="minorEastAsia"/>
        </w:rPr>
        <w:t>perfluorous</w:t>
      </w:r>
      <w:proofErr w:type="spellEnd"/>
      <w:r w:rsidRPr="522EACD3">
        <w:rPr>
          <w:rFonts w:eastAsiaTheme="minorEastAsia"/>
        </w:rPr>
        <w:t xml:space="preserve"> </w:t>
      </w:r>
      <w:proofErr w:type="spellStart"/>
      <w:r w:rsidRPr="522EACD3">
        <w:rPr>
          <w:rFonts w:eastAsiaTheme="minorEastAsia"/>
        </w:rPr>
        <w:t>nonenoxybenzene</w:t>
      </w:r>
      <w:proofErr w:type="spellEnd"/>
      <w:r w:rsidRPr="522EACD3">
        <w:rPr>
          <w:rFonts w:eastAsiaTheme="minorEastAsia"/>
        </w:rPr>
        <w:t xml:space="preserve"> sulfonate (OBS), a popular PFOS alternative (Huang </w:t>
      </w:r>
      <w:r w:rsidRPr="522EACD3">
        <w:rPr>
          <w:rFonts w:eastAsiaTheme="minorEastAsia"/>
          <w:i/>
          <w:iCs/>
        </w:rPr>
        <w:t>et al</w:t>
      </w:r>
      <w:r w:rsidRPr="522EACD3">
        <w:rPr>
          <w:rFonts w:eastAsiaTheme="minorEastAsia"/>
        </w:rPr>
        <w:t xml:space="preserve">., 2021). Three groups of zebrafish embryos were exposed to 20 mg/L PFOS, 20 mg/L OBS, and 30 mg/L OBS, in addition to a fourth unexposed control group, starting at six hours post fertilization. RNA-seq profiles were measured in whole embryos at four days post fertilization. Raw FASTQ files were downloaded from NCBI’s Gene Expression Omnibus (GEO) at accession GSE164074. The original study found that while immune-related genes and pathways were impacted by both OBS and PFOS exposure, a higher number were dysregulated to a higher degree by PFOS. This supports their overall conclusion that while PFOS and OBS have a similar mechanism, PFOS is more toxic, likely because it is more </w:t>
      </w:r>
      <w:proofErr w:type="spellStart"/>
      <w:r w:rsidRPr="522EACD3">
        <w:rPr>
          <w:rFonts w:eastAsiaTheme="minorEastAsia"/>
        </w:rPr>
        <w:t>bioaccumulative</w:t>
      </w:r>
      <w:proofErr w:type="spellEnd"/>
      <w:r w:rsidRPr="522EACD3">
        <w:rPr>
          <w:rFonts w:eastAsiaTheme="minorEastAsia"/>
        </w:rPr>
        <w:t xml:space="preserve"> (Tu </w:t>
      </w:r>
      <w:r w:rsidRPr="522EACD3">
        <w:rPr>
          <w:rFonts w:eastAsiaTheme="minorEastAsia"/>
          <w:i/>
          <w:iCs/>
        </w:rPr>
        <w:t>et al.</w:t>
      </w:r>
      <w:r w:rsidRPr="522EACD3">
        <w:rPr>
          <w:rFonts w:eastAsiaTheme="minorEastAsia"/>
        </w:rPr>
        <w:t>, 2019).</w:t>
      </w:r>
    </w:p>
    <w:p w14:paraId="57978D08" w14:textId="3F15CA1B" w:rsidR="522EACD3" w:rsidRDefault="522EACD3" w:rsidP="522EACD3">
      <w:pPr>
        <w:spacing w:line="480" w:lineRule="auto"/>
        <w:rPr>
          <w:rFonts w:eastAsiaTheme="minorEastAsia"/>
        </w:rPr>
      </w:pPr>
    </w:p>
    <w:p w14:paraId="3F982E4D" w14:textId="581F4B14" w:rsidR="009C6EA5" w:rsidRDefault="522EACD3" w:rsidP="522EACD3">
      <w:pPr>
        <w:rPr>
          <w:rFonts w:eastAsiaTheme="minorEastAsia"/>
        </w:rPr>
      </w:pPr>
      <w:r>
        <w:rPr>
          <w:noProof/>
        </w:rPr>
        <w:lastRenderedPageBreak/>
        <w:drawing>
          <wp:inline distT="0" distB="0" distL="0" distR="0" wp14:anchorId="32C81425" wp14:editId="0371CFB7">
            <wp:extent cx="6010275" cy="2053511"/>
            <wp:effectExtent l="0" t="0" r="0" b="0"/>
            <wp:docPr id="33178940" name="Picture 33178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10275" cy="2053511"/>
                    </a:xfrm>
                    <a:prstGeom prst="rect">
                      <a:avLst/>
                    </a:prstGeom>
                  </pic:spPr>
                </pic:pic>
              </a:graphicData>
            </a:graphic>
          </wp:inline>
        </w:drawing>
      </w:r>
    </w:p>
    <w:p w14:paraId="02EF7E63" w14:textId="19C89066" w:rsidR="00A15A98" w:rsidRDefault="00A15A98" w:rsidP="00DD2E10"/>
    <w:p w14:paraId="4C91AF53" w14:textId="33D81179" w:rsidR="009C6EA5" w:rsidRPr="009C6EA5" w:rsidRDefault="00A15A98" w:rsidP="522EACD3">
      <w:pPr>
        <w:rPr>
          <w:rFonts w:eastAsiaTheme="minorEastAsia"/>
        </w:rPr>
      </w:pPr>
      <w:bookmarkStart w:id="0" w:name="_Toc97899839"/>
      <w:r w:rsidRPr="522EACD3">
        <w:rPr>
          <w:b/>
          <w:bCs/>
        </w:rPr>
        <w:t>Figure S</w:t>
      </w:r>
      <w:r w:rsidR="00773802" w:rsidRPr="522EACD3">
        <w:rPr>
          <w:b/>
          <w:bCs/>
        </w:rPr>
        <w:t>2</w:t>
      </w:r>
      <w:r w:rsidRPr="522EACD3">
        <w:rPr>
          <w:b/>
          <w:bCs/>
        </w:rPr>
        <w:t>:</w:t>
      </w:r>
      <w:r>
        <w:t xml:space="preserve"> </w:t>
      </w:r>
      <w:r w:rsidRPr="522EACD3">
        <w:rPr>
          <w:rFonts w:eastAsiaTheme="minorEastAsia"/>
        </w:rPr>
        <w:t xml:space="preserve">PCA of normalized zebrafish counts tables for a) </w:t>
      </w:r>
      <w:proofErr w:type="spellStart"/>
      <w:r w:rsidRPr="522EACD3">
        <w:rPr>
          <w:rFonts w:eastAsiaTheme="minorEastAsia"/>
        </w:rPr>
        <w:t>Kallisto</w:t>
      </w:r>
      <w:proofErr w:type="spellEnd"/>
      <w:r w:rsidRPr="522EACD3">
        <w:rPr>
          <w:rFonts w:eastAsiaTheme="minorEastAsia"/>
        </w:rPr>
        <w:t xml:space="preserve"> and b) Seq2Fun. This plot was generated by </w:t>
      </w:r>
      <w:proofErr w:type="spellStart"/>
      <w:r w:rsidRPr="522EACD3">
        <w:rPr>
          <w:rFonts w:eastAsiaTheme="minorEastAsia"/>
        </w:rPr>
        <w:t>ExpressAnalyst</w:t>
      </w:r>
      <w:proofErr w:type="spellEnd"/>
      <w:r w:rsidRPr="522EACD3">
        <w:rPr>
          <w:rFonts w:eastAsiaTheme="minorEastAsia"/>
        </w:rPr>
        <w:t>.</w:t>
      </w:r>
      <w:bookmarkEnd w:id="0"/>
      <w:r>
        <w:t xml:space="preserve"> </w:t>
      </w:r>
    </w:p>
    <w:p w14:paraId="2AFB5FF2" w14:textId="6A07310E" w:rsidR="009C6EA5" w:rsidRDefault="009C6EA5" w:rsidP="00DD2E10">
      <w:pPr>
        <w:rPr>
          <w:rFonts w:eastAsiaTheme="minorEastAsia"/>
        </w:rPr>
      </w:pPr>
    </w:p>
    <w:p w14:paraId="18BDCB93" w14:textId="77777777" w:rsidR="0004602B" w:rsidRDefault="0004602B" w:rsidP="0004602B">
      <w:pPr>
        <w:spacing w:line="480" w:lineRule="auto"/>
        <w:rPr>
          <w:rFonts w:eastAsiaTheme="minorEastAsia"/>
        </w:rPr>
      </w:pPr>
    </w:p>
    <w:p w14:paraId="30F1CD43" w14:textId="08D4A7FF" w:rsidR="009C6EA5" w:rsidRDefault="00874B60" w:rsidP="522EACD3">
      <w:pPr>
        <w:spacing w:line="480" w:lineRule="auto"/>
        <w:rPr>
          <w:rFonts w:eastAsiaTheme="minorEastAsia"/>
        </w:rPr>
      </w:pPr>
      <w:r w:rsidRPr="522EACD3">
        <w:rPr>
          <w:rFonts w:eastAsiaTheme="minorEastAsia"/>
        </w:rPr>
        <w:t>Visual inspection of PCA plots of the normalized counts (</w:t>
      </w:r>
      <w:r w:rsidRPr="522EACD3">
        <w:rPr>
          <w:rFonts w:eastAsiaTheme="minorEastAsia"/>
          <w:b/>
          <w:bCs/>
        </w:rPr>
        <w:t>Figure S</w:t>
      </w:r>
      <w:r w:rsidR="00773802" w:rsidRPr="522EACD3">
        <w:rPr>
          <w:rFonts w:eastAsiaTheme="minorEastAsia"/>
          <w:b/>
          <w:bCs/>
        </w:rPr>
        <w:t>2</w:t>
      </w:r>
      <w:r w:rsidRPr="522EACD3">
        <w:rPr>
          <w:rFonts w:eastAsiaTheme="minorEastAsia"/>
        </w:rPr>
        <w:t xml:space="preserve">) shows that both Seq2Fun and </w:t>
      </w:r>
      <w:proofErr w:type="spellStart"/>
      <w:r w:rsidRPr="522EACD3">
        <w:rPr>
          <w:rFonts w:eastAsiaTheme="minorEastAsia"/>
        </w:rPr>
        <w:t>Kallisto</w:t>
      </w:r>
      <w:proofErr w:type="spellEnd"/>
      <w:r w:rsidRPr="522EACD3">
        <w:rPr>
          <w:rFonts w:eastAsiaTheme="minorEastAsia"/>
        </w:rPr>
        <w:t xml:space="preserve"> captured the same variability structure among the samples, even though </w:t>
      </w:r>
      <w:proofErr w:type="spellStart"/>
      <w:r w:rsidRPr="522EACD3">
        <w:rPr>
          <w:rFonts w:eastAsiaTheme="minorEastAsia"/>
        </w:rPr>
        <w:t>Kallisto</w:t>
      </w:r>
      <w:proofErr w:type="spellEnd"/>
      <w:r w:rsidRPr="522EACD3">
        <w:rPr>
          <w:rFonts w:eastAsiaTheme="minorEastAsia"/>
        </w:rPr>
        <w:t xml:space="preserve"> mapped a higher percentage of reads (78% vs. 53%) to a higher number of features (52 518 vs. 17 186) (</w:t>
      </w:r>
      <w:r w:rsidRPr="522EACD3">
        <w:rPr>
          <w:rFonts w:eastAsiaTheme="minorEastAsia"/>
          <w:b/>
          <w:bCs/>
        </w:rPr>
        <w:t>Table S1</w:t>
      </w:r>
      <w:r w:rsidRPr="522EACD3">
        <w:rPr>
          <w:rFonts w:eastAsiaTheme="minorEastAsia"/>
        </w:rPr>
        <w:t xml:space="preserve">). The higher number of reads is expected since </w:t>
      </w:r>
      <w:proofErr w:type="spellStart"/>
      <w:r w:rsidRPr="522EACD3">
        <w:rPr>
          <w:rFonts w:eastAsiaTheme="minorEastAsia"/>
        </w:rPr>
        <w:t>Kallisto</w:t>
      </w:r>
      <w:proofErr w:type="spellEnd"/>
      <w:r w:rsidRPr="522EACD3">
        <w:rPr>
          <w:rFonts w:eastAsiaTheme="minorEastAsia"/>
        </w:rPr>
        <w:t xml:space="preserve"> is quantifying multiple transcript isoforms for each coding transcript, as well as non-coding transcripts, while Seq2Fun is quantifying orthologs that do not distinguish isoforms and only include protein-coding sequences. The number of DEGs for each exposed vs. control group has the same pattern between </w:t>
      </w:r>
      <w:proofErr w:type="spellStart"/>
      <w:r w:rsidRPr="522EACD3">
        <w:rPr>
          <w:rFonts w:eastAsiaTheme="minorEastAsia"/>
        </w:rPr>
        <w:t>Kallisto</w:t>
      </w:r>
      <w:proofErr w:type="spellEnd"/>
      <w:r w:rsidRPr="522EACD3">
        <w:rPr>
          <w:rFonts w:eastAsiaTheme="minorEastAsia"/>
        </w:rPr>
        <w:t xml:space="preserve"> and Seq2Fun (PFOS &gt; OBS30 &gt; OBS20), with a slightly higher number in each contrast for </w:t>
      </w:r>
      <w:proofErr w:type="spellStart"/>
      <w:r w:rsidRPr="522EACD3">
        <w:rPr>
          <w:rFonts w:eastAsiaTheme="minorEastAsia"/>
        </w:rPr>
        <w:t>Kallisto</w:t>
      </w:r>
      <w:proofErr w:type="spellEnd"/>
      <w:r w:rsidRPr="522EACD3">
        <w:rPr>
          <w:rFonts w:eastAsiaTheme="minorEastAsia"/>
        </w:rPr>
        <w:t xml:space="preserve"> (</w:t>
      </w:r>
      <w:r w:rsidRPr="522EACD3">
        <w:rPr>
          <w:rFonts w:eastAsiaTheme="minorEastAsia"/>
          <w:b/>
          <w:bCs/>
        </w:rPr>
        <w:t>Table S1</w:t>
      </w:r>
      <w:r w:rsidRPr="522EACD3">
        <w:rPr>
          <w:rFonts w:eastAsiaTheme="minorEastAsia"/>
        </w:rPr>
        <w:t>).</w:t>
      </w:r>
    </w:p>
    <w:p w14:paraId="2156A6E0" w14:textId="77777777" w:rsidR="0004602B" w:rsidRDefault="0004602B" w:rsidP="0004602B">
      <w:pPr>
        <w:spacing w:line="480" w:lineRule="auto"/>
        <w:rPr>
          <w:rFonts w:eastAsiaTheme="minorEastAsia"/>
        </w:rPr>
      </w:pPr>
    </w:p>
    <w:p w14:paraId="733B1580" w14:textId="3CB4CA75" w:rsidR="00010BD2" w:rsidRDefault="00010BD2" w:rsidP="00DD2E10">
      <w:pPr>
        <w:rPr>
          <w:rFonts w:eastAsiaTheme="minorEastAsia"/>
        </w:rPr>
      </w:pPr>
    </w:p>
    <w:p w14:paraId="6926B77F" w14:textId="160DFCBD" w:rsidR="001A7AC3" w:rsidRDefault="001A7AC3" w:rsidP="522EACD3">
      <w:pPr>
        <w:rPr>
          <w:rFonts w:eastAsiaTheme="minorEastAsia"/>
        </w:rPr>
      </w:pPr>
      <w:bookmarkStart w:id="1" w:name="_Toc97899828"/>
      <w:r w:rsidRPr="522EACD3">
        <w:rPr>
          <w:rFonts w:eastAsiaTheme="minorEastAsia"/>
          <w:b/>
          <w:bCs/>
        </w:rPr>
        <w:t xml:space="preserve">Table S1. </w:t>
      </w:r>
      <w:r w:rsidRPr="522EACD3">
        <w:rPr>
          <w:rFonts w:eastAsiaTheme="minorEastAsia"/>
        </w:rPr>
        <w:t xml:space="preserve">Results from zebrafish DEA and GSA. </w:t>
      </w:r>
      <w:bookmarkEnd w:id="1"/>
      <w:r w:rsidRPr="522EACD3">
        <w:rPr>
          <w:rFonts w:eastAsiaTheme="minorEastAsia"/>
        </w:rPr>
        <w:t>Tables of the full differential expression and pathway results are in the SI_cs1_zebrasfish.xlsx supplementary file.</w:t>
      </w:r>
    </w:p>
    <w:p w14:paraId="45798951" w14:textId="77777777" w:rsidR="001A7AC3" w:rsidRPr="001A7AC3" w:rsidRDefault="001A7AC3" w:rsidP="00DD2E10"/>
    <w:tbl>
      <w:tblPr>
        <w:tblW w:w="0" w:type="auto"/>
        <w:tblCellMar>
          <w:top w:w="15" w:type="dxa"/>
          <w:left w:w="15" w:type="dxa"/>
          <w:bottom w:w="15" w:type="dxa"/>
          <w:right w:w="15" w:type="dxa"/>
        </w:tblCellMar>
        <w:tblLook w:val="04A0" w:firstRow="1" w:lastRow="0" w:firstColumn="1" w:lastColumn="0" w:noHBand="0" w:noVBand="1"/>
      </w:tblPr>
      <w:tblGrid>
        <w:gridCol w:w="2410"/>
        <w:gridCol w:w="921"/>
        <w:gridCol w:w="921"/>
        <w:gridCol w:w="1203"/>
        <w:gridCol w:w="921"/>
        <w:gridCol w:w="921"/>
        <w:gridCol w:w="1099"/>
      </w:tblGrid>
      <w:tr w:rsidR="009A2A4E" w:rsidRPr="0004257F" w14:paraId="36C5F777" w14:textId="77777777" w:rsidTr="522EACD3">
        <w:trPr>
          <w:trHeight w:val="20"/>
        </w:trPr>
        <w:tc>
          <w:tcPr>
            <w:tcW w:w="2410" w:type="dxa"/>
            <w:shd w:val="clear" w:color="auto" w:fill="CCCCCC"/>
            <w:tcMar>
              <w:top w:w="100" w:type="dxa"/>
              <w:left w:w="100" w:type="dxa"/>
              <w:bottom w:w="100" w:type="dxa"/>
              <w:right w:w="100" w:type="dxa"/>
            </w:tcMar>
            <w:hideMark/>
          </w:tcPr>
          <w:p w14:paraId="3CB392EF" w14:textId="77777777" w:rsidR="0004257F" w:rsidRPr="0004257F" w:rsidRDefault="0004257F" w:rsidP="00DD2E10">
            <w:pPr>
              <w:rPr>
                <w:rFonts w:eastAsiaTheme="minorEastAsia"/>
              </w:rPr>
            </w:pPr>
          </w:p>
        </w:tc>
        <w:tc>
          <w:tcPr>
            <w:tcW w:w="3045" w:type="dxa"/>
            <w:gridSpan w:val="3"/>
            <w:shd w:val="clear" w:color="auto" w:fill="CCCCCC"/>
            <w:tcMar>
              <w:top w:w="100" w:type="dxa"/>
              <w:left w:w="100" w:type="dxa"/>
              <w:bottom w:w="100" w:type="dxa"/>
              <w:right w:w="100" w:type="dxa"/>
            </w:tcMar>
            <w:hideMark/>
          </w:tcPr>
          <w:p w14:paraId="5018B962" w14:textId="77777777" w:rsidR="0004257F" w:rsidRPr="0004257F" w:rsidRDefault="0004257F" w:rsidP="00DD2E10">
            <w:pPr>
              <w:rPr>
                <w:rFonts w:eastAsiaTheme="minorEastAsia"/>
              </w:rPr>
            </w:pPr>
            <w:proofErr w:type="spellStart"/>
            <w:r w:rsidRPr="0004257F">
              <w:rPr>
                <w:rFonts w:eastAsiaTheme="minorEastAsia"/>
                <w:b/>
                <w:bCs/>
              </w:rPr>
              <w:t>Kallisto</w:t>
            </w:r>
            <w:proofErr w:type="spellEnd"/>
          </w:p>
        </w:tc>
        <w:tc>
          <w:tcPr>
            <w:tcW w:w="2941" w:type="dxa"/>
            <w:gridSpan w:val="3"/>
            <w:shd w:val="clear" w:color="auto" w:fill="CCCCCC"/>
            <w:tcMar>
              <w:top w:w="100" w:type="dxa"/>
              <w:left w:w="100" w:type="dxa"/>
              <w:bottom w:w="100" w:type="dxa"/>
              <w:right w:w="100" w:type="dxa"/>
            </w:tcMar>
            <w:hideMark/>
          </w:tcPr>
          <w:p w14:paraId="5F8CC748" w14:textId="77777777" w:rsidR="0004257F" w:rsidRPr="0004257F" w:rsidRDefault="0004257F" w:rsidP="00DD2E10">
            <w:pPr>
              <w:rPr>
                <w:rFonts w:eastAsiaTheme="minorEastAsia"/>
              </w:rPr>
            </w:pPr>
            <w:r w:rsidRPr="0004257F">
              <w:rPr>
                <w:rFonts w:eastAsiaTheme="minorEastAsia"/>
                <w:b/>
                <w:bCs/>
              </w:rPr>
              <w:t>Seq2Fun</w:t>
            </w:r>
          </w:p>
        </w:tc>
      </w:tr>
      <w:tr w:rsidR="009A2A4E" w:rsidRPr="0004257F" w14:paraId="2F7416A7" w14:textId="77777777" w:rsidTr="522EACD3">
        <w:trPr>
          <w:trHeight w:val="20"/>
        </w:trPr>
        <w:tc>
          <w:tcPr>
            <w:tcW w:w="2410" w:type="dxa"/>
            <w:shd w:val="clear" w:color="auto" w:fill="FFFFFF" w:themeFill="background1"/>
            <w:tcMar>
              <w:top w:w="100" w:type="dxa"/>
              <w:left w:w="100" w:type="dxa"/>
              <w:bottom w:w="100" w:type="dxa"/>
              <w:right w:w="100" w:type="dxa"/>
            </w:tcMar>
            <w:hideMark/>
          </w:tcPr>
          <w:p w14:paraId="63B34FB1" w14:textId="77777777" w:rsidR="0004257F" w:rsidRPr="0004257F" w:rsidRDefault="0004257F" w:rsidP="00DD2E10">
            <w:pPr>
              <w:rPr>
                <w:rFonts w:eastAsiaTheme="minorEastAsia"/>
                <w:sz w:val="22"/>
                <w:szCs w:val="22"/>
              </w:rPr>
            </w:pPr>
            <w:r w:rsidRPr="0004257F">
              <w:rPr>
                <w:rFonts w:eastAsiaTheme="minorEastAsia"/>
                <w:sz w:val="22"/>
                <w:szCs w:val="22"/>
              </w:rPr>
              <w:t># Features quantified</w:t>
            </w:r>
          </w:p>
        </w:tc>
        <w:tc>
          <w:tcPr>
            <w:tcW w:w="3045" w:type="dxa"/>
            <w:gridSpan w:val="3"/>
            <w:shd w:val="clear" w:color="auto" w:fill="FFFFFF" w:themeFill="background1"/>
            <w:tcMar>
              <w:top w:w="100" w:type="dxa"/>
              <w:left w:w="100" w:type="dxa"/>
              <w:bottom w:w="100" w:type="dxa"/>
              <w:right w:w="100" w:type="dxa"/>
            </w:tcMar>
            <w:hideMark/>
          </w:tcPr>
          <w:p w14:paraId="710533BB" w14:textId="77777777" w:rsidR="0004257F" w:rsidRPr="0004257F" w:rsidRDefault="0004257F" w:rsidP="00DD2E10">
            <w:pPr>
              <w:rPr>
                <w:rFonts w:eastAsiaTheme="minorEastAsia"/>
                <w:sz w:val="22"/>
                <w:szCs w:val="22"/>
              </w:rPr>
            </w:pPr>
            <w:r w:rsidRPr="0004257F">
              <w:rPr>
                <w:rFonts w:eastAsiaTheme="minorEastAsia"/>
                <w:sz w:val="22"/>
                <w:szCs w:val="22"/>
              </w:rPr>
              <w:t>41 345</w:t>
            </w:r>
          </w:p>
        </w:tc>
        <w:tc>
          <w:tcPr>
            <w:tcW w:w="2941" w:type="dxa"/>
            <w:gridSpan w:val="3"/>
            <w:shd w:val="clear" w:color="auto" w:fill="FFFFFF" w:themeFill="background1"/>
            <w:tcMar>
              <w:top w:w="100" w:type="dxa"/>
              <w:left w:w="100" w:type="dxa"/>
              <w:bottom w:w="100" w:type="dxa"/>
              <w:right w:w="100" w:type="dxa"/>
            </w:tcMar>
            <w:hideMark/>
          </w:tcPr>
          <w:p w14:paraId="6F9E857E" w14:textId="77777777" w:rsidR="0004257F" w:rsidRPr="0004257F" w:rsidRDefault="0004257F" w:rsidP="00DD2E10">
            <w:pPr>
              <w:rPr>
                <w:rFonts w:eastAsiaTheme="minorEastAsia"/>
                <w:sz w:val="22"/>
                <w:szCs w:val="22"/>
              </w:rPr>
            </w:pPr>
            <w:r w:rsidRPr="0004257F">
              <w:rPr>
                <w:rFonts w:eastAsiaTheme="minorEastAsia"/>
                <w:sz w:val="22"/>
                <w:szCs w:val="22"/>
              </w:rPr>
              <w:t>17 186</w:t>
            </w:r>
          </w:p>
        </w:tc>
      </w:tr>
      <w:tr w:rsidR="009A2A4E" w:rsidRPr="0004257F" w14:paraId="24C2D199" w14:textId="77777777" w:rsidTr="522EACD3">
        <w:trPr>
          <w:trHeight w:val="20"/>
        </w:trPr>
        <w:tc>
          <w:tcPr>
            <w:tcW w:w="2410" w:type="dxa"/>
            <w:shd w:val="clear" w:color="auto" w:fill="FFFFFF" w:themeFill="background1"/>
            <w:tcMar>
              <w:top w:w="100" w:type="dxa"/>
              <w:left w:w="100" w:type="dxa"/>
              <w:bottom w:w="100" w:type="dxa"/>
              <w:right w:w="100" w:type="dxa"/>
            </w:tcMar>
            <w:hideMark/>
          </w:tcPr>
          <w:p w14:paraId="1395E375" w14:textId="77777777" w:rsidR="0004257F" w:rsidRPr="0004257F" w:rsidRDefault="0004257F" w:rsidP="00DD2E10">
            <w:pPr>
              <w:rPr>
                <w:rFonts w:eastAsiaTheme="minorEastAsia"/>
                <w:sz w:val="22"/>
                <w:szCs w:val="22"/>
              </w:rPr>
            </w:pPr>
            <w:r w:rsidRPr="0004257F">
              <w:rPr>
                <w:rFonts w:eastAsiaTheme="minorEastAsia"/>
                <w:sz w:val="22"/>
                <w:szCs w:val="22"/>
              </w:rPr>
              <w:t>Reads mapping</w:t>
            </w:r>
          </w:p>
        </w:tc>
        <w:tc>
          <w:tcPr>
            <w:tcW w:w="3045" w:type="dxa"/>
            <w:gridSpan w:val="3"/>
            <w:shd w:val="clear" w:color="auto" w:fill="FFFFFF" w:themeFill="background1"/>
            <w:tcMar>
              <w:top w:w="100" w:type="dxa"/>
              <w:left w:w="100" w:type="dxa"/>
              <w:bottom w:w="100" w:type="dxa"/>
              <w:right w:w="100" w:type="dxa"/>
            </w:tcMar>
            <w:hideMark/>
          </w:tcPr>
          <w:p w14:paraId="7843AA5C" w14:textId="77777777" w:rsidR="0004257F" w:rsidRPr="0004257F" w:rsidRDefault="0004257F" w:rsidP="00DD2E10">
            <w:pPr>
              <w:rPr>
                <w:rFonts w:eastAsiaTheme="minorEastAsia"/>
                <w:sz w:val="22"/>
                <w:szCs w:val="22"/>
              </w:rPr>
            </w:pPr>
            <w:r w:rsidRPr="0004257F">
              <w:rPr>
                <w:rFonts w:eastAsiaTheme="minorEastAsia"/>
                <w:sz w:val="22"/>
                <w:szCs w:val="22"/>
              </w:rPr>
              <w:t>77.49%</w:t>
            </w:r>
          </w:p>
        </w:tc>
        <w:tc>
          <w:tcPr>
            <w:tcW w:w="2941" w:type="dxa"/>
            <w:gridSpan w:val="3"/>
            <w:shd w:val="clear" w:color="auto" w:fill="FFFFFF" w:themeFill="background1"/>
            <w:tcMar>
              <w:top w:w="100" w:type="dxa"/>
              <w:left w:w="100" w:type="dxa"/>
              <w:bottom w:w="100" w:type="dxa"/>
              <w:right w:w="100" w:type="dxa"/>
            </w:tcMar>
            <w:hideMark/>
          </w:tcPr>
          <w:p w14:paraId="56EB87BA" w14:textId="77777777" w:rsidR="0004257F" w:rsidRPr="0004257F" w:rsidRDefault="0004257F" w:rsidP="00DD2E10">
            <w:pPr>
              <w:rPr>
                <w:rFonts w:eastAsiaTheme="minorEastAsia"/>
                <w:sz w:val="22"/>
                <w:szCs w:val="22"/>
              </w:rPr>
            </w:pPr>
            <w:r w:rsidRPr="0004257F">
              <w:rPr>
                <w:rFonts w:eastAsiaTheme="minorEastAsia"/>
                <w:sz w:val="22"/>
                <w:szCs w:val="22"/>
              </w:rPr>
              <w:t>53.12%</w:t>
            </w:r>
          </w:p>
        </w:tc>
      </w:tr>
      <w:tr w:rsidR="009A2A4E" w:rsidRPr="0004257F" w14:paraId="7425364C" w14:textId="77777777" w:rsidTr="522EACD3">
        <w:trPr>
          <w:trHeight w:val="20"/>
        </w:trPr>
        <w:tc>
          <w:tcPr>
            <w:tcW w:w="2410" w:type="dxa"/>
            <w:shd w:val="clear" w:color="auto" w:fill="CCCCCC"/>
            <w:tcMar>
              <w:top w:w="100" w:type="dxa"/>
              <w:left w:w="100" w:type="dxa"/>
              <w:bottom w:w="100" w:type="dxa"/>
              <w:right w:w="100" w:type="dxa"/>
            </w:tcMar>
            <w:hideMark/>
          </w:tcPr>
          <w:p w14:paraId="5C94E5BE" w14:textId="77777777" w:rsidR="0004257F" w:rsidRPr="0004257F" w:rsidRDefault="0004257F" w:rsidP="00DD2E10">
            <w:pPr>
              <w:rPr>
                <w:rFonts w:eastAsiaTheme="minorEastAsia"/>
              </w:rPr>
            </w:pPr>
          </w:p>
        </w:tc>
        <w:tc>
          <w:tcPr>
            <w:tcW w:w="0" w:type="auto"/>
            <w:shd w:val="clear" w:color="auto" w:fill="CCCCCC"/>
            <w:tcMar>
              <w:top w:w="100" w:type="dxa"/>
              <w:left w:w="100" w:type="dxa"/>
              <w:bottom w:w="100" w:type="dxa"/>
              <w:right w:w="100" w:type="dxa"/>
            </w:tcMar>
            <w:hideMark/>
          </w:tcPr>
          <w:p w14:paraId="573EA1AF" w14:textId="77777777" w:rsidR="0004257F" w:rsidRPr="0004257F" w:rsidRDefault="0004257F" w:rsidP="00DD2E10">
            <w:pPr>
              <w:rPr>
                <w:rFonts w:eastAsiaTheme="minorEastAsia"/>
              </w:rPr>
            </w:pPr>
            <w:r w:rsidRPr="0004257F">
              <w:rPr>
                <w:rFonts w:eastAsiaTheme="minorEastAsia"/>
                <w:b/>
                <w:bCs/>
              </w:rPr>
              <w:t>OBS20</w:t>
            </w:r>
          </w:p>
        </w:tc>
        <w:tc>
          <w:tcPr>
            <w:tcW w:w="0" w:type="auto"/>
            <w:shd w:val="clear" w:color="auto" w:fill="CCCCCC"/>
            <w:tcMar>
              <w:top w:w="100" w:type="dxa"/>
              <w:left w:w="100" w:type="dxa"/>
              <w:bottom w:w="100" w:type="dxa"/>
              <w:right w:w="100" w:type="dxa"/>
            </w:tcMar>
            <w:hideMark/>
          </w:tcPr>
          <w:p w14:paraId="18CD937D" w14:textId="77777777" w:rsidR="0004257F" w:rsidRPr="0004257F" w:rsidRDefault="0004257F" w:rsidP="00DD2E10">
            <w:pPr>
              <w:rPr>
                <w:rFonts w:eastAsiaTheme="minorEastAsia"/>
              </w:rPr>
            </w:pPr>
            <w:r w:rsidRPr="0004257F">
              <w:rPr>
                <w:rFonts w:eastAsiaTheme="minorEastAsia"/>
                <w:b/>
                <w:bCs/>
              </w:rPr>
              <w:t>OBS30</w:t>
            </w:r>
          </w:p>
        </w:tc>
        <w:tc>
          <w:tcPr>
            <w:tcW w:w="1203" w:type="dxa"/>
            <w:shd w:val="clear" w:color="auto" w:fill="CCCCCC"/>
            <w:tcMar>
              <w:top w:w="100" w:type="dxa"/>
              <w:left w:w="100" w:type="dxa"/>
              <w:bottom w:w="100" w:type="dxa"/>
              <w:right w:w="100" w:type="dxa"/>
            </w:tcMar>
            <w:hideMark/>
          </w:tcPr>
          <w:p w14:paraId="219FDEE1" w14:textId="77777777" w:rsidR="0004257F" w:rsidRPr="0004257F" w:rsidRDefault="0004257F" w:rsidP="00DD2E10">
            <w:pPr>
              <w:rPr>
                <w:rFonts w:eastAsiaTheme="minorEastAsia"/>
              </w:rPr>
            </w:pPr>
            <w:r w:rsidRPr="0004257F">
              <w:rPr>
                <w:rFonts w:eastAsiaTheme="minorEastAsia"/>
                <w:b/>
                <w:bCs/>
              </w:rPr>
              <w:t>PFOS</w:t>
            </w:r>
          </w:p>
        </w:tc>
        <w:tc>
          <w:tcPr>
            <w:tcW w:w="0" w:type="auto"/>
            <w:shd w:val="clear" w:color="auto" w:fill="CCCCCC"/>
            <w:tcMar>
              <w:top w:w="100" w:type="dxa"/>
              <w:left w:w="100" w:type="dxa"/>
              <w:bottom w:w="100" w:type="dxa"/>
              <w:right w:w="100" w:type="dxa"/>
            </w:tcMar>
            <w:hideMark/>
          </w:tcPr>
          <w:p w14:paraId="0D36279F" w14:textId="1BA71F7A" w:rsidR="0004257F" w:rsidRPr="0004257F" w:rsidRDefault="04EAC9AE" w:rsidP="522EACD3">
            <w:pPr>
              <w:rPr>
                <w:rFonts w:eastAsiaTheme="minorEastAsia"/>
              </w:rPr>
            </w:pPr>
            <w:r w:rsidRPr="522EACD3">
              <w:rPr>
                <w:rFonts w:eastAsiaTheme="minorEastAsia"/>
                <w:b/>
                <w:bCs/>
              </w:rPr>
              <w:t>OBS20</w:t>
            </w:r>
          </w:p>
        </w:tc>
        <w:tc>
          <w:tcPr>
            <w:tcW w:w="0" w:type="auto"/>
            <w:shd w:val="clear" w:color="auto" w:fill="CCCCCC"/>
            <w:tcMar>
              <w:top w:w="100" w:type="dxa"/>
              <w:left w:w="100" w:type="dxa"/>
              <w:bottom w:w="100" w:type="dxa"/>
              <w:right w:w="100" w:type="dxa"/>
            </w:tcMar>
            <w:hideMark/>
          </w:tcPr>
          <w:p w14:paraId="719AB5FB" w14:textId="77777777" w:rsidR="0004257F" w:rsidRPr="0004257F" w:rsidRDefault="0004257F" w:rsidP="00DD2E10">
            <w:pPr>
              <w:rPr>
                <w:rFonts w:eastAsiaTheme="minorEastAsia"/>
              </w:rPr>
            </w:pPr>
            <w:r w:rsidRPr="0004257F">
              <w:rPr>
                <w:rFonts w:eastAsiaTheme="minorEastAsia"/>
                <w:b/>
                <w:bCs/>
              </w:rPr>
              <w:t>OBS30</w:t>
            </w:r>
          </w:p>
        </w:tc>
        <w:tc>
          <w:tcPr>
            <w:tcW w:w="1099" w:type="dxa"/>
            <w:shd w:val="clear" w:color="auto" w:fill="CCCCCC"/>
            <w:tcMar>
              <w:top w:w="100" w:type="dxa"/>
              <w:left w:w="100" w:type="dxa"/>
              <w:bottom w:w="100" w:type="dxa"/>
              <w:right w:w="100" w:type="dxa"/>
            </w:tcMar>
            <w:hideMark/>
          </w:tcPr>
          <w:p w14:paraId="5744595D" w14:textId="77777777" w:rsidR="0004257F" w:rsidRPr="0004257F" w:rsidRDefault="0004257F" w:rsidP="00DD2E10">
            <w:pPr>
              <w:rPr>
                <w:rFonts w:eastAsiaTheme="minorEastAsia"/>
              </w:rPr>
            </w:pPr>
            <w:r w:rsidRPr="0004257F">
              <w:rPr>
                <w:rFonts w:eastAsiaTheme="minorEastAsia"/>
                <w:b/>
                <w:bCs/>
              </w:rPr>
              <w:t>PFOS</w:t>
            </w:r>
          </w:p>
        </w:tc>
      </w:tr>
      <w:tr w:rsidR="009A2A4E" w:rsidRPr="0004257F" w14:paraId="5CFB7FAC" w14:textId="77777777" w:rsidTr="522EACD3">
        <w:trPr>
          <w:trHeight w:val="20"/>
        </w:trPr>
        <w:tc>
          <w:tcPr>
            <w:tcW w:w="2410" w:type="dxa"/>
            <w:shd w:val="clear" w:color="auto" w:fill="FFFFFF" w:themeFill="background1"/>
            <w:tcMar>
              <w:top w:w="100" w:type="dxa"/>
              <w:left w:w="100" w:type="dxa"/>
              <w:bottom w:w="100" w:type="dxa"/>
              <w:right w:w="100" w:type="dxa"/>
            </w:tcMar>
            <w:hideMark/>
          </w:tcPr>
          <w:p w14:paraId="52A108EE" w14:textId="77777777" w:rsidR="0004257F" w:rsidRPr="0004257F" w:rsidRDefault="0004257F" w:rsidP="00DD2E10">
            <w:pPr>
              <w:rPr>
                <w:rFonts w:eastAsiaTheme="minorEastAsia"/>
                <w:sz w:val="22"/>
                <w:szCs w:val="22"/>
              </w:rPr>
            </w:pPr>
            <w:r w:rsidRPr="0004257F">
              <w:rPr>
                <w:rFonts w:eastAsiaTheme="minorEastAsia"/>
                <w:sz w:val="22"/>
                <w:szCs w:val="22"/>
              </w:rPr>
              <w:t>DEGs</w:t>
            </w:r>
          </w:p>
        </w:tc>
        <w:tc>
          <w:tcPr>
            <w:tcW w:w="0" w:type="auto"/>
            <w:shd w:val="clear" w:color="auto" w:fill="FFFFFF" w:themeFill="background1"/>
            <w:tcMar>
              <w:top w:w="100" w:type="dxa"/>
              <w:left w:w="100" w:type="dxa"/>
              <w:bottom w:w="100" w:type="dxa"/>
              <w:right w:w="100" w:type="dxa"/>
            </w:tcMar>
            <w:hideMark/>
          </w:tcPr>
          <w:p w14:paraId="06E06E1A" w14:textId="25FC0C4F" w:rsidR="0004257F" w:rsidRPr="0004257F" w:rsidRDefault="04EAC9AE" w:rsidP="522EACD3">
            <w:pPr>
              <w:rPr>
                <w:rFonts w:eastAsiaTheme="minorEastAsia"/>
                <w:sz w:val="22"/>
                <w:szCs w:val="22"/>
              </w:rPr>
            </w:pPr>
            <w:r w:rsidRPr="522EACD3">
              <w:rPr>
                <w:rFonts w:eastAsiaTheme="minorEastAsia"/>
                <w:sz w:val="22"/>
                <w:szCs w:val="22"/>
              </w:rPr>
              <w:t>106</w:t>
            </w:r>
          </w:p>
        </w:tc>
        <w:tc>
          <w:tcPr>
            <w:tcW w:w="0" w:type="auto"/>
            <w:shd w:val="clear" w:color="auto" w:fill="FFFFFF" w:themeFill="background1"/>
            <w:tcMar>
              <w:top w:w="100" w:type="dxa"/>
              <w:left w:w="100" w:type="dxa"/>
              <w:bottom w:w="100" w:type="dxa"/>
              <w:right w:w="100" w:type="dxa"/>
            </w:tcMar>
            <w:hideMark/>
          </w:tcPr>
          <w:p w14:paraId="6AEC948A" w14:textId="2284E90E" w:rsidR="0004257F" w:rsidRPr="0004257F" w:rsidRDefault="04EAC9AE" w:rsidP="522EACD3">
            <w:pPr>
              <w:rPr>
                <w:rFonts w:eastAsiaTheme="minorEastAsia"/>
                <w:sz w:val="22"/>
                <w:szCs w:val="22"/>
              </w:rPr>
            </w:pPr>
            <w:r w:rsidRPr="522EACD3">
              <w:rPr>
                <w:rFonts w:eastAsiaTheme="minorEastAsia"/>
                <w:sz w:val="22"/>
                <w:szCs w:val="22"/>
              </w:rPr>
              <w:t>430</w:t>
            </w:r>
          </w:p>
        </w:tc>
        <w:tc>
          <w:tcPr>
            <w:tcW w:w="1203" w:type="dxa"/>
            <w:shd w:val="clear" w:color="auto" w:fill="FFFFFF" w:themeFill="background1"/>
            <w:tcMar>
              <w:top w:w="100" w:type="dxa"/>
              <w:left w:w="100" w:type="dxa"/>
              <w:bottom w:w="100" w:type="dxa"/>
              <w:right w:w="100" w:type="dxa"/>
            </w:tcMar>
            <w:hideMark/>
          </w:tcPr>
          <w:p w14:paraId="110B5BB6" w14:textId="0CECF787" w:rsidR="0004257F" w:rsidRPr="0004257F" w:rsidRDefault="522EACD3" w:rsidP="522EACD3">
            <w:pPr>
              <w:rPr>
                <w:rFonts w:eastAsiaTheme="minorEastAsia"/>
                <w:sz w:val="22"/>
                <w:szCs w:val="22"/>
              </w:rPr>
            </w:pPr>
            <w:r w:rsidRPr="522EACD3">
              <w:rPr>
                <w:rFonts w:eastAsiaTheme="minorEastAsia"/>
                <w:sz w:val="22"/>
                <w:szCs w:val="22"/>
              </w:rPr>
              <w:t>669</w:t>
            </w:r>
          </w:p>
        </w:tc>
        <w:tc>
          <w:tcPr>
            <w:tcW w:w="0" w:type="auto"/>
            <w:shd w:val="clear" w:color="auto" w:fill="FFFFFF" w:themeFill="background1"/>
            <w:tcMar>
              <w:top w:w="100" w:type="dxa"/>
              <w:left w:w="100" w:type="dxa"/>
              <w:bottom w:w="100" w:type="dxa"/>
              <w:right w:w="100" w:type="dxa"/>
            </w:tcMar>
            <w:hideMark/>
          </w:tcPr>
          <w:p w14:paraId="7BCA060B" w14:textId="677D1290" w:rsidR="0004257F" w:rsidRPr="0004257F" w:rsidRDefault="522EACD3" w:rsidP="522EACD3">
            <w:pPr>
              <w:rPr>
                <w:rFonts w:eastAsiaTheme="minorEastAsia"/>
                <w:sz w:val="22"/>
                <w:szCs w:val="22"/>
              </w:rPr>
            </w:pPr>
            <w:r w:rsidRPr="522EACD3">
              <w:rPr>
                <w:rFonts w:eastAsiaTheme="minorEastAsia"/>
                <w:sz w:val="22"/>
                <w:szCs w:val="22"/>
              </w:rPr>
              <w:t>59</w:t>
            </w:r>
          </w:p>
        </w:tc>
        <w:tc>
          <w:tcPr>
            <w:tcW w:w="0" w:type="auto"/>
            <w:shd w:val="clear" w:color="auto" w:fill="FFFFFF" w:themeFill="background1"/>
            <w:tcMar>
              <w:top w:w="100" w:type="dxa"/>
              <w:left w:w="100" w:type="dxa"/>
              <w:bottom w:w="100" w:type="dxa"/>
              <w:right w:w="100" w:type="dxa"/>
            </w:tcMar>
            <w:hideMark/>
          </w:tcPr>
          <w:p w14:paraId="1056C54A" w14:textId="2CDAA635" w:rsidR="0004257F" w:rsidRPr="0004257F" w:rsidRDefault="522EACD3" w:rsidP="522EACD3">
            <w:pPr>
              <w:rPr>
                <w:rFonts w:eastAsiaTheme="minorEastAsia"/>
                <w:sz w:val="22"/>
                <w:szCs w:val="22"/>
              </w:rPr>
            </w:pPr>
            <w:r w:rsidRPr="522EACD3">
              <w:rPr>
                <w:rFonts w:eastAsiaTheme="minorEastAsia"/>
                <w:sz w:val="22"/>
                <w:szCs w:val="22"/>
              </w:rPr>
              <w:t>259</w:t>
            </w:r>
          </w:p>
        </w:tc>
        <w:tc>
          <w:tcPr>
            <w:tcW w:w="1099" w:type="dxa"/>
            <w:shd w:val="clear" w:color="auto" w:fill="FFFFFF" w:themeFill="background1"/>
            <w:tcMar>
              <w:top w:w="100" w:type="dxa"/>
              <w:left w:w="100" w:type="dxa"/>
              <w:bottom w:w="100" w:type="dxa"/>
              <w:right w:w="100" w:type="dxa"/>
            </w:tcMar>
            <w:hideMark/>
          </w:tcPr>
          <w:p w14:paraId="6BDB73EF" w14:textId="1FD98B71" w:rsidR="0004257F" w:rsidRPr="0004257F" w:rsidRDefault="522EACD3" w:rsidP="522EACD3">
            <w:pPr>
              <w:rPr>
                <w:rFonts w:eastAsiaTheme="minorEastAsia"/>
                <w:sz w:val="22"/>
                <w:szCs w:val="22"/>
              </w:rPr>
            </w:pPr>
            <w:r w:rsidRPr="522EACD3">
              <w:rPr>
                <w:rFonts w:eastAsiaTheme="minorEastAsia"/>
                <w:sz w:val="22"/>
                <w:szCs w:val="22"/>
              </w:rPr>
              <w:t>450</w:t>
            </w:r>
          </w:p>
        </w:tc>
      </w:tr>
      <w:tr w:rsidR="009A2A4E" w:rsidRPr="0004257F" w14:paraId="0C2FA620" w14:textId="77777777" w:rsidTr="522EACD3">
        <w:trPr>
          <w:trHeight w:val="20"/>
        </w:trPr>
        <w:tc>
          <w:tcPr>
            <w:tcW w:w="2410" w:type="dxa"/>
            <w:shd w:val="clear" w:color="auto" w:fill="FFFFFF" w:themeFill="background1"/>
            <w:tcMar>
              <w:top w:w="100" w:type="dxa"/>
              <w:left w:w="100" w:type="dxa"/>
              <w:bottom w:w="100" w:type="dxa"/>
              <w:right w:w="100" w:type="dxa"/>
            </w:tcMar>
            <w:hideMark/>
          </w:tcPr>
          <w:p w14:paraId="375DE065" w14:textId="77777777" w:rsidR="0004257F" w:rsidRPr="0004257F" w:rsidRDefault="0004257F" w:rsidP="00DD2E10">
            <w:pPr>
              <w:rPr>
                <w:rFonts w:eastAsiaTheme="minorEastAsia"/>
                <w:sz w:val="22"/>
                <w:szCs w:val="22"/>
              </w:rPr>
            </w:pPr>
            <w:r w:rsidRPr="0004257F">
              <w:rPr>
                <w:rFonts w:eastAsiaTheme="minorEastAsia"/>
                <w:sz w:val="22"/>
                <w:szCs w:val="22"/>
              </w:rPr>
              <w:t>KEGG</w:t>
            </w:r>
          </w:p>
        </w:tc>
        <w:tc>
          <w:tcPr>
            <w:tcW w:w="0" w:type="auto"/>
            <w:shd w:val="clear" w:color="auto" w:fill="FFFFFF" w:themeFill="background1"/>
            <w:tcMar>
              <w:top w:w="100" w:type="dxa"/>
              <w:left w:w="100" w:type="dxa"/>
              <w:bottom w:w="100" w:type="dxa"/>
              <w:right w:w="100" w:type="dxa"/>
            </w:tcMar>
            <w:hideMark/>
          </w:tcPr>
          <w:p w14:paraId="277666A6" w14:textId="15105C91" w:rsidR="0004257F" w:rsidRPr="0004257F" w:rsidRDefault="522EACD3" w:rsidP="522EACD3">
            <w:pPr>
              <w:rPr>
                <w:rFonts w:eastAsiaTheme="minorEastAsia"/>
                <w:sz w:val="22"/>
                <w:szCs w:val="22"/>
              </w:rPr>
            </w:pPr>
            <w:r w:rsidRPr="522EACD3">
              <w:rPr>
                <w:rFonts w:eastAsiaTheme="minorEastAsia"/>
                <w:sz w:val="22"/>
                <w:szCs w:val="22"/>
              </w:rPr>
              <w:t>2</w:t>
            </w:r>
          </w:p>
        </w:tc>
        <w:tc>
          <w:tcPr>
            <w:tcW w:w="0" w:type="auto"/>
            <w:shd w:val="clear" w:color="auto" w:fill="FFFFFF" w:themeFill="background1"/>
            <w:tcMar>
              <w:top w:w="100" w:type="dxa"/>
              <w:left w:w="100" w:type="dxa"/>
              <w:bottom w:w="100" w:type="dxa"/>
              <w:right w:w="100" w:type="dxa"/>
            </w:tcMar>
            <w:hideMark/>
          </w:tcPr>
          <w:p w14:paraId="044CADA0" w14:textId="2164B293" w:rsidR="0004257F" w:rsidRPr="0004257F" w:rsidRDefault="522EACD3" w:rsidP="522EACD3">
            <w:pPr>
              <w:rPr>
                <w:rFonts w:eastAsiaTheme="minorEastAsia"/>
                <w:sz w:val="22"/>
                <w:szCs w:val="22"/>
              </w:rPr>
            </w:pPr>
            <w:r w:rsidRPr="522EACD3">
              <w:rPr>
                <w:rFonts w:eastAsiaTheme="minorEastAsia"/>
                <w:sz w:val="22"/>
                <w:szCs w:val="22"/>
              </w:rPr>
              <w:t>1</w:t>
            </w:r>
          </w:p>
        </w:tc>
        <w:tc>
          <w:tcPr>
            <w:tcW w:w="1203" w:type="dxa"/>
            <w:shd w:val="clear" w:color="auto" w:fill="FFFFFF" w:themeFill="background1"/>
            <w:tcMar>
              <w:top w:w="100" w:type="dxa"/>
              <w:left w:w="100" w:type="dxa"/>
              <w:bottom w:w="100" w:type="dxa"/>
              <w:right w:w="100" w:type="dxa"/>
            </w:tcMar>
            <w:hideMark/>
          </w:tcPr>
          <w:p w14:paraId="0CAD72E6" w14:textId="77777777" w:rsidR="0004257F" w:rsidRPr="0004257F" w:rsidRDefault="0004257F" w:rsidP="00DD2E10">
            <w:pPr>
              <w:rPr>
                <w:rFonts w:eastAsiaTheme="minorEastAsia"/>
                <w:sz w:val="22"/>
                <w:szCs w:val="22"/>
              </w:rPr>
            </w:pPr>
            <w:r w:rsidRPr="0004257F">
              <w:rPr>
                <w:rFonts w:eastAsiaTheme="minorEastAsia"/>
                <w:sz w:val="22"/>
                <w:szCs w:val="22"/>
              </w:rPr>
              <w:t>1</w:t>
            </w:r>
          </w:p>
        </w:tc>
        <w:tc>
          <w:tcPr>
            <w:tcW w:w="0" w:type="auto"/>
            <w:shd w:val="clear" w:color="auto" w:fill="FFFFFF" w:themeFill="background1"/>
            <w:tcMar>
              <w:top w:w="100" w:type="dxa"/>
              <w:left w:w="100" w:type="dxa"/>
              <w:bottom w:w="100" w:type="dxa"/>
              <w:right w:w="100" w:type="dxa"/>
            </w:tcMar>
            <w:hideMark/>
          </w:tcPr>
          <w:p w14:paraId="751D95A0" w14:textId="77777777" w:rsidR="0004257F" w:rsidRPr="0004257F" w:rsidRDefault="0004257F" w:rsidP="00DD2E10">
            <w:pPr>
              <w:rPr>
                <w:rFonts w:eastAsiaTheme="minorEastAsia"/>
                <w:sz w:val="22"/>
                <w:szCs w:val="22"/>
              </w:rPr>
            </w:pPr>
            <w:r w:rsidRPr="0004257F">
              <w:rPr>
                <w:rFonts w:eastAsiaTheme="minorEastAsia"/>
                <w:sz w:val="22"/>
                <w:szCs w:val="22"/>
              </w:rPr>
              <w:t>1</w:t>
            </w:r>
          </w:p>
        </w:tc>
        <w:tc>
          <w:tcPr>
            <w:tcW w:w="0" w:type="auto"/>
            <w:shd w:val="clear" w:color="auto" w:fill="FFFFFF" w:themeFill="background1"/>
            <w:tcMar>
              <w:top w:w="100" w:type="dxa"/>
              <w:left w:w="100" w:type="dxa"/>
              <w:bottom w:w="100" w:type="dxa"/>
              <w:right w:w="100" w:type="dxa"/>
            </w:tcMar>
            <w:hideMark/>
          </w:tcPr>
          <w:p w14:paraId="0B02248C" w14:textId="356681D5" w:rsidR="0004257F" w:rsidRPr="0004257F" w:rsidRDefault="522EACD3" w:rsidP="522EACD3">
            <w:pPr>
              <w:rPr>
                <w:rFonts w:eastAsiaTheme="minorEastAsia"/>
                <w:sz w:val="22"/>
                <w:szCs w:val="22"/>
              </w:rPr>
            </w:pPr>
            <w:r w:rsidRPr="522EACD3">
              <w:rPr>
                <w:rFonts w:eastAsiaTheme="minorEastAsia"/>
                <w:sz w:val="22"/>
                <w:szCs w:val="22"/>
              </w:rPr>
              <w:t>4</w:t>
            </w:r>
          </w:p>
        </w:tc>
        <w:tc>
          <w:tcPr>
            <w:tcW w:w="1099" w:type="dxa"/>
            <w:shd w:val="clear" w:color="auto" w:fill="FFFFFF" w:themeFill="background1"/>
            <w:tcMar>
              <w:top w:w="100" w:type="dxa"/>
              <w:left w:w="100" w:type="dxa"/>
              <w:bottom w:w="100" w:type="dxa"/>
              <w:right w:w="100" w:type="dxa"/>
            </w:tcMar>
            <w:hideMark/>
          </w:tcPr>
          <w:p w14:paraId="6C40C76E" w14:textId="46F7EBDD" w:rsidR="0004257F" w:rsidRPr="0004257F" w:rsidRDefault="522EACD3" w:rsidP="522EACD3">
            <w:pPr>
              <w:rPr>
                <w:rFonts w:eastAsiaTheme="minorEastAsia"/>
                <w:sz w:val="22"/>
                <w:szCs w:val="22"/>
              </w:rPr>
            </w:pPr>
            <w:r w:rsidRPr="522EACD3">
              <w:rPr>
                <w:rFonts w:eastAsiaTheme="minorEastAsia"/>
                <w:sz w:val="22"/>
                <w:szCs w:val="22"/>
              </w:rPr>
              <w:t>10</w:t>
            </w:r>
          </w:p>
        </w:tc>
      </w:tr>
    </w:tbl>
    <w:p w14:paraId="61689AFD" w14:textId="77777777" w:rsidR="0004257F" w:rsidRPr="0004257F" w:rsidRDefault="0004257F" w:rsidP="00DD2E10">
      <w:pPr>
        <w:rPr>
          <w:rFonts w:eastAsiaTheme="minorEastAsia"/>
        </w:rPr>
      </w:pPr>
    </w:p>
    <w:p w14:paraId="7EC7C730" w14:textId="77777777" w:rsidR="00010BD2" w:rsidRDefault="00010BD2" w:rsidP="00DD2E10">
      <w:pPr>
        <w:rPr>
          <w:rFonts w:eastAsiaTheme="minorEastAsia"/>
        </w:rPr>
      </w:pPr>
    </w:p>
    <w:p w14:paraId="64C86551" w14:textId="77777777" w:rsidR="0004602B" w:rsidRDefault="0004602B" w:rsidP="0004602B">
      <w:pPr>
        <w:spacing w:line="480" w:lineRule="auto"/>
        <w:rPr>
          <w:rFonts w:eastAsiaTheme="minorEastAsia"/>
        </w:rPr>
      </w:pPr>
    </w:p>
    <w:p w14:paraId="5FEB3FDA" w14:textId="4CFD7C21" w:rsidR="00874B60" w:rsidRDefault="00804429" w:rsidP="522EACD3">
      <w:pPr>
        <w:spacing w:line="480" w:lineRule="auto"/>
        <w:rPr>
          <w:rFonts w:eastAsiaTheme="minorEastAsia"/>
        </w:rPr>
      </w:pPr>
      <w:r w:rsidRPr="522EACD3">
        <w:rPr>
          <w:rFonts w:eastAsiaTheme="minorEastAsia"/>
        </w:rPr>
        <w:t xml:space="preserve">Directly comparing the DEGs across </w:t>
      </w:r>
      <w:proofErr w:type="spellStart"/>
      <w:r w:rsidRPr="522EACD3">
        <w:rPr>
          <w:rFonts w:eastAsiaTheme="minorEastAsia"/>
        </w:rPr>
        <w:t>Kallisto</w:t>
      </w:r>
      <w:proofErr w:type="spellEnd"/>
      <w:r w:rsidRPr="522EACD3">
        <w:rPr>
          <w:rFonts w:eastAsiaTheme="minorEastAsia"/>
        </w:rPr>
        <w:t xml:space="preserve"> and Seq2Fun is challenging because of a lack of mapping between zebrafish transcripts and ortholog groups, however a cursory examination of the results shows that the top DEGs are very similar across the two software. For example, in the PFOS vs. CTRL results, the symbols “mmp9” (Entrez = 406397; Seq2Fun = s2f_0000105026), “ahsg2” (Entrez = 567406; Seq2Fun = s2f_0008962001), and “pth1a/PTH” (Entrez = 405886; Seq2Fun = s2f_0011129001) are among the top DEGs for each software, and the quantified log2FC values are nearly the same (mmp9 = 3.81, 3.78; ahsg1 = -4.64, -6.01; pth1a = 5.44, 4.57 for </w:t>
      </w:r>
      <w:proofErr w:type="spellStart"/>
      <w:r w:rsidRPr="522EACD3">
        <w:rPr>
          <w:rFonts w:eastAsiaTheme="minorEastAsia"/>
        </w:rPr>
        <w:t>Kallisto</w:t>
      </w:r>
      <w:proofErr w:type="spellEnd"/>
      <w:r w:rsidRPr="522EACD3">
        <w:rPr>
          <w:rFonts w:eastAsiaTheme="minorEastAsia"/>
        </w:rPr>
        <w:t xml:space="preserve"> and Seq2Fun respectively). The number of significant pathways is more variable between the </w:t>
      </w:r>
      <w:proofErr w:type="spellStart"/>
      <w:r w:rsidRPr="522EACD3">
        <w:rPr>
          <w:rFonts w:eastAsiaTheme="minorEastAsia"/>
        </w:rPr>
        <w:t>Kallisto</w:t>
      </w:r>
      <w:proofErr w:type="spellEnd"/>
      <w:r w:rsidRPr="522EACD3">
        <w:rPr>
          <w:rFonts w:eastAsiaTheme="minorEastAsia"/>
        </w:rPr>
        <w:t xml:space="preserve"> and Seq2Fun results, however the biological themes of the top enriched pathways are quite similar for given contrasts. For example, for both software the PFOS vs. CTRL pathways are largely related to cellular signaling and the OBS30 vs. CTRL pathways are mostly related to lipid metabolism, lipid transport, and steroid biosynthesis (</w:t>
      </w:r>
      <w:r w:rsidRPr="522EACD3">
        <w:rPr>
          <w:rFonts w:eastAsiaTheme="minorEastAsia"/>
          <w:b/>
          <w:bCs/>
        </w:rPr>
        <w:t>see SI_cs1_zebrafish.xlsx).</w:t>
      </w:r>
    </w:p>
    <w:p w14:paraId="622A6997" w14:textId="1021A637" w:rsidR="00804429" w:rsidRDefault="00804429" w:rsidP="0004602B">
      <w:pPr>
        <w:spacing w:line="480" w:lineRule="auto"/>
        <w:rPr>
          <w:rFonts w:eastAsiaTheme="minorEastAsia"/>
        </w:rPr>
      </w:pPr>
    </w:p>
    <w:p w14:paraId="75F25615" w14:textId="27472B7F" w:rsidR="00804429" w:rsidRDefault="00804429" w:rsidP="522EACD3">
      <w:pPr>
        <w:spacing w:line="480" w:lineRule="auto"/>
        <w:rPr>
          <w:rFonts w:eastAsiaTheme="minorEastAsia"/>
        </w:rPr>
      </w:pPr>
      <w:r w:rsidRPr="522EACD3">
        <w:rPr>
          <w:rFonts w:eastAsiaTheme="minorEastAsia"/>
        </w:rPr>
        <w:t xml:space="preserve">Differences in the specific pathways flagged as enriched across the two software are expected because the Seq2Fun ortholog groups are more densely annotated than most transcriptomes. Overrepresentation analysis is very dependent on the total number of measured genes and on the number of genes in individual pathways. Thus, even if the lists of DEGs are very similar across two analyses, the specific pathways that get flagged as enriched can vary if there are substantial </w:t>
      </w:r>
      <w:r w:rsidRPr="522EACD3">
        <w:rPr>
          <w:rFonts w:eastAsiaTheme="minorEastAsia"/>
        </w:rPr>
        <w:lastRenderedPageBreak/>
        <w:t xml:space="preserve">differences in annotation densities, as in the case for the </w:t>
      </w:r>
      <w:proofErr w:type="spellStart"/>
      <w:r w:rsidRPr="522EACD3">
        <w:rPr>
          <w:rFonts w:eastAsiaTheme="minorEastAsia"/>
        </w:rPr>
        <w:t>Kallisto</w:t>
      </w:r>
      <w:proofErr w:type="spellEnd"/>
      <w:r w:rsidRPr="522EACD3">
        <w:rPr>
          <w:rFonts w:eastAsiaTheme="minorEastAsia"/>
        </w:rPr>
        <w:t xml:space="preserve"> and Seq2Fun analyses. This explains </w:t>
      </w:r>
      <w:r w:rsidR="00806DD3" w:rsidRPr="522EACD3">
        <w:rPr>
          <w:rFonts w:eastAsiaTheme="minorEastAsia"/>
        </w:rPr>
        <w:t xml:space="preserve">many of </w:t>
      </w:r>
      <w:r w:rsidRPr="522EACD3">
        <w:rPr>
          <w:rFonts w:eastAsiaTheme="minorEastAsia"/>
        </w:rPr>
        <w:t>the differences in the specific pathways that were flagged as enriched between the two analysis pipelines.</w:t>
      </w:r>
    </w:p>
    <w:p w14:paraId="15AA99F3" w14:textId="4CE0B0E1" w:rsidR="00804429" w:rsidRDefault="00804429" w:rsidP="0004602B">
      <w:pPr>
        <w:spacing w:line="480" w:lineRule="auto"/>
        <w:rPr>
          <w:rFonts w:eastAsiaTheme="minorEastAsia"/>
        </w:rPr>
      </w:pPr>
    </w:p>
    <w:p w14:paraId="7888F3FB" w14:textId="4139C712" w:rsidR="00E2698C" w:rsidRPr="00E2698C" w:rsidRDefault="00921A10" w:rsidP="2EB43769">
      <w:pPr>
        <w:spacing w:line="480" w:lineRule="auto"/>
        <w:rPr>
          <w:rFonts w:eastAsiaTheme="minorEastAsia"/>
          <w:i/>
          <w:iCs/>
          <w:u w:val="single"/>
        </w:rPr>
      </w:pPr>
      <w:r w:rsidRPr="2EB43769">
        <w:rPr>
          <w:rFonts w:eastAsiaTheme="minorEastAsia"/>
          <w:i/>
          <w:iCs/>
        </w:rPr>
        <w:t>Case study</w:t>
      </w:r>
      <w:r w:rsidR="00E2698C" w:rsidRPr="2EB43769">
        <w:rPr>
          <w:rFonts w:eastAsiaTheme="minorEastAsia"/>
          <w:i/>
          <w:iCs/>
        </w:rPr>
        <w:t xml:space="preserve"> #2: Lobster</w:t>
      </w:r>
    </w:p>
    <w:p w14:paraId="62EE8B04" w14:textId="0BB79BEB" w:rsidR="00804429" w:rsidRDefault="00E2698C" w:rsidP="0004602B">
      <w:pPr>
        <w:spacing w:line="480" w:lineRule="auto"/>
        <w:rPr>
          <w:rFonts w:eastAsiaTheme="minorEastAsia"/>
        </w:rPr>
      </w:pPr>
      <w:r w:rsidRPr="522EACD3">
        <w:rPr>
          <w:rFonts w:eastAsiaTheme="minorEastAsia"/>
        </w:rPr>
        <w:t>The American lobster RNA-seq profiles were collected as part of a study that investigated the biological impacts of exposure to heavy crude oil. One group was exposed to a water accommodated fraction (WAF) of oil at 72% concentration (WAF_72; n = 7), another to 0.39 mg/L of the polycyclic aromatic hydrocarbon (PAH) 1-methynaphthalene (positive control; n = 6), and a third group was unexposed (control; n = 6). These are new, unpublished data collected by the authors of this paper.</w:t>
      </w:r>
    </w:p>
    <w:p w14:paraId="683BEDF7" w14:textId="3CE1D463" w:rsidR="522EACD3" w:rsidRDefault="522EACD3" w:rsidP="522EACD3">
      <w:pPr>
        <w:spacing w:line="480" w:lineRule="auto"/>
        <w:rPr>
          <w:rFonts w:eastAsiaTheme="minorEastAsia"/>
        </w:rPr>
      </w:pPr>
    </w:p>
    <w:p w14:paraId="1DE54B75" w14:textId="6B071265" w:rsidR="00E2698C" w:rsidRDefault="522EACD3" w:rsidP="522EACD3">
      <w:pPr>
        <w:rPr>
          <w:rFonts w:eastAsiaTheme="minorEastAsia"/>
        </w:rPr>
      </w:pPr>
      <w:r>
        <w:rPr>
          <w:noProof/>
        </w:rPr>
        <w:drawing>
          <wp:inline distT="0" distB="0" distL="0" distR="0" wp14:anchorId="1B352DA7" wp14:editId="188EF511">
            <wp:extent cx="5838825" cy="2019260"/>
            <wp:effectExtent l="0" t="0" r="0" b="0"/>
            <wp:docPr id="568958447" name="Picture 568958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38825" cy="2019260"/>
                    </a:xfrm>
                    <a:prstGeom prst="rect">
                      <a:avLst/>
                    </a:prstGeom>
                  </pic:spPr>
                </pic:pic>
              </a:graphicData>
            </a:graphic>
          </wp:inline>
        </w:drawing>
      </w:r>
    </w:p>
    <w:p w14:paraId="6600E3EF" w14:textId="6C6E11FF" w:rsidR="00B708BA" w:rsidRDefault="00B708BA" w:rsidP="00DD2E10"/>
    <w:p w14:paraId="4B352F13" w14:textId="618A928B" w:rsidR="00B708BA" w:rsidRPr="00B708BA" w:rsidRDefault="00B708BA" w:rsidP="00DD2E10">
      <w:bookmarkStart w:id="2" w:name="_Toc97899840"/>
      <w:r w:rsidRPr="522EACD3">
        <w:rPr>
          <w:b/>
          <w:bCs/>
        </w:rPr>
        <w:t>Figure S3:</w:t>
      </w:r>
      <w:r>
        <w:t xml:space="preserve"> </w:t>
      </w:r>
      <w:r w:rsidRPr="522EACD3">
        <w:rPr>
          <w:rFonts w:eastAsiaTheme="minorEastAsia"/>
        </w:rPr>
        <w:t xml:space="preserve">PCA of normalized lobster counts tables for a) </w:t>
      </w:r>
      <w:proofErr w:type="spellStart"/>
      <w:r w:rsidRPr="522EACD3">
        <w:rPr>
          <w:rFonts w:eastAsiaTheme="minorEastAsia"/>
        </w:rPr>
        <w:t>Kallisto</w:t>
      </w:r>
      <w:proofErr w:type="spellEnd"/>
      <w:r w:rsidRPr="522EACD3">
        <w:rPr>
          <w:rFonts w:eastAsiaTheme="minorEastAsia"/>
        </w:rPr>
        <w:t xml:space="preserve"> and b) Seq2Fun. This plot was generated by </w:t>
      </w:r>
      <w:proofErr w:type="spellStart"/>
      <w:r w:rsidRPr="522EACD3">
        <w:rPr>
          <w:rFonts w:eastAsiaTheme="minorEastAsia"/>
        </w:rPr>
        <w:t>ExpressAnalyst</w:t>
      </w:r>
      <w:proofErr w:type="spellEnd"/>
      <w:r w:rsidRPr="522EACD3">
        <w:rPr>
          <w:rFonts w:eastAsiaTheme="minorEastAsia"/>
        </w:rPr>
        <w:t>.</w:t>
      </w:r>
      <w:bookmarkEnd w:id="2"/>
    </w:p>
    <w:p w14:paraId="65F9422E" w14:textId="266CCAC2" w:rsidR="00E2698C" w:rsidRDefault="00E2698C" w:rsidP="00DD2E10">
      <w:pPr>
        <w:rPr>
          <w:rFonts w:eastAsiaTheme="minorEastAsia"/>
        </w:rPr>
      </w:pPr>
    </w:p>
    <w:p w14:paraId="72A03857" w14:textId="77777777" w:rsidR="0004602B" w:rsidRDefault="0004602B" w:rsidP="0004602B">
      <w:pPr>
        <w:spacing w:line="480" w:lineRule="auto"/>
        <w:rPr>
          <w:rFonts w:eastAsiaTheme="minorEastAsia"/>
        </w:rPr>
      </w:pPr>
    </w:p>
    <w:p w14:paraId="6209D4B8" w14:textId="7E753A2D" w:rsidR="0004602B" w:rsidRPr="00E2698C" w:rsidRDefault="006345F0" w:rsidP="522EACD3">
      <w:pPr>
        <w:spacing w:line="480" w:lineRule="auto"/>
        <w:rPr>
          <w:rFonts w:eastAsiaTheme="minorEastAsia"/>
        </w:rPr>
      </w:pPr>
      <w:r w:rsidRPr="522EACD3">
        <w:rPr>
          <w:rFonts w:eastAsiaTheme="minorEastAsia"/>
        </w:rPr>
        <w:t>The patterns with the lobster data are very similar to those with the zebrafish data. PCA plots of the normalized counts data show the same variance structure for both quantification methods (</w:t>
      </w:r>
      <w:r w:rsidRPr="522EACD3">
        <w:rPr>
          <w:rFonts w:eastAsiaTheme="minorEastAsia"/>
          <w:b/>
          <w:bCs/>
        </w:rPr>
        <w:t>Figure S</w:t>
      </w:r>
      <w:r w:rsidR="009A48FB" w:rsidRPr="522EACD3">
        <w:rPr>
          <w:rFonts w:eastAsiaTheme="minorEastAsia"/>
          <w:b/>
          <w:bCs/>
        </w:rPr>
        <w:t>3</w:t>
      </w:r>
      <w:r w:rsidRPr="522EACD3">
        <w:rPr>
          <w:rFonts w:eastAsiaTheme="minorEastAsia"/>
        </w:rPr>
        <w:t xml:space="preserve">), even though more features were quantified by </w:t>
      </w:r>
      <w:proofErr w:type="spellStart"/>
      <w:r w:rsidRPr="522EACD3">
        <w:rPr>
          <w:rFonts w:eastAsiaTheme="minorEastAsia"/>
        </w:rPr>
        <w:t>Kallisto</w:t>
      </w:r>
      <w:proofErr w:type="spellEnd"/>
      <w:r w:rsidRPr="522EACD3">
        <w:rPr>
          <w:rFonts w:eastAsiaTheme="minorEastAsia"/>
        </w:rPr>
        <w:t xml:space="preserve"> and </w:t>
      </w:r>
      <w:proofErr w:type="spellStart"/>
      <w:r w:rsidRPr="522EACD3">
        <w:rPr>
          <w:rFonts w:eastAsiaTheme="minorEastAsia"/>
        </w:rPr>
        <w:t>Kallisto</w:t>
      </w:r>
      <w:proofErr w:type="spellEnd"/>
      <w:r w:rsidRPr="522EACD3">
        <w:rPr>
          <w:rFonts w:eastAsiaTheme="minorEastAsia"/>
        </w:rPr>
        <w:t xml:space="preserve"> had a higher </w:t>
      </w:r>
      <w:r w:rsidRPr="522EACD3">
        <w:rPr>
          <w:rFonts w:eastAsiaTheme="minorEastAsia"/>
        </w:rPr>
        <w:lastRenderedPageBreak/>
        <w:t>reads and gene mapping rate (</w:t>
      </w:r>
      <w:r w:rsidRPr="522EACD3">
        <w:rPr>
          <w:rFonts w:eastAsiaTheme="minorEastAsia"/>
          <w:b/>
          <w:bCs/>
        </w:rPr>
        <w:t>Table S2</w:t>
      </w:r>
      <w:r w:rsidRPr="522EACD3">
        <w:rPr>
          <w:rFonts w:eastAsiaTheme="minorEastAsia"/>
        </w:rPr>
        <w:t xml:space="preserve">). The pattern of DEGs for each contrast is also similar between </w:t>
      </w:r>
      <w:proofErr w:type="spellStart"/>
      <w:r w:rsidRPr="522EACD3">
        <w:rPr>
          <w:rFonts w:eastAsiaTheme="minorEastAsia"/>
        </w:rPr>
        <w:t>Kallisto</w:t>
      </w:r>
      <w:proofErr w:type="spellEnd"/>
      <w:r w:rsidRPr="522EACD3">
        <w:rPr>
          <w:rFonts w:eastAsiaTheme="minorEastAsia"/>
        </w:rPr>
        <w:t xml:space="preserve"> and Seq2Fun, with the positive control group having many more DEGs than the 72% WAF group. While the number of DEGs for each group is higher for </w:t>
      </w:r>
      <w:proofErr w:type="spellStart"/>
      <w:r w:rsidRPr="522EACD3">
        <w:rPr>
          <w:rFonts w:eastAsiaTheme="minorEastAsia"/>
        </w:rPr>
        <w:t>Kallisto</w:t>
      </w:r>
      <w:proofErr w:type="spellEnd"/>
      <w:r w:rsidRPr="522EACD3">
        <w:rPr>
          <w:rFonts w:eastAsiaTheme="minorEastAsia"/>
        </w:rPr>
        <w:t>, the ratio between the two contrasts is very similar across both quantification methods.</w:t>
      </w:r>
    </w:p>
    <w:p w14:paraId="7EEE335B" w14:textId="6BC2807A" w:rsidR="522EACD3" w:rsidRDefault="522EACD3" w:rsidP="522EACD3">
      <w:pPr>
        <w:spacing w:line="480" w:lineRule="auto"/>
        <w:rPr>
          <w:rFonts w:eastAsiaTheme="minorEastAsia"/>
        </w:rPr>
      </w:pPr>
    </w:p>
    <w:p w14:paraId="0A8CE151" w14:textId="62C6DD42" w:rsidR="00F70A94" w:rsidRDefault="00F70A94" w:rsidP="00DD2E10">
      <w:pPr>
        <w:rPr>
          <w:rFonts w:eastAsiaTheme="minorEastAsia"/>
        </w:rPr>
      </w:pPr>
    </w:p>
    <w:p w14:paraId="32CB3D0F" w14:textId="0B10197F" w:rsidR="001A7AC3" w:rsidRDefault="001A7AC3" w:rsidP="522EACD3">
      <w:pPr>
        <w:rPr>
          <w:rFonts w:eastAsiaTheme="minorEastAsia"/>
        </w:rPr>
      </w:pPr>
      <w:bookmarkStart w:id="3" w:name="_Toc97899829"/>
      <w:r w:rsidRPr="522EACD3">
        <w:rPr>
          <w:rFonts w:eastAsiaTheme="minorEastAsia"/>
          <w:b/>
          <w:bCs/>
        </w:rPr>
        <w:t xml:space="preserve">Table S2. </w:t>
      </w:r>
      <w:r w:rsidRPr="522EACD3">
        <w:rPr>
          <w:rFonts w:eastAsiaTheme="minorEastAsia"/>
        </w:rPr>
        <w:t>Results from lobster DEA and GSA. Tables of the full differential expression and pathway results are in the SI_cs2_lobster.xlsx supplementary file.</w:t>
      </w:r>
      <w:bookmarkEnd w:id="3"/>
    </w:p>
    <w:p w14:paraId="3C0AC51F" w14:textId="77777777" w:rsidR="001A7AC3" w:rsidRPr="001A7AC3" w:rsidRDefault="001A7AC3" w:rsidP="00DD2E10"/>
    <w:tbl>
      <w:tblPr>
        <w:tblW w:w="0" w:type="auto"/>
        <w:tblCellMar>
          <w:top w:w="15" w:type="dxa"/>
          <w:left w:w="15" w:type="dxa"/>
          <w:bottom w:w="15" w:type="dxa"/>
          <w:right w:w="15" w:type="dxa"/>
        </w:tblCellMar>
        <w:tblLook w:val="04A0" w:firstRow="1" w:lastRow="0" w:firstColumn="1" w:lastColumn="0" w:noHBand="0" w:noVBand="1"/>
      </w:tblPr>
      <w:tblGrid>
        <w:gridCol w:w="2552"/>
        <w:gridCol w:w="1559"/>
        <w:gridCol w:w="1559"/>
        <w:gridCol w:w="1418"/>
        <w:gridCol w:w="1417"/>
      </w:tblGrid>
      <w:tr w:rsidR="004340ED" w:rsidRPr="00B35B18" w14:paraId="3F040F05" w14:textId="77777777" w:rsidTr="522EACD3">
        <w:trPr>
          <w:trHeight w:val="20"/>
        </w:trPr>
        <w:tc>
          <w:tcPr>
            <w:tcW w:w="2552" w:type="dxa"/>
            <w:shd w:val="clear" w:color="auto" w:fill="D9D9D9" w:themeFill="background1" w:themeFillShade="D9"/>
            <w:tcMar>
              <w:top w:w="100" w:type="dxa"/>
              <w:left w:w="100" w:type="dxa"/>
              <w:bottom w:w="100" w:type="dxa"/>
              <w:right w:w="100" w:type="dxa"/>
            </w:tcMar>
            <w:hideMark/>
          </w:tcPr>
          <w:p w14:paraId="4538CF5A" w14:textId="77777777" w:rsidR="00B35B18" w:rsidRPr="00B35B18" w:rsidRDefault="00B35B18" w:rsidP="00DD2E10">
            <w:pPr>
              <w:rPr>
                <w:rFonts w:eastAsiaTheme="minorEastAsia"/>
              </w:rPr>
            </w:pPr>
          </w:p>
        </w:tc>
        <w:tc>
          <w:tcPr>
            <w:tcW w:w="3118" w:type="dxa"/>
            <w:gridSpan w:val="2"/>
            <w:shd w:val="clear" w:color="auto" w:fill="D9D9D9" w:themeFill="background1" w:themeFillShade="D9"/>
            <w:tcMar>
              <w:top w:w="100" w:type="dxa"/>
              <w:left w:w="100" w:type="dxa"/>
              <w:bottom w:w="100" w:type="dxa"/>
              <w:right w:w="100" w:type="dxa"/>
            </w:tcMar>
            <w:hideMark/>
          </w:tcPr>
          <w:p w14:paraId="2F778A82" w14:textId="77777777" w:rsidR="00B35B18" w:rsidRPr="00B35B18" w:rsidRDefault="00B35B18" w:rsidP="00DD2E10">
            <w:pPr>
              <w:rPr>
                <w:rFonts w:eastAsiaTheme="minorEastAsia"/>
              </w:rPr>
            </w:pPr>
            <w:proofErr w:type="spellStart"/>
            <w:r w:rsidRPr="00B35B18">
              <w:rPr>
                <w:rFonts w:eastAsiaTheme="minorEastAsia"/>
                <w:b/>
                <w:bCs/>
              </w:rPr>
              <w:t>Kallisto</w:t>
            </w:r>
            <w:proofErr w:type="spellEnd"/>
          </w:p>
        </w:tc>
        <w:tc>
          <w:tcPr>
            <w:tcW w:w="2835" w:type="dxa"/>
            <w:gridSpan w:val="2"/>
            <w:shd w:val="clear" w:color="auto" w:fill="D9D9D9" w:themeFill="background1" w:themeFillShade="D9"/>
            <w:tcMar>
              <w:top w:w="100" w:type="dxa"/>
              <w:left w:w="100" w:type="dxa"/>
              <w:bottom w:w="100" w:type="dxa"/>
              <w:right w:w="100" w:type="dxa"/>
            </w:tcMar>
            <w:hideMark/>
          </w:tcPr>
          <w:p w14:paraId="18097CC3" w14:textId="77777777" w:rsidR="00B35B18" w:rsidRPr="00B35B18" w:rsidRDefault="00B35B18" w:rsidP="00DD2E10">
            <w:pPr>
              <w:rPr>
                <w:rFonts w:eastAsiaTheme="minorEastAsia"/>
              </w:rPr>
            </w:pPr>
            <w:r w:rsidRPr="00B35B18">
              <w:rPr>
                <w:rFonts w:eastAsiaTheme="minorEastAsia"/>
                <w:b/>
                <w:bCs/>
              </w:rPr>
              <w:t>Seq2Fun</w:t>
            </w:r>
          </w:p>
        </w:tc>
      </w:tr>
      <w:tr w:rsidR="004340ED" w:rsidRPr="00B35B18" w14:paraId="277B84A5" w14:textId="77777777" w:rsidTr="522EACD3">
        <w:trPr>
          <w:trHeight w:val="20"/>
        </w:trPr>
        <w:tc>
          <w:tcPr>
            <w:tcW w:w="2552" w:type="dxa"/>
            <w:tcMar>
              <w:top w:w="100" w:type="dxa"/>
              <w:left w:w="100" w:type="dxa"/>
              <w:bottom w:w="100" w:type="dxa"/>
              <w:right w:w="100" w:type="dxa"/>
            </w:tcMar>
            <w:hideMark/>
          </w:tcPr>
          <w:p w14:paraId="1D0CA658" w14:textId="0210AD5A" w:rsidR="00B35B18" w:rsidRPr="00B35B18" w:rsidRDefault="00B35B18" w:rsidP="00DD2E10">
            <w:pPr>
              <w:rPr>
                <w:rFonts w:eastAsiaTheme="minorEastAsia"/>
                <w:sz w:val="22"/>
                <w:szCs w:val="22"/>
              </w:rPr>
            </w:pPr>
            <w:r w:rsidRPr="00B35B18">
              <w:rPr>
                <w:rFonts w:eastAsiaTheme="minorEastAsia"/>
                <w:sz w:val="22"/>
                <w:szCs w:val="22"/>
              </w:rPr>
              <w:t># Features</w:t>
            </w:r>
            <w:r w:rsidR="00D358DE">
              <w:rPr>
                <w:rFonts w:eastAsiaTheme="minorEastAsia"/>
                <w:sz w:val="22"/>
                <w:szCs w:val="22"/>
              </w:rPr>
              <w:t xml:space="preserve"> </w:t>
            </w:r>
            <w:r w:rsidRPr="00B35B18">
              <w:rPr>
                <w:rFonts w:eastAsiaTheme="minorEastAsia"/>
                <w:sz w:val="22"/>
                <w:szCs w:val="22"/>
              </w:rPr>
              <w:t>quantified</w:t>
            </w:r>
          </w:p>
        </w:tc>
        <w:tc>
          <w:tcPr>
            <w:tcW w:w="3118" w:type="dxa"/>
            <w:gridSpan w:val="2"/>
            <w:tcMar>
              <w:top w:w="100" w:type="dxa"/>
              <w:left w:w="100" w:type="dxa"/>
              <w:bottom w:w="100" w:type="dxa"/>
              <w:right w:w="100" w:type="dxa"/>
            </w:tcMar>
            <w:hideMark/>
          </w:tcPr>
          <w:p w14:paraId="09564AA0" w14:textId="77777777" w:rsidR="00B35B18" w:rsidRPr="00B35B18" w:rsidRDefault="00B35B18" w:rsidP="00DD2E10">
            <w:pPr>
              <w:rPr>
                <w:rFonts w:eastAsiaTheme="minorEastAsia"/>
                <w:sz w:val="22"/>
                <w:szCs w:val="22"/>
              </w:rPr>
            </w:pPr>
            <w:r w:rsidRPr="00B35B18">
              <w:rPr>
                <w:rFonts w:eastAsiaTheme="minorEastAsia"/>
                <w:sz w:val="22"/>
                <w:szCs w:val="22"/>
              </w:rPr>
              <w:t>36 925</w:t>
            </w:r>
          </w:p>
        </w:tc>
        <w:tc>
          <w:tcPr>
            <w:tcW w:w="2835" w:type="dxa"/>
            <w:gridSpan w:val="2"/>
            <w:tcMar>
              <w:top w:w="100" w:type="dxa"/>
              <w:left w:w="100" w:type="dxa"/>
              <w:bottom w:w="100" w:type="dxa"/>
              <w:right w:w="100" w:type="dxa"/>
            </w:tcMar>
            <w:hideMark/>
          </w:tcPr>
          <w:p w14:paraId="4E7988A2" w14:textId="77777777" w:rsidR="00B35B18" w:rsidRPr="00B35B18" w:rsidRDefault="00B35B18" w:rsidP="00DD2E10">
            <w:pPr>
              <w:rPr>
                <w:rFonts w:eastAsiaTheme="minorEastAsia"/>
                <w:sz w:val="22"/>
                <w:szCs w:val="22"/>
              </w:rPr>
            </w:pPr>
            <w:r w:rsidRPr="00B35B18">
              <w:rPr>
                <w:rFonts w:eastAsiaTheme="minorEastAsia"/>
                <w:sz w:val="22"/>
                <w:szCs w:val="22"/>
              </w:rPr>
              <w:t>10 332</w:t>
            </w:r>
          </w:p>
        </w:tc>
      </w:tr>
      <w:tr w:rsidR="004340ED" w:rsidRPr="00B35B18" w14:paraId="30E0B047" w14:textId="77777777" w:rsidTr="522EACD3">
        <w:trPr>
          <w:trHeight w:val="20"/>
        </w:trPr>
        <w:tc>
          <w:tcPr>
            <w:tcW w:w="2552" w:type="dxa"/>
            <w:tcMar>
              <w:top w:w="100" w:type="dxa"/>
              <w:left w:w="100" w:type="dxa"/>
              <w:bottom w:w="100" w:type="dxa"/>
              <w:right w:w="100" w:type="dxa"/>
            </w:tcMar>
            <w:hideMark/>
          </w:tcPr>
          <w:p w14:paraId="489C86F5" w14:textId="77777777" w:rsidR="00B35B18" w:rsidRPr="00B35B18" w:rsidRDefault="00B35B18" w:rsidP="00DD2E10">
            <w:pPr>
              <w:rPr>
                <w:rFonts w:eastAsiaTheme="minorEastAsia"/>
                <w:sz w:val="22"/>
                <w:szCs w:val="22"/>
              </w:rPr>
            </w:pPr>
            <w:r w:rsidRPr="00B35B18">
              <w:rPr>
                <w:rFonts w:eastAsiaTheme="minorEastAsia"/>
                <w:sz w:val="22"/>
                <w:szCs w:val="22"/>
              </w:rPr>
              <w:t>Reads mapping</w:t>
            </w:r>
          </w:p>
        </w:tc>
        <w:tc>
          <w:tcPr>
            <w:tcW w:w="3118" w:type="dxa"/>
            <w:gridSpan w:val="2"/>
            <w:tcMar>
              <w:top w:w="100" w:type="dxa"/>
              <w:left w:w="100" w:type="dxa"/>
              <w:bottom w:w="100" w:type="dxa"/>
              <w:right w:w="100" w:type="dxa"/>
            </w:tcMar>
            <w:hideMark/>
          </w:tcPr>
          <w:p w14:paraId="37F236C0" w14:textId="77777777" w:rsidR="00B35B18" w:rsidRPr="00B35B18" w:rsidRDefault="00B35B18" w:rsidP="00DD2E10">
            <w:pPr>
              <w:rPr>
                <w:rFonts w:eastAsiaTheme="minorEastAsia"/>
                <w:sz w:val="22"/>
                <w:szCs w:val="22"/>
              </w:rPr>
            </w:pPr>
            <w:r w:rsidRPr="00B35B18">
              <w:rPr>
                <w:rFonts w:eastAsiaTheme="minorEastAsia"/>
                <w:sz w:val="22"/>
                <w:szCs w:val="22"/>
              </w:rPr>
              <w:t>71.71%</w:t>
            </w:r>
          </w:p>
        </w:tc>
        <w:tc>
          <w:tcPr>
            <w:tcW w:w="2835" w:type="dxa"/>
            <w:gridSpan w:val="2"/>
            <w:tcMar>
              <w:top w:w="100" w:type="dxa"/>
              <w:left w:w="100" w:type="dxa"/>
              <w:bottom w:w="100" w:type="dxa"/>
              <w:right w:w="100" w:type="dxa"/>
            </w:tcMar>
            <w:hideMark/>
          </w:tcPr>
          <w:p w14:paraId="622B441B" w14:textId="77777777" w:rsidR="00B35B18" w:rsidRPr="00B35B18" w:rsidRDefault="00B35B18" w:rsidP="00DD2E10">
            <w:pPr>
              <w:rPr>
                <w:rFonts w:eastAsiaTheme="minorEastAsia"/>
                <w:sz w:val="22"/>
                <w:szCs w:val="22"/>
              </w:rPr>
            </w:pPr>
            <w:r w:rsidRPr="00B35B18">
              <w:rPr>
                <w:rFonts w:eastAsiaTheme="minorEastAsia"/>
                <w:sz w:val="22"/>
                <w:szCs w:val="22"/>
              </w:rPr>
              <w:t>29.13%</w:t>
            </w:r>
          </w:p>
        </w:tc>
      </w:tr>
      <w:tr w:rsidR="004340ED" w:rsidRPr="00B35B18" w14:paraId="33E7623D" w14:textId="77777777" w:rsidTr="522EACD3">
        <w:trPr>
          <w:trHeight w:val="20"/>
        </w:trPr>
        <w:tc>
          <w:tcPr>
            <w:tcW w:w="2552" w:type="dxa"/>
            <w:shd w:val="clear" w:color="auto" w:fill="EFEFEF"/>
            <w:tcMar>
              <w:top w:w="100" w:type="dxa"/>
              <w:left w:w="100" w:type="dxa"/>
              <w:bottom w:w="100" w:type="dxa"/>
              <w:right w:w="100" w:type="dxa"/>
            </w:tcMar>
            <w:hideMark/>
          </w:tcPr>
          <w:p w14:paraId="0B9CC92D" w14:textId="77777777" w:rsidR="00B35B18" w:rsidRPr="00B35B18" w:rsidRDefault="00B35B18" w:rsidP="00DD2E10">
            <w:pPr>
              <w:rPr>
                <w:rFonts w:eastAsiaTheme="minorEastAsia"/>
              </w:rPr>
            </w:pPr>
          </w:p>
        </w:tc>
        <w:tc>
          <w:tcPr>
            <w:tcW w:w="1559" w:type="dxa"/>
            <w:shd w:val="clear" w:color="auto" w:fill="EFEFEF"/>
            <w:tcMar>
              <w:top w:w="100" w:type="dxa"/>
              <w:left w:w="100" w:type="dxa"/>
              <w:bottom w:w="100" w:type="dxa"/>
              <w:right w:w="100" w:type="dxa"/>
            </w:tcMar>
            <w:hideMark/>
          </w:tcPr>
          <w:p w14:paraId="18DE6BE3" w14:textId="479181C0" w:rsidR="00B35B18" w:rsidRPr="00B35B18" w:rsidRDefault="00B35B18" w:rsidP="00DD2E10">
            <w:pPr>
              <w:rPr>
                <w:rFonts w:eastAsiaTheme="minorEastAsia"/>
                <w:i/>
                <w:iCs/>
              </w:rPr>
            </w:pPr>
            <w:r w:rsidRPr="00B35B18">
              <w:rPr>
                <w:rFonts w:eastAsiaTheme="minorEastAsia"/>
                <w:i/>
                <w:iCs/>
              </w:rPr>
              <w:t xml:space="preserve">Pos. </w:t>
            </w:r>
            <w:r w:rsidR="004340ED">
              <w:rPr>
                <w:rFonts w:eastAsiaTheme="minorEastAsia"/>
                <w:i/>
                <w:iCs/>
              </w:rPr>
              <w:t>ctr</w:t>
            </w:r>
            <w:r w:rsidRPr="00B35B18">
              <w:rPr>
                <w:rFonts w:eastAsiaTheme="minorEastAsia"/>
                <w:i/>
                <w:iCs/>
              </w:rPr>
              <w:t>l</w:t>
            </w:r>
          </w:p>
        </w:tc>
        <w:tc>
          <w:tcPr>
            <w:tcW w:w="1559" w:type="dxa"/>
            <w:shd w:val="clear" w:color="auto" w:fill="EFEFEF"/>
            <w:tcMar>
              <w:top w:w="100" w:type="dxa"/>
              <w:left w:w="100" w:type="dxa"/>
              <w:bottom w:w="100" w:type="dxa"/>
              <w:right w:w="100" w:type="dxa"/>
            </w:tcMar>
            <w:hideMark/>
          </w:tcPr>
          <w:p w14:paraId="27DDA135" w14:textId="77777777" w:rsidR="00B35B18" w:rsidRPr="00B35B18" w:rsidRDefault="00B35B18" w:rsidP="00DD2E10">
            <w:pPr>
              <w:rPr>
                <w:rFonts w:eastAsiaTheme="minorEastAsia"/>
                <w:i/>
                <w:iCs/>
              </w:rPr>
            </w:pPr>
            <w:r w:rsidRPr="00B35B18">
              <w:rPr>
                <w:rFonts w:eastAsiaTheme="minorEastAsia"/>
                <w:i/>
                <w:iCs/>
              </w:rPr>
              <w:t>WAF 72%</w:t>
            </w:r>
          </w:p>
        </w:tc>
        <w:tc>
          <w:tcPr>
            <w:tcW w:w="1418" w:type="dxa"/>
            <w:shd w:val="clear" w:color="auto" w:fill="EFEFEF"/>
            <w:tcMar>
              <w:top w:w="100" w:type="dxa"/>
              <w:left w:w="100" w:type="dxa"/>
              <w:bottom w:w="100" w:type="dxa"/>
              <w:right w:w="100" w:type="dxa"/>
            </w:tcMar>
            <w:hideMark/>
          </w:tcPr>
          <w:p w14:paraId="7C7E3B80" w14:textId="3B886664" w:rsidR="00B35B18" w:rsidRPr="00B35B18" w:rsidRDefault="00B35B18" w:rsidP="00DD2E10">
            <w:pPr>
              <w:rPr>
                <w:rFonts w:eastAsiaTheme="minorEastAsia"/>
                <w:i/>
                <w:iCs/>
              </w:rPr>
            </w:pPr>
            <w:r w:rsidRPr="00B35B18">
              <w:rPr>
                <w:rFonts w:eastAsiaTheme="minorEastAsia"/>
                <w:i/>
                <w:iCs/>
              </w:rPr>
              <w:t>Pos. c</w:t>
            </w:r>
            <w:r w:rsidR="004340ED">
              <w:rPr>
                <w:rFonts w:eastAsiaTheme="minorEastAsia"/>
                <w:i/>
                <w:iCs/>
              </w:rPr>
              <w:t>tr</w:t>
            </w:r>
            <w:r w:rsidRPr="00B35B18">
              <w:rPr>
                <w:rFonts w:eastAsiaTheme="minorEastAsia"/>
                <w:i/>
                <w:iCs/>
              </w:rPr>
              <w:t>l</w:t>
            </w:r>
          </w:p>
        </w:tc>
        <w:tc>
          <w:tcPr>
            <w:tcW w:w="1417" w:type="dxa"/>
            <w:shd w:val="clear" w:color="auto" w:fill="EFEFEF"/>
            <w:tcMar>
              <w:top w:w="100" w:type="dxa"/>
              <w:left w:w="100" w:type="dxa"/>
              <w:bottom w:w="100" w:type="dxa"/>
              <w:right w:w="100" w:type="dxa"/>
            </w:tcMar>
            <w:hideMark/>
          </w:tcPr>
          <w:p w14:paraId="11BDA81F" w14:textId="77777777" w:rsidR="00B35B18" w:rsidRPr="00B35B18" w:rsidRDefault="00B35B18" w:rsidP="00DD2E10">
            <w:pPr>
              <w:rPr>
                <w:rFonts w:eastAsiaTheme="minorEastAsia"/>
                <w:i/>
                <w:iCs/>
              </w:rPr>
            </w:pPr>
            <w:r w:rsidRPr="00B35B18">
              <w:rPr>
                <w:rFonts w:eastAsiaTheme="minorEastAsia"/>
                <w:i/>
                <w:iCs/>
              </w:rPr>
              <w:t>WAF 72%</w:t>
            </w:r>
          </w:p>
        </w:tc>
      </w:tr>
      <w:tr w:rsidR="004340ED" w:rsidRPr="00B35B18" w14:paraId="37D7EDAA" w14:textId="77777777" w:rsidTr="522EACD3">
        <w:trPr>
          <w:trHeight w:val="20"/>
        </w:trPr>
        <w:tc>
          <w:tcPr>
            <w:tcW w:w="2552" w:type="dxa"/>
            <w:tcMar>
              <w:top w:w="100" w:type="dxa"/>
              <w:left w:w="100" w:type="dxa"/>
              <w:bottom w:w="100" w:type="dxa"/>
              <w:right w:w="100" w:type="dxa"/>
            </w:tcMar>
            <w:hideMark/>
          </w:tcPr>
          <w:p w14:paraId="4EB081BF" w14:textId="77777777" w:rsidR="00B35B18" w:rsidRPr="00B35B18" w:rsidRDefault="00B35B18" w:rsidP="00DD2E10">
            <w:pPr>
              <w:rPr>
                <w:rFonts w:eastAsiaTheme="minorEastAsia"/>
                <w:sz w:val="22"/>
                <w:szCs w:val="22"/>
              </w:rPr>
            </w:pPr>
            <w:r w:rsidRPr="00B35B18">
              <w:rPr>
                <w:rFonts w:eastAsiaTheme="minorEastAsia"/>
                <w:sz w:val="22"/>
                <w:szCs w:val="22"/>
              </w:rPr>
              <w:t>DEGs</w:t>
            </w:r>
          </w:p>
        </w:tc>
        <w:tc>
          <w:tcPr>
            <w:tcW w:w="1559" w:type="dxa"/>
            <w:tcMar>
              <w:top w:w="100" w:type="dxa"/>
              <w:left w:w="100" w:type="dxa"/>
              <w:bottom w:w="100" w:type="dxa"/>
              <w:right w:w="100" w:type="dxa"/>
            </w:tcMar>
            <w:hideMark/>
          </w:tcPr>
          <w:p w14:paraId="646E5014" w14:textId="77777777" w:rsidR="00B35B18" w:rsidRPr="00B35B18" w:rsidRDefault="00B35B18" w:rsidP="00DD2E10">
            <w:pPr>
              <w:rPr>
                <w:rFonts w:eastAsiaTheme="minorEastAsia"/>
                <w:sz w:val="22"/>
                <w:szCs w:val="22"/>
              </w:rPr>
            </w:pPr>
            <w:r w:rsidRPr="00B35B18">
              <w:rPr>
                <w:rFonts w:eastAsiaTheme="minorEastAsia"/>
                <w:sz w:val="22"/>
                <w:szCs w:val="22"/>
              </w:rPr>
              <w:t>908</w:t>
            </w:r>
          </w:p>
        </w:tc>
        <w:tc>
          <w:tcPr>
            <w:tcW w:w="1559" w:type="dxa"/>
            <w:tcMar>
              <w:top w:w="100" w:type="dxa"/>
              <w:left w:w="100" w:type="dxa"/>
              <w:bottom w:w="100" w:type="dxa"/>
              <w:right w:w="100" w:type="dxa"/>
            </w:tcMar>
            <w:hideMark/>
          </w:tcPr>
          <w:p w14:paraId="77030B58" w14:textId="77777777" w:rsidR="00B35B18" w:rsidRPr="00B35B18" w:rsidRDefault="00B35B18" w:rsidP="00DD2E10">
            <w:pPr>
              <w:rPr>
                <w:rFonts w:eastAsiaTheme="minorEastAsia"/>
                <w:sz w:val="22"/>
                <w:szCs w:val="22"/>
              </w:rPr>
            </w:pPr>
            <w:r w:rsidRPr="00B35B18">
              <w:rPr>
                <w:rFonts w:eastAsiaTheme="minorEastAsia"/>
                <w:sz w:val="22"/>
                <w:szCs w:val="22"/>
              </w:rPr>
              <w:t>50</w:t>
            </w:r>
          </w:p>
        </w:tc>
        <w:tc>
          <w:tcPr>
            <w:tcW w:w="1418" w:type="dxa"/>
            <w:tcMar>
              <w:top w:w="100" w:type="dxa"/>
              <w:left w:w="100" w:type="dxa"/>
              <w:bottom w:w="100" w:type="dxa"/>
              <w:right w:w="100" w:type="dxa"/>
            </w:tcMar>
            <w:hideMark/>
          </w:tcPr>
          <w:p w14:paraId="4AD72761" w14:textId="5A30AC33" w:rsidR="00B35B18" w:rsidRPr="00B35B18" w:rsidRDefault="712BBD01" w:rsidP="522EACD3">
            <w:pPr>
              <w:rPr>
                <w:rFonts w:eastAsiaTheme="minorEastAsia"/>
                <w:sz w:val="22"/>
                <w:szCs w:val="22"/>
              </w:rPr>
            </w:pPr>
            <w:r w:rsidRPr="522EACD3">
              <w:rPr>
                <w:rFonts w:eastAsiaTheme="minorEastAsia"/>
                <w:sz w:val="22"/>
                <w:szCs w:val="22"/>
              </w:rPr>
              <w:t>286</w:t>
            </w:r>
          </w:p>
        </w:tc>
        <w:tc>
          <w:tcPr>
            <w:tcW w:w="1417" w:type="dxa"/>
            <w:tcMar>
              <w:top w:w="100" w:type="dxa"/>
              <w:left w:w="100" w:type="dxa"/>
              <w:bottom w:w="100" w:type="dxa"/>
              <w:right w:w="100" w:type="dxa"/>
            </w:tcMar>
            <w:hideMark/>
          </w:tcPr>
          <w:p w14:paraId="3B0E8A2F" w14:textId="753BCC38" w:rsidR="00B35B18" w:rsidRPr="00B35B18" w:rsidRDefault="712BBD01" w:rsidP="522EACD3">
            <w:pPr>
              <w:rPr>
                <w:rFonts w:eastAsiaTheme="minorEastAsia"/>
                <w:sz w:val="22"/>
                <w:szCs w:val="22"/>
              </w:rPr>
            </w:pPr>
            <w:r w:rsidRPr="522EACD3">
              <w:rPr>
                <w:rFonts w:eastAsiaTheme="minorEastAsia"/>
                <w:sz w:val="22"/>
                <w:szCs w:val="22"/>
              </w:rPr>
              <w:t>13</w:t>
            </w:r>
          </w:p>
        </w:tc>
      </w:tr>
      <w:tr w:rsidR="004340ED" w:rsidRPr="00B35B18" w14:paraId="2ECAE10C" w14:textId="77777777" w:rsidTr="522EACD3">
        <w:trPr>
          <w:trHeight w:val="20"/>
        </w:trPr>
        <w:tc>
          <w:tcPr>
            <w:tcW w:w="2552" w:type="dxa"/>
            <w:tcMar>
              <w:top w:w="100" w:type="dxa"/>
              <w:left w:w="100" w:type="dxa"/>
              <w:bottom w:w="100" w:type="dxa"/>
              <w:right w:w="100" w:type="dxa"/>
            </w:tcMar>
            <w:hideMark/>
          </w:tcPr>
          <w:p w14:paraId="71C55C42" w14:textId="77777777" w:rsidR="00B35B18" w:rsidRPr="00B35B18" w:rsidRDefault="00B35B18" w:rsidP="00DD2E10">
            <w:pPr>
              <w:rPr>
                <w:rFonts w:eastAsiaTheme="minorEastAsia"/>
                <w:sz w:val="22"/>
                <w:szCs w:val="22"/>
              </w:rPr>
            </w:pPr>
            <w:r w:rsidRPr="00B35B18">
              <w:rPr>
                <w:rFonts w:eastAsiaTheme="minorEastAsia"/>
                <w:sz w:val="22"/>
                <w:szCs w:val="22"/>
              </w:rPr>
              <w:t>KEGG</w:t>
            </w:r>
          </w:p>
        </w:tc>
        <w:tc>
          <w:tcPr>
            <w:tcW w:w="1559" w:type="dxa"/>
            <w:tcMar>
              <w:top w:w="100" w:type="dxa"/>
              <w:left w:w="100" w:type="dxa"/>
              <w:bottom w:w="100" w:type="dxa"/>
              <w:right w:w="100" w:type="dxa"/>
            </w:tcMar>
            <w:hideMark/>
          </w:tcPr>
          <w:p w14:paraId="3B715773" w14:textId="77777777" w:rsidR="00B35B18" w:rsidRPr="00B35B18" w:rsidRDefault="00B35B18" w:rsidP="00DD2E10">
            <w:pPr>
              <w:rPr>
                <w:rFonts w:eastAsiaTheme="minorEastAsia"/>
                <w:sz w:val="22"/>
                <w:szCs w:val="22"/>
              </w:rPr>
            </w:pPr>
            <w:r w:rsidRPr="00B35B18">
              <w:rPr>
                <w:rFonts w:eastAsiaTheme="minorEastAsia"/>
                <w:sz w:val="22"/>
                <w:szCs w:val="22"/>
              </w:rPr>
              <w:t>NA</w:t>
            </w:r>
          </w:p>
        </w:tc>
        <w:tc>
          <w:tcPr>
            <w:tcW w:w="1559" w:type="dxa"/>
            <w:tcMar>
              <w:top w:w="100" w:type="dxa"/>
              <w:left w:w="100" w:type="dxa"/>
              <w:bottom w:w="100" w:type="dxa"/>
              <w:right w:w="100" w:type="dxa"/>
            </w:tcMar>
            <w:hideMark/>
          </w:tcPr>
          <w:p w14:paraId="063499D8" w14:textId="77777777" w:rsidR="00B35B18" w:rsidRPr="00B35B18" w:rsidRDefault="00B35B18" w:rsidP="00DD2E10">
            <w:pPr>
              <w:rPr>
                <w:rFonts w:eastAsiaTheme="minorEastAsia"/>
                <w:sz w:val="22"/>
                <w:szCs w:val="22"/>
              </w:rPr>
            </w:pPr>
            <w:r w:rsidRPr="00B35B18">
              <w:rPr>
                <w:rFonts w:eastAsiaTheme="minorEastAsia"/>
                <w:sz w:val="22"/>
                <w:szCs w:val="22"/>
              </w:rPr>
              <w:t>NA</w:t>
            </w:r>
          </w:p>
        </w:tc>
        <w:tc>
          <w:tcPr>
            <w:tcW w:w="1418" w:type="dxa"/>
            <w:tcMar>
              <w:top w:w="100" w:type="dxa"/>
              <w:left w:w="100" w:type="dxa"/>
              <w:bottom w:w="100" w:type="dxa"/>
              <w:right w:w="100" w:type="dxa"/>
            </w:tcMar>
            <w:hideMark/>
          </w:tcPr>
          <w:p w14:paraId="2AFE9663" w14:textId="455962DF" w:rsidR="00B35B18" w:rsidRPr="00B35B18" w:rsidRDefault="522EACD3" w:rsidP="522EACD3">
            <w:pPr>
              <w:rPr>
                <w:rFonts w:eastAsiaTheme="minorEastAsia"/>
                <w:sz w:val="22"/>
                <w:szCs w:val="22"/>
              </w:rPr>
            </w:pPr>
            <w:r w:rsidRPr="522EACD3">
              <w:rPr>
                <w:rFonts w:eastAsiaTheme="minorEastAsia"/>
                <w:sz w:val="22"/>
                <w:szCs w:val="22"/>
              </w:rPr>
              <w:t>7</w:t>
            </w:r>
          </w:p>
        </w:tc>
        <w:tc>
          <w:tcPr>
            <w:tcW w:w="1417" w:type="dxa"/>
            <w:tcMar>
              <w:top w:w="100" w:type="dxa"/>
              <w:left w:w="100" w:type="dxa"/>
              <w:bottom w:w="100" w:type="dxa"/>
              <w:right w:w="100" w:type="dxa"/>
            </w:tcMar>
            <w:hideMark/>
          </w:tcPr>
          <w:p w14:paraId="03DC202C" w14:textId="77777777" w:rsidR="00B35B18" w:rsidRPr="00B35B18" w:rsidRDefault="00B35B18" w:rsidP="00DD2E10">
            <w:pPr>
              <w:rPr>
                <w:rFonts w:eastAsiaTheme="minorEastAsia"/>
                <w:sz w:val="22"/>
                <w:szCs w:val="22"/>
              </w:rPr>
            </w:pPr>
            <w:r w:rsidRPr="00B35B18">
              <w:rPr>
                <w:rFonts w:eastAsiaTheme="minorEastAsia"/>
                <w:sz w:val="22"/>
                <w:szCs w:val="22"/>
              </w:rPr>
              <w:t>0</w:t>
            </w:r>
          </w:p>
        </w:tc>
      </w:tr>
    </w:tbl>
    <w:p w14:paraId="74BB649E" w14:textId="7C5AC3A4" w:rsidR="00B35B18" w:rsidRDefault="00B35B18" w:rsidP="00DD2E10">
      <w:pPr>
        <w:rPr>
          <w:rFonts w:eastAsiaTheme="minorEastAsia"/>
        </w:rPr>
      </w:pPr>
    </w:p>
    <w:p w14:paraId="42780189" w14:textId="77777777" w:rsidR="0004602B" w:rsidRDefault="0004602B" w:rsidP="0004602B">
      <w:pPr>
        <w:spacing w:line="480" w:lineRule="auto"/>
        <w:rPr>
          <w:rFonts w:eastAsiaTheme="minorEastAsia"/>
        </w:rPr>
      </w:pPr>
    </w:p>
    <w:p w14:paraId="4F182DF7" w14:textId="648D1BE9" w:rsidR="00B26B25" w:rsidRPr="00CE0A4E" w:rsidRDefault="00435BE9" w:rsidP="522EACD3">
      <w:pPr>
        <w:spacing w:after="200" w:line="480" w:lineRule="auto"/>
        <w:rPr>
          <w:rFonts w:eastAsiaTheme="minorEastAsia"/>
        </w:rPr>
      </w:pPr>
      <w:r w:rsidRPr="00250E7E">
        <w:rPr>
          <w:rFonts w:eastAsiaTheme="minorEastAsia"/>
        </w:rPr>
        <w:t xml:space="preserve">Overall, </w:t>
      </w:r>
      <w:r w:rsidR="00747A93" w:rsidRPr="00250E7E">
        <w:rPr>
          <w:rFonts w:eastAsiaTheme="minorEastAsia"/>
        </w:rPr>
        <w:t>these case studies</w:t>
      </w:r>
      <w:r w:rsidRPr="00250E7E">
        <w:rPr>
          <w:rFonts w:eastAsiaTheme="minorEastAsia"/>
        </w:rPr>
        <w:t xml:space="preserve"> show that </w:t>
      </w:r>
      <w:proofErr w:type="spellStart"/>
      <w:r w:rsidRPr="00250E7E">
        <w:rPr>
          <w:rFonts w:eastAsiaTheme="minorEastAsia"/>
        </w:rPr>
        <w:t>Kallisto</w:t>
      </w:r>
      <w:proofErr w:type="spellEnd"/>
      <w:r w:rsidRPr="00250E7E">
        <w:rPr>
          <w:rFonts w:eastAsiaTheme="minorEastAsia"/>
        </w:rPr>
        <w:t xml:space="preserve"> and Seq2Fun give very similar results in terms of relationships between samples, as shown by PCA plots and the relative number of DEGs for different experimental groups. While the number of pathways highlighted by overrepresentation analysis is less consistent, the functional interpretation is quite similar. The lobster analysis shows one advantage of Seq2Fun for recently published genomes - no publicly available gene set libraries exist for the American lobster </w:t>
      </w:r>
      <w:r w:rsidR="00747A93" w:rsidRPr="00250E7E">
        <w:rPr>
          <w:rFonts w:eastAsiaTheme="minorEastAsia"/>
        </w:rPr>
        <w:t>transcriptome;</w:t>
      </w:r>
      <w:r w:rsidRPr="00250E7E">
        <w:rPr>
          <w:rFonts w:eastAsiaTheme="minorEastAsia"/>
        </w:rPr>
        <w:t xml:space="preserve"> </w:t>
      </w:r>
      <w:r w:rsidR="00D4535D" w:rsidRPr="00250E7E">
        <w:rPr>
          <w:rFonts w:eastAsiaTheme="minorEastAsia"/>
        </w:rPr>
        <w:t>however,</w:t>
      </w:r>
      <w:r w:rsidRPr="00250E7E">
        <w:rPr>
          <w:rFonts w:eastAsiaTheme="minorEastAsia"/>
        </w:rPr>
        <w:t xml:space="preserve"> we are still able to easily perform functional analysis of the Seq2Fun results (</w:t>
      </w:r>
      <w:r w:rsidRPr="00250E7E">
        <w:rPr>
          <w:rFonts w:eastAsiaTheme="minorEastAsia"/>
          <w:b/>
          <w:bCs/>
        </w:rPr>
        <w:t>Table S2</w:t>
      </w:r>
      <w:r w:rsidRPr="00250E7E">
        <w:rPr>
          <w:rFonts w:eastAsiaTheme="minorEastAsia"/>
        </w:rPr>
        <w:t>).</w:t>
      </w:r>
    </w:p>
    <w:p w14:paraId="7F639C8D" w14:textId="79D31519" w:rsidR="5A39C1D2" w:rsidRDefault="5A39C1D2" w:rsidP="00250E7E">
      <w:pPr>
        <w:spacing w:after="200" w:line="480" w:lineRule="auto"/>
        <w:rPr>
          <w:rFonts w:eastAsiaTheme="minorEastAsia"/>
        </w:rPr>
      </w:pPr>
    </w:p>
    <w:p w14:paraId="1620B1F6" w14:textId="4E5D3C58" w:rsidR="5A39C1D2" w:rsidRDefault="4C60876D" w:rsidP="00250E7E">
      <w:pPr>
        <w:spacing w:after="200" w:line="480" w:lineRule="auto"/>
        <w:rPr>
          <w:rFonts w:ascii="Calibri" w:eastAsia="Calibri" w:hAnsi="Calibri" w:cs="Calibri"/>
          <w:color w:val="000000" w:themeColor="text1"/>
          <w:sz w:val="36"/>
          <w:szCs w:val="36"/>
        </w:rPr>
      </w:pPr>
      <w:r>
        <w:rPr>
          <w:noProof/>
        </w:rPr>
        <w:lastRenderedPageBreak/>
        <w:drawing>
          <wp:inline distT="0" distB="0" distL="0" distR="0" wp14:anchorId="60874E51" wp14:editId="20089185">
            <wp:extent cx="5961888" cy="3105150"/>
            <wp:effectExtent l="0" t="0" r="0" b="0"/>
            <wp:docPr id="1461292796" name="Picture 1461292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61888" cy="3105150"/>
                    </a:xfrm>
                    <a:prstGeom prst="rect">
                      <a:avLst/>
                    </a:prstGeom>
                  </pic:spPr>
                </pic:pic>
              </a:graphicData>
            </a:graphic>
          </wp:inline>
        </w:drawing>
      </w:r>
      <w:r w:rsidR="5A39C1D2" w:rsidRPr="390461CA">
        <w:rPr>
          <w:rFonts w:eastAsiaTheme="minorEastAsia"/>
          <w:b/>
          <w:bCs/>
        </w:rPr>
        <w:t xml:space="preserve">Figure S4. </w:t>
      </w:r>
      <w:r w:rsidR="036690E2" w:rsidRPr="390461CA">
        <w:rPr>
          <w:color w:val="000000" w:themeColor="text1"/>
        </w:rPr>
        <w:t>Generalized phylogenetic tree based read searching and annotation. For each ortholog group, a phylogenetic tree is built. For each hit read, there will be four generalized scenarios. If a read hit</w:t>
      </w:r>
      <w:r w:rsidR="43174CC7" w:rsidRPr="390461CA">
        <w:rPr>
          <w:color w:val="000000" w:themeColor="text1"/>
        </w:rPr>
        <w:t>s</w:t>
      </w:r>
      <w:r w:rsidR="036690E2" w:rsidRPr="390461CA">
        <w:rPr>
          <w:color w:val="000000" w:themeColor="text1"/>
        </w:rPr>
        <w:t xml:space="preserve"> to annotated (with gene features of symbol, KO, GO) leaves, this read will be annotated with the gene features of highest frequency (scenario 1 and 2). If a read hit</w:t>
      </w:r>
      <w:r w:rsidR="568FB0F5" w:rsidRPr="390461CA">
        <w:rPr>
          <w:color w:val="000000" w:themeColor="text1"/>
        </w:rPr>
        <w:t>s</w:t>
      </w:r>
      <w:r w:rsidR="036690E2" w:rsidRPr="390461CA">
        <w:rPr>
          <w:color w:val="000000" w:themeColor="text1"/>
        </w:rPr>
        <w:t xml:space="preserve"> to leaves without annotation, the annotation will be assigned to its parent who has an annotated sibling (node 12) for scenario3 or its great-grand parent who has an annotated sibling (node 7) for scenario4, or to its ancestor which has an annotated sibling. This searching and annotation strategy will maximize annotation resolution and reduce the false negative annotation at the same time.</w:t>
      </w:r>
    </w:p>
    <w:p w14:paraId="5990B8E8" w14:textId="7C028CBA" w:rsidR="390461CA" w:rsidRDefault="390461CA" w:rsidP="390461CA">
      <w:pPr>
        <w:spacing w:after="200" w:line="480" w:lineRule="auto"/>
        <w:rPr>
          <w:color w:val="000000" w:themeColor="text1"/>
        </w:rPr>
      </w:pPr>
    </w:p>
    <w:p w14:paraId="44DE1652" w14:textId="45640982" w:rsidR="53CD8B53" w:rsidRDefault="53CD8B53" w:rsidP="390461CA">
      <w:pPr>
        <w:spacing w:after="200" w:line="480" w:lineRule="auto"/>
        <w:rPr>
          <w:color w:val="000000" w:themeColor="text1"/>
        </w:rPr>
      </w:pPr>
      <w:r w:rsidRPr="390461CA">
        <w:rPr>
          <w:b/>
          <w:bCs/>
          <w:color w:val="000000" w:themeColor="text1"/>
        </w:rPr>
        <w:t>Proposed future work</w:t>
      </w:r>
    </w:p>
    <w:p w14:paraId="6B0970FD" w14:textId="0525B47D" w:rsidR="53CD8B53" w:rsidRDefault="53CD8B53" w:rsidP="390461CA">
      <w:pPr>
        <w:spacing w:line="480" w:lineRule="auto"/>
        <w:jc w:val="both"/>
        <w:rPr>
          <w:color w:val="000000" w:themeColor="text1"/>
        </w:rPr>
      </w:pPr>
      <w:r w:rsidRPr="390461CA">
        <w:rPr>
          <w:color w:val="000000" w:themeColor="text1"/>
        </w:rPr>
        <w:t xml:space="preserve">The current Seq2Fun algorithm (version 2.0) is based on a translated nucleotide to peptide search, which is extremely efficient at overcoming large evolutionary distances between query and target organisms in the database. However, this approach cannot quantify non-coding genes or </w:t>
      </w:r>
      <w:r w:rsidRPr="390461CA">
        <w:rPr>
          <w:color w:val="000000" w:themeColor="text1"/>
        </w:rPr>
        <w:lastRenderedPageBreak/>
        <w:t>distinguish gene isoforms. In the future, we will develop a tiered search strategy by first conducting DNA-to-DNA search for each read, then a DNA-to-protein (translated) search if the read fails. This novel strategy will not only enable Seq2Fun to quantify the whole transcriptome including non-coding sequences but will also have a higher resolution of features without compromising the ability to overcome long evolutionary distance.</w:t>
      </w:r>
    </w:p>
    <w:p w14:paraId="38C58E21" w14:textId="17B2371B" w:rsidR="390461CA" w:rsidRDefault="390461CA" w:rsidP="390461CA">
      <w:pPr>
        <w:spacing w:line="480" w:lineRule="auto"/>
        <w:rPr>
          <w:color w:val="000000" w:themeColor="text1"/>
        </w:rPr>
      </w:pPr>
    </w:p>
    <w:p w14:paraId="37CD6394" w14:textId="479848B4" w:rsidR="53CD8B53" w:rsidRDefault="53CD8B53" w:rsidP="390461CA">
      <w:pPr>
        <w:spacing w:line="480" w:lineRule="auto"/>
        <w:jc w:val="both"/>
        <w:rPr>
          <w:color w:val="000000" w:themeColor="text1"/>
        </w:rPr>
      </w:pPr>
      <w:r w:rsidRPr="390461CA">
        <w:rPr>
          <w:color w:val="000000" w:themeColor="text1"/>
        </w:rPr>
        <w:t>Defining the ortholog group size involves a trade-off between achieving gene-level resolution and achieving a high rate of functional annotation. Perfect gene-level resolution would result any organism contributing only one protein sequence to a given ortholog group. However, tuning the ortholog definition parameters to achieve this creates small ortholog groups with few sequences from well-annotated species, resulting in many ortholog groups with no informative symbols, descriptions, or pathway annotations. In the future, we will employ a new functional annotation strategy where, in cases where the ortholog has no informative functional information, annotations will be pulled from the next closest ortholog group according to phylogenetic relationships (</w:t>
      </w:r>
      <w:r w:rsidRPr="390461CA">
        <w:rPr>
          <w:b/>
          <w:bCs/>
          <w:color w:val="000000" w:themeColor="text1"/>
        </w:rPr>
        <w:t>Figure S4</w:t>
      </w:r>
      <w:r w:rsidRPr="390461CA">
        <w:rPr>
          <w:color w:val="000000" w:themeColor="text1"/>
        </w:rPr>
        <w:t>). If no annotations are found there either, the search will continue to the next closest ortholog group until an annotation is found. This new strategy will allow us to maximize gene-level resolution while also obtaining the most informative ortholog annotations. This approach is like the functional assignment for marker genes employed by the popular PICRUST method (</w:t>
      </w:r>
      <w:proofErr w:type="spellStart"/>
      <w:r w:rsidRPr="390461CA">
        <w:rPr>
          <w:color w:val="000000" w:themeColor="text1"/>
        </w:rPr>
        <w:t>Langille</w:t>
      </w:r>
      <w:proofErr w:type="spellEnd"/>
      <w:r w:rsidRPr="390461CA">
        <w:rPr>
          <w:color w:val="000000" w:themeColor="text1"/>
        </w:rPr>
        <w:t xml:space="preserve">, </w:t>
      </w:r>
      <w:proofErr w:type="spellStart"/>
      <w:r w:rsidRPr="390461CA">
        <w:rPr>
          <w:color w:val="000000" w:themeColor="text1"/>
        </w:rPr>
        <w:t>Zaneveld</w:t>
      </w:r>
      <w:proofErr w:type="spellEnd"/>
      <w:r w:rsidRPr="390461CA">
        <w:rPr>
          <w:color w:val="000000" w:themeColor="text1"/>
        </w:rPr>
        <w:t xml:space="preserve"> et al. 2013).</w:t>
      </w:r>
    </w:p>
    <w:p w14:paraId="4280B430" w14:textId="11BA7761" w:rsidR="390461CA" w:rsidRDefault="390461CA" w:rsidP="390461CA">
      <w:pPr>
        <w:spacing w:after="200" w:line="480" w:lineRule="auto"/>
        <w:rPr>
          <w:b/>
          <w:bCs/>
          <w:color w:val="000000" w:themeColor="text1"/>
        </w:rPr>
      </w:pPr>
    </w:p>
    <w:p w14:paraId="5E434E1E" w14:textId="412E69B6" w:rsidR="5A39C1D2" w:rsidRDefault="5A39C1D2" w:rsidP="00250E7E">
      <w:pPr>
        <w:spacing w:after="200" w:line="480" w:lineRule="auto"/>
        <w:rPr>
          <w:rFonts w:eastAsiaTheme="minorEastAsia"/>
          <w:b/>
          <w:bCs/>
        </w:rPr>
      </w:pPr>
    </w:p>
    <w:p w14:paraId="633541D9" w14:textId="77777777" w:rsidR="00CE0A4E" w:rsidRDefault="00CE0A4E" w:rsidP="00DD2E10"/>
    <w:p w14:paraId="6BAD83CB" w14:textId="7AA5E413" w:rsidR="00CE0A4E" w:rsidRDefault="00CE0A4E">
      <w:pPr>
        <w:spacing w:after="200" w:line="276" w:lineRule="auto"/>
        <w:jc w:val="both"/>
      </w:pPr>
      <w:r>
        <w:br w:type="page"/>
      </w:r>
    </w:p>
    <w:p w14:paraId="492BAB4E" w14:textId="55D06A89" w:rsidR="00CE0A4E" w:rsidRPr="00CE0A4E" w:rsidRDefault="00CE0A4E" w:rsidP="00DD2E10">
      <w:pPr>
        <w:rPr>
          <w:b/>
          <w:bCs/>
        </w:rPr>
      </w:pPr>
      <w:r>
        <w:rPr>
          <w:b/>
          <w:bCs/>
        </w:rPr>
        <w:lastRenderedPageBreak/>
        <w:t>References</w:t>
      </w:r>
    </w:p>
    <w:p w14:paraId="63DC7FC5" w14:textId="43CEBB08" w:rsidR="00B26B25" w:rsidRDefault="00B26B25" w:rsidP="00DD2E10"/>
    <w:p w14:paraId="66C8809B" w14:textId="0E9FF275" w:rsidR="522EACD3" w:rsidRDefault="522EACD3">
      <w:r>
        <w:t xml:space="preserve">Huang, J., Wang, Q., Liu, S., Zhang, M., Liu, Y., Sun, L., Wu, Y., Tu, W. 2021. Crosstalk between histological alterations, oxidative </w:t>
      </w:r>
      <w:proofErr w:type="gramStart"/>
      <w:r>
        <w:t>stress</w:t>
      </w:r>
      <w:proofErr w:type="gramEnd"/>
      <w:r>
        <w:t xml:space="preserve"> and immune aberrations of the emerging PFOS alternative OBS in developing zebrafish. </w:t>
      </w:r>
      <w:r w:rsidRPr="390461CA">
        <w:rPr>
          <w:i/>
          <w:iCs/>
        </w:rPr>
        <w:t>Science of the Total Environment</w:t>
      </w:r>
      <w:r>
        <w:t>, 774, 145443.</w:t>
      </w:r>
    </w:p>
    <w:p w14:paraId="0FAB0383" w14:textId="2EBEBCAE" w:rsidR="390461CA" w:rsidRDefault="390461CA" w:rsidP="390461CA"/>
    <w:p w14:paraId="376ED7F5" w14:textId="11874379" w:rsidR="47F35957" w:rsidRDefault="47F35957" w:rsidP="390461CA">
      <w:pPr>
        <w:pStyle w:val="EndNoteBibliography"/>
        <w:spacing w:after="240"/>
        <w:rPr>
          <w:rFonts w:eastAsia="Times New Roman"/>
          <w:color w:val="000000" w:themeColor="text1"/>
          <w:lang w:val="en-CA"/>
        </w:rPr>
      </w:pPr>
      <w:proofErr w:type="spellStart"/>
      <w:r w:rsidRPr="390461CA">
        <w:rPr>
          <w:rFonts w:eastAsia="Times New Roman"/>
          <w:color w:val="000000" w:themeColor="text1"/>
        </w:rPr>
        <w:t>Langille</w:t>
      </w:r>
      <w:proofErr w:type="spellEnd"/>
      <w:r w:rsidRPr="390461CA">
        <w:rPr>
          <w:rFonts w:eastAsia="Times New Roman"/>
          <w:color w:val="000000" w:themeColor="text1"/>
        </w:rPr>
        <w:t xml:space="preserve">, M. G., J. </w:t>
      </w:r>
      <w:proofErr w:type="spellStart"/>
      <w:r w:rsidRPr="390461CA">
        <w:rPr>
          <w:rFonts w:eastAsia="Times New Roman"/>
          <w:color w:val="000000" w:themeColor="text1"/>
        </w:rPr>
        <w:t>Zaneveld</w:t>
      </w:r>
      <w:proofErr w:type="spellEnd"/>
      <w:r w:rsidRPr="390461CA">
        <w:rPr>
          <w:rFonts w:eastAsia="Times New Roman"/>
          <w:color w:val="000000" w:themeColor="text1"/>
        </w:rPr>
        <w:t xml:space="preserve">, J. G. </w:t>
      </w:r>
      <w:proofErr w:type="spellStart"/>
      <w:r w:rsidRPr="390461CA">
        <w:rPr>
          <w:rFonts w:eastAsia="Times New Roman"/>
          <w:color w:val="000000" w:themeColor="text1"/>
        </w:rPr>
        <w:t>Caporaso</w:t>
      </w:r>
      <w:proofErr w:type="spellEnd"/>
      <w:r w:rsidRPr="390461CA">
        <w:rPr>
          <w:rFonts w:eastAsia="Times New Roman"/>
          <w:color w:val="000000" w:themeColor="text1"/>
        </w:rPr>
        <w:t xml:space="preserve">, D. McDonald, D. Knights, J. A. Reyes, J. C. Clemente, D. E. </w:t>
      </w:r>
      <w:proofErr w:type="spellStart"/>
      <w:r w:rsidRPr="390461CA">
        <w:rPr>
          <w:rFonts w:eastAsia="Times New Roman"/>
          <w:color w:val="000000" w:themeColor="text1"/>
        </w:rPr>
        <w:t>Burkepile</w:t>
      </w:r>
      <w:proofErr w:type="spellEnd"/>
      <w:r w:rsidRPr="390461CA">
        <w:rPr>
          <w:rFonts w:eastAsia="Times New Roman"/>
          <w:color w:val="000000" w:themeColor="text1"/>
        </w:rPr>
        <w:t xml:space="preserve">, R. L. Vega </w:t>
      </w:r>
      <w:proofErr w:type="gramStart"/>
      <w:r w:rsidRPr="390461CA">
        <w:rPr>
          <w:rFonts w:eastAsia="Times New Roman"/>
          <w:color w:val="000000" w:themeColor="text1"/>
        </w:rPr>
        <w:t>Thurber</w:t>
      </w:r>
      <w:proofErr w:type="gramEnd"/>
      <w:r w:rsidRPr="390461CA">
        <w:rPr>
          <w:rFonts w:eastAsia="Times New Roman"/>
          <w:color w:val="000000" w:themeColor="text1"/>
        </w:rPr>
        <w:t xml:space="preserve"> and R. Knight (2013). "Predictive functional profiling of microbial communities using 16S rRNA marker gene sequences." </w:t>
      </w:r>
      <w:r w:rsidRPr="390461CA">
        <w:rPr>
          <w:rFonts w:eastAsia="Times New Roman"/>
          <w:color w:val="000000" w:themeColor="text1"/>
          <w:u w:val="single"/>
        </w:rPr>
        <w:t>Nature biotechnology</w:t>
      </w:r>
      <w:r w:rsidRPr="390461CA">
        <w:rPr>
          <w:rFonts w:eastAsia="Times New Roman"/>
          <w:color w:val="000000" w:themeColor="text1"/>
        </w:rPr>
        <w:t xml:space="preserve"> </w:t>
      </w:r>
      <w:r w:rsidRPr="390461CA">
        <w:rPr>
          <w:rFonts w:eastAsia="Times New Roman"/>
          <w:b/>
          <w:bCs/>
          <w:color w:val="000000" w:themeColor="text1"/>
        </w:rPr>
        <w:t>31</w:t>
      </w:r>
      <w:r w:rsidRPr="390461CA">
        <w:rPr>
          <w:rFonts w:eastAsia="Times New Roman"/>
          <w:color w:val="000000" w:themeColor="text1"/>
        </w:rPr>
        <w:t>(9): 814-821.</w:t>
      </w:r>
    </w:p>
    <w:p w14:paraId="3DE39DB3" w14:textId="182FFDD8" w:rsidR="522EACD3" w:rsidRDefault="522EACD3" w:rsidP="522EACD3"/>
    <w:p w14:paraId="58EB7B66" w14:textId="3E4B60E7" w:rsidR="00AF15BF" w:rsidRPr="00CE0A4E" w:rsidRDefault="522EACD3" w:rsidP="00DD2E10">
      <w:r>
        <w:t xml:space="preserve">Liu, P., J. Ewald, J. H. Galvez, J. Head, D. Crump, G. Bourque, N. </w:t>
      </w:r>
      <w:proofErr w:type="spellStart"/>
      <w:proofErr w:type="gramStart"/>
      <w:r>
        <w:t>Basu</w:t>
      </w:r>
      <w:proofErr w:type="spellEnd"/>
      <w:proofErr w:type="gramEnd"/>
      <w:r>
        <w:t xml:space="preserve"> and J. Xia (2021). "Ultrafast functional profiling of RNA-seq data for </w:t>
      </w:r>
      <w:proofErr w:type="spellStart"/>
      <w:r>
        <w:t>nonmodel</w:t>
      </w:r>
      <w:proofErr w:type="spellEnd"/>
      <w:r>
        <w:t xml:space="preserve"> organisms." </w:t>
      </w:r>
      <w:r w:rsidRPr="522EACD3">
        <w:rPr>
          <w:i/>
          <w:iCs/>
        </w:rPr>
        <w:t>Genome research</w:t>
      </w:r>
      <w:r>
        <w:t xml:space="preserve"> 31(4): 713-720.</w:t>
      </w:r>
    </w:p>
    <w:p w14:paraId="5406B714" w14:textId="3AE2E5B3" w:rsidR="522EACD3" w:rsidRDefault="522EACD3" w:rsidP="522EACD3"/>
    <w:p w14:paraId="2CF2562C" w14:textId="28E1107D" w:rsidR="522EACD3" w:rsidRDefault="522EACD3" w:rsidP="522EACD3">
      <w:r>
        <w:t xml:space="preserve">Tu, W., Martinez, R., Navarro-Martin, L., </w:t>
      </w:r>
      <w:proofErr w:type="spellStart"/>
      <w:r>
        <w:t>Kostyniuk</w:t>
      </w:r>
      <w:proofErr w:type="spellEnd"/>
      <w:r>
        <w:t>, D. J., Hum, C., Huang, J.,</w:t>
      </w:r>
      <w:r w:rsidRPr="522EACD3">
        <w:rPr>
          <w:i/>
          <w:iCs/>
        </w:rPr>
        <w:t xml:space="preserve"> et al.</w:t>
      </w:r>
      <w:r>
        <w:t xml:space="preserve"> 2019. Bioconcentration and metabolic effects of emerging PFOS alternatives in developing zebrafish. </w:t>
      </w:r>
      <w:r w:rsidRPr="522EACD3">
        <w:rPr>
          <w:i/>
          <w:iCs/>
        </w:rPr>
        <w:t>Environmental Science and Technology</w:t>
      </w:r>
      <w:r>
        <w:t>, 53(22), 13427-13439.</w:t>
      </w:r>
    </w:p>
    <w:sectPr w:rsidR="522EACD3" w:rsidSect="00DD49B9">
      <w:footerReference w:type="default" r:id="rId13"/>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57788" w14:textId="77777777" w:rsidR="00FB2DE4" w:rsidRDefault="00FB2DE4" w:rsidP="00E4308B">
      <w:r>
        <w:separator/>
      </w:r>
    </w:p>
  </w:endnote>
  <w:endnote w:type="continuationSeparator" w:id="0">
    <w:p w14:paraId="37CE8A51" w14:textId="77777777" w:rsidR="00FB2DE4" w:rsidRDefault="00FB2DE4" w:rsidP="00E4308B">
      <w:r>
        <w:continuationSeparator/>
      </w:r>
    </w:p>
  </w:endnote>
  <w:endnote w:type="continuationNotice" w:id="1">
    <w:p w14:paraId="68F6A5B4" w14:textId="77777777" w:rsidR="00FB2DE4" w:rsidRDefault="00FB2D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4327873"/>
      <w:docPartObj>
        <w:docPartGallery w:val="Page Numbers (Bottom of Page)"/>
        <w:docPartUnique/>
      </w:docPartObj>
    </w:sdtPr>
    <w:sdtEndPr>
      <w:rPr>
        <w:rStyle w:val="PageNumber"/>
      </w:rPr>
    </w:sdtEndPr>
    <w:sdtContent>
      <w:p w14:paraId="327102A8" w14:textId="265CBC6A" w:rsidR="00DD49B9" w:rsidRDefault="00DD49B9" w:rsidP="00B37E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19AA5C5F" w14:textId="77777777" w:rsidR="00383B4D" w:rsidRDefault="00383B4D" w:rsidP="000A1A7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8FF2D" w14:textId="77777777" w:rsidR="00FB2DE4" w:rsidRDefault="00FB2DE4" w:rsidP="00E4308B">
      <w:r>
        <w:separator/>
      </w:r>
    </w:p>
  </w:footnote>
  <w:footnote w:type="continuationSeparator" w:id="0">
    <w:p w14:paraId="64469660" w14:textId="77777777" w:rsidR="00FB2DE4" w:rsidRDefault="00FB2DE4" w:rsidP="00E4308B">
      <w:r>
        <w:continuationSeparator/>
      </w:r>
    </w:p>
  </w:footnote>
  <w:footnote w:type="continuationNotice" w:id="1">
    <w:p w14:paraId="442F8CD9" w14:textId="77777777" w:rsidR="00FB2DE4" w:rsidRDefault="00FB2D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E63FF"/>
    <w:multiLevelType w:val="hybridMultilevel"/>
    <w:tmpl w:val="D8887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51EB4"/>
    <w:multiLevelType w:val="hybridMultilevel"/>
    <w:tmpl w:val="08621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E26CC6"/>
    <w:multiLevelType w:val="hybridMultilevel"/>
    <w:tmpl w:val="58423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F10C7"/>
    <w:multiLevelType w:val="hybridMultilevel"/>
    <w:tmpl w:val="9B1C2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F965B7"/>
    <w:multiLevelType w:val="hybridMultilevel"/>
    <w:tmpl w:val="EE283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0B09B2"/>
    <w:multiLevelType w:val="hybridMultilevel"/>
    <w:tmpl w:val="34E0E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EB71B1"/>
    <w:multiLevelType w:val="multilevel"/>
    <w:tmpl w:val="BAA4CAB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741485F"/>
    <w:multiLevelType w:val="hybridMultilevel"/>
    <w:tmpl w:val="42CA9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036DAC"/>
    <w:multiLevelType w:val="multilevel"/>
    <w:tmpl w:val="53462130"/>
    <w:lvl w:ilvl="0">
      <w:start w:val="4"/>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B0A6332"/>
    <w:multiLevelType w:val="hybridMultilevel"/>
    <w:tmpl w:val="72D0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A2374D"/>
    <w:multiLevelType w:val="hybridMultilevel"/>
    <w:tmpl w:val="76D09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9F0067"/>
    <w:multiLevelType w:val="hybridMultilevel"/>
    <w:tmpl w:val="4F003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074C5C"/>
    <w:multiLevelType w:val="hybridMultilevel"/>
    <w:tmpl w:val="4C4C6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6303CD"/>
    <w:multiLevelType w:val="hybridMultilevel"/>
    <w:tmpl w:val="17A69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9D4AFD"/>
    <w:multiLevelType w:val="hybridMultilevel"/>
    <w:tmpl w:val="05B67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ED1AC8"/>
    <w:multiLevelType w:val="hybridMultilevel"/>
    <w:tmpl w:val="1BAE6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CD6B90"/>
    <w:multiLevelType w:val="multilevel"/>
    <w:tmpl w:val="F830E66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56277063"/>
    <w:multiLevelType w:val="hybridMultilevel"/>
    <w:tmpl w:val="A6545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315296"/>
    <w:multiLevelType w:val="hybridMultilevel"/>
    <w:tmpl w:val="2BEEC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833A31"/>
    <w:multiLevelType w:val="hybridMultilevel"/>
    <w:tmpl w:val="4C1E8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E91245"/>
    <w:multiLevelType w:val="hybridMultilevel"/>
    <w:tmpl w:val="1F78B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5807CE"/>
    <w:multiLevelType w:val="hybridMultilevel"/>
    <w:tmpl w:val="2BDC1D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CB3247"/>
    <w:multiLevelType w:val="hybridMultilevel"/>
    <w:tmpl w:val="D7927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AB23C0"/>
    <w:multiLevelType w:val="multilevel"/>
    <w:tmpl w:val="74C2D4C6"/>
    <w:lvl w:ilvl="0">
      <w:start w:val="4"/>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7CF62CA6"/>
    <w:multiLevelType w:val="hybridMultilevel"/>
    <w:tmpl w:val="BB0E8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886097">
    <w:abstractNumId w:val="21"/>
  </w:num>
  <w:num w:numId="2" w16cid:durableId="222956212">
    <w:abstractNumId w:val="20"/>
  </w:num>
  <w:num w:numId="3" w16cid:durableId="1686127743">
    <w:abstractNumId w:val="16"/>
  </w:num>
  <w:num w:numId="4" w16cid:durableId="1799109186">
    <w:abstractNumId w:val="18"/>
  </w:num>
  <w:num w:numId="5" w16cid:durableId="1774469525">
    <w:abstractNumId w:val="11"/>
  </w:num>
  <w:num w:numId="6" w16cid:durableId="1200315404">
    <w:abstractNumId w:val="14"/>
  </w:num>
  <w:num w:numId="7" w16cid:durableId="1149322389">
    <w:abstractNumId w:val="5"/>
  </w:num>
  <w:num w:numId="8" w16cid:durableId="1940530153">
    <w:abstractNumId w:val="1"/>
  </w:num>
  <w:num w:numId="9" w16cid:durableId="616109158">
    <w:abstractNumId w:val="15"/>
  </w:num>
  <w:num w:numId="10" w16cid:durableId="501359048">
    <w:abstractNumId w:val="9"/>
  </w:num>
  <w:num w:numId="11" w16cid:durableId="1646277536">
    <w:abstractNumId w:val="19"/>
  </w:num>
  <w:num w:numId="12" w16cid:durableId="1684278171">
    <w:abstractNumId w:val="24"/>
  </w:num>
  <w:num w:numId="13" w16cid:durableId="494686173">
    <w:abstractNumId w:val="3"/>
  </w:num>
  <w:num w:numId="14" w16cid:durableId="192379525">
    <w:abstractNumId w:val="13"/>
  </w:num>
  <w:num w:numId="15" w16cid:durableId="1623730331">
    <w:abstractNumId w:val="10"/>
  </w:num>
  <w:num w:numId="16" w16cid:durableId="157624649">
    <w:abstractNumId w:val="22"/>
  </w:num>
  <w:num w:numId="17" w16cid:durableId="1878161257">
    <w:abstractNumId w:val="2"/>
  </w:num>
  <w:num w:numId="18" w16cid:durableId="716976385">
    <w:abstractNumId w:val="7"/>
  </w:num>
  <w:num w:numId="19" w16cid:durableId="2006931041">
    <w:abstractNumId w:val="4"/>
  </w:num>
  <w:num w:numId="20" w16cid:durableId="1929994740">
    <w:abstractNumId w:val="17"/>
  </w:num>
  <w:num w:numId="21" w16cid:durableId="636834339">
    <w:abstractNumId w:val="0"/>
  </w:num>
  <w:num w:numId="22" w16cid:durableId="1017346161">
    <w:abstractNumId w:val="12"/>
  </w:num>
  <w:num w:numId="23" w16cid:durableId="1478179378">
    <w:abstractNumId w:val="23"/>
  </w:num>
  <w:num w:numId="24" w16cid:durableId="1406953121">
    <w:abstractNumId w:val="8"/>
  </w:num>
  <w:num w:numId="25" w16cid:durableId="10848428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600"/>
    <w:rsid w:val="000003D1"/>
    <w:rsid w:val="0000163F"/>
    <w:rsid w:val="00002BEE"/>
    <w:rsid w:val="00002C03"/>
    <w:rsid w:val="000032A4"/>
    <w:rsid w:val="00006EF0"/>
    <w:rsid w:val="00007D7F"/>
    <w:rsid w:val="0001093A"/>
    <w:rsid w:val="00010BD2"/>
    <w:rsid w:val="0001146E"/>
    <w:rsid w:val="00012427"/>
    <w:rsid w:val="000125AE"/>
    <w:rsid w:val="00012848"/>
    <w:rsid w:val="00012DD5"/>
    <w:rsid w:val="00013F69"/>
    <w:rsid w:val="0001410C"/>
    <w:rsid w:val="00014E49"/>
    <w:rsid w:val="000175B7"/>
    <w:rsid w:val="0002210B"/>
    <w:rsid w:val="00022409"/>
    <w:rsid w:val="000237EF"/>
    <w:rsid w:val="00023D85"/>
    <w:rsid w:val="00024161"/>
    <w:rsid w:val="00025B76"/>
    <w:rsid w:val="0002635D"/>
    <w:rsid w:val="00026AEC"/>
    <w:rsid w:val="00031739"/>
    <w:rsid w:val="000320B6"/>
    <w:rsid w:val="0003222E"/>
    <w:rsid w:val="00032A17"/>
    <w:rsid w:val="00032B33"/>
    <w:rsid w:val="00033DCC"/>
    <w:rsid w:val="0003564A"/>
    <w:rsid w:val="00036759"/>
    <w:rsid w:val="00040167"/>
    <w:rsid w:val="0004164F"/>
    <w:rsid w:val="00042239"/>
    <w:rsid w:val="0004257F"/>
    <w:rsid w:val="00042CF4"/>
    <w:rsid w:val="0004376D"/>
    <w:rsid w:val="000437F4"/>
    <w:rsid w:val="0004602B"/>
    <w:rsid w:val="00050FEF"/>
    <w:rsid w:val="00051B32"/>
    <w:rsid w:val="00053792"/>
    <w:rsid w:val="00056BAE"/>
    <w:rsid w:val="00056F99"/>
    <w:rsid w:val="00057A99"/>
    <w:rsid w:val="00057D7F"/>
    <w:rsid w:val="00057F13"/>
    <w:rsid w:val="00060191"/>
    <w:rsid w:val="00061404"/>
    <w:rsid w:val="0006186A"/>
    <w:rsid w:val="00065477"/>
    <w:rsid w:val="00065B0E"/>
    <w:rsid w:val="00065C30"/>
    <w:rsid w:val="00065FD1"/>
    <w:rsid w:val="000661A3"/>
    <w:rsid w:val="00066B0A"/>
    <w:rsid w:val="00066B7D"/>
    <w:rsid w:val="00070860"/>
    <w:rsid w:val="000725FB"/>
    <w:rsid w:val="0007331C"/>
    <w:rsid w:val="00073DE0"/>
    <w:rsid w:val="0007745A"/>
    <w:rsid w:val="00082123"/>
    <w:rsid w:val="00082A40"/>
    <w:rsid w:val="000836D4"/>
    <w:rsid w:val="00083C91"/>
    <w:rsid w:val="000842EF"/>
    <w:rsid w:val="0008457B"/>
    <w:rsid w:val="00084CBA"/>
    <w:rsid w:val="00084EEA"/>
    <w:rsid w:val="0008793C"/>
    <w:rsid w:val="00090E58"/>
    <w:rsid w:val="00094419"/>
    <w:rsid w:val="000947FE"/>
    <w:rsid w:val="00094A3C"/>
    <w:rsid w:val="00094A66"/>
    <w:rsid w:val="0009768A"/>
    <w:rsid w:val="000A0C62"/>
    <w:rsid w:val="000A1468"/>
    <w:rsid w:val="000A17AA"/>
    <w:rsid w:val="000A1A7F"/>
    <w:rsid w:val="000A1EEF"/>
    <w:rsid w:val="000A4BE4"/>
    <w:rsid w:val="000A77E9"/>
    <w:rsid w:val="000B0369"/>
    <w:rsid w:val="000B0F50"/>
    <w:rsid w:val="000B20A6"/>
    <w:rsid w:val="000B221D"/>
    <w:rsid w:val="000B225C"/>
    <w:rsid w:val="000B2903"/>
    <w:rsid w:val="000B2E3D"/>
    <w:rsid w:val="000B3546"/>
    <w:rsid w:val="000B6955"/>
    <w:rsid w:val="000B69E2"/>
    <w:rsid w:val="000B6B14"/>
    <w:rsid w:val="000C1083"/>
    <w:rsid w:val="000C1C9A"/>
    <w:rsid w:val="000C5CDC"/>
    <w:rsid w:val="000C64FE"/>
    <w:rsid w:val="000C6E4E"/>
    <w:rsid w:val="000D392A"/>
    <w:rsid w:val="000D4C8E"/>
    <w:rsid w:val="000D51F1"/>
    <w:rsid w:val="000D5763"/>
    <w:rsid w:val="000D69C3"/>
    <w:rsid w:val="000D6E22"/>
    <w:rsid w:val="000D711D"/>
    <w:rsid w:val="000D76C2"/>
    <w:rsid w:val="000E03E3"/>
    <w:rsid w:val="000E3E65"/>
    <w:rsid w:val="000E73E0"/>
    <w:rsid w:val="000F1E03"/>
    <w:rsid w:val="000F4A45"/>
    <w:rsid w:val="000F5C57"/>
    <w:rsid w:val="000F6044"/>
    <w:rsid w:val="000F627B"/>
    <w:rsid w:val="000F728D"/>
    <w:rsid w:val="000F7971"/>
    <w:rsid w:val="00103D40"/>
    <w:rsid w:val="0010465E"/>
    <w:rsid w:val="00104F34"/>
    <w:rsid w:val="00104FB2"/>
    <w:rsid w:val="0010677B"/>
    <w:rsid w:val="00107949"/>
    <w:rsid w:val="00113429"/>
    <w:rsid w:val="0011357C"/>
    <w:rsid w:val="00113B87"/>
    <w:rsid w:val="00114D5A"/>
    <w:rsid w:val="001151BB"/>
    <w:rsid w:val="001172BC"/>
    <w:rsid w:val="00117624"/>
    <w:rsid w:val="001176FD"/>
    <w:rsid w:val="0012010D"/>
    <w:rsid w:val="0012163A"/>
    <w:rsid w:val="00121C81"/>
    <w:rsid w:val="00122F1F"/>
    <w:rsid w:val="001231F0"/>
    <w:rsid w:val="0012419B"/>
    <w:rsid w:val="0012455B"/>
    <w:rsid w:val="00124E5D"/>
    <w:rsid w:val="00125297"/>
    <w:rsid w:val="00125726"/>
    <w:rsid w:val="00125B14"/>
    <w:rsid w:val="00127BED"/>
    <w:rsid w:val="0013175E"/>
    <w:rsid w:val="00131A64"/>
    <w:rsid w:val="00135CD5"/>
    <w:rsid w:val="001418A7"/>
    <w:rsid w:val="0014461D"/>
    <w:rsid w:val="001446E6"/>
    <w:rsid w:val="00144F6E"/>
    <w:rsid w:val="0014598D"/>
    <w:rsid w:val="0014622B"/>
    <w:rsid w:val="0014718A"/>
    <w:rsid w:val="00150FC8"/>
    <w:rsid w:val="00152843"/>
    <w:rsid w:val="00152A6D"/>
    <w:rsid w:val="00152EA5"/>
    <w:rsid w:val="0015370B"/>
    <w:rsid w:val="00153985"/>
    <w:rsid w:val="00154F9D"/>
    <w:rsid w:val="001550AC"/>
    <w:rsid w:val="00155750"/>
    <w:rsid w:val="00155D61"/>
    <w:rsid w:val="00156E06"/>
    <w:rsid w:val="001576DE"/>
    <w:rsid w:val="0016208F"/>
    <w:rsid w:val="001620CD"/>
    <w:rsid w:val="0016251F"/>
    <w:rsid w:val="00164736"/>
    <w:rsid w:val="00164DB6"/>
    <w:rsid w:val="00165317"/>
    <w:rsid w:val="00165D86"/>
    <w:rsid w:val="00166786"/>
    <w:rsid w:val="001669DC"/>
    <w:rsid w:val="001706BE"/>
    <w:rsid w:val="0017505C"/>
    <w:rsid w:val="00175260"/>
    <w:rsid w:val="0017572B"/>
    <w:rsid w:val="00176DD0"/>
    <w:rsid w:val="00176F35"/>
    <w:rsid w:val="00180215"/>
    <w:rsid w:val="001815E4"/>
    <w:rsid w:val="001826D3"/>
    <w:rsid w:val="00182825"/>
    <w:rsid w:val="001850C8"/>
    <w:rsid w:val="001877EC"/>
    <w:rsid w:val="00190460"/>
    <w:rsid w:val="001915D3"/>
    <w:rsid w:val="00192E43"/>
    <w:rsid w:val="00192FE5"/>
    <w:rsid w:val="001932BD"/>
    <w:rsid w:val="001943F6"/>
    <w:rsid w:val="00196BA9"/>
    <w:rsid w:val="001A08E7"/>
    <w:rsid w:val="001A1715"/>
    <w:rsid w:val="001A179B"/>
    <w:rsid w:val="001A25C5"/>
    <w:rsid w:val="001A2B0B"/>
    <w:rsid w:val="001A443E"/>
    <w:rsid w:val="001A4DFC"/>
    <w:rsid w:val="001A628C"/>
    <w:rsid w:val="001A72CE"/>
    <w:rsid w:val="001A7AC3"/>
    <w:rsid w:val="001B2FF3"/>
    <w:rsid w:val="001B3367"/>
    <w:rsid w:val="001B4A5D"/>
    <w:rsid w:val="001B51FE"/>
    <w:rsid w:val="001B66E0"/>
    <w:rsid w:val="001C139F"/>
    <w:rsid w:val="001C3DF9"/>
    <w:rsid w:val="001C4924"/>
    <w:rsid w:val="001D05D4"/>
    <w:rsid w:val="001D0BCB"/>
    <w:rsid w:val="001D22EA"/>
    <w:rsid w:val="001D477C"/>
    <w:rsid w:val="001D496D"/>
    <w:rsid w:val="001D5B40"/>
    <w:rsid w:val="001D5C87"/>
    <w:rsid w:val="001D7531"/>
    <w:rsid w:val="001E1E13"/>
    <w:rsid w:val="001E21C9"/>
    <w:rsid w:val="001E26F7"/>
    <w:rsid w:val="001E2769"/>
    <w:rsid w:val="001E3679"/>
    <w:rsid w:val="001E43A8"/>
    <w:rsid w:val="001E5776"/>
    <w:rsid w:val="001E5E42"/>
    <w:rsid w:val="001E7653"/>
    <w:rsid w:val="001F099B"/>
    <w:rsid w:val="001F2E70"/>
    <w:rsid w:val="001F6159"/>
    <w:rsid w:val="001F751D"/>
    <w:rsid w:val="00200201"/>
    <w:rsid w:val="0020061A"/>
    <w:rsid w:val="00202350"/>
    <w:rsid w:val="002032E7"/>
    <w:rsid w:val="00205684"/>
    <w:rsid w:val="0020600D"/>
    <w:rsid w:val="00206B79"/>
    <w:rsid w:val="002075C4"/>
    <w:rsid w:val="00207675"/>
    <w:rsid w:val="002106E1"/>
    <w:rsid w:val="0021096E"/>
    <w:rsid w:val="002115C4"/>
    <w:rsid w:val="00211817"/>
    <w:rsid w:val="00211903"/>
    <w:rsid w:val="00213BD4"/>
    <w:rsid w:val="00215CE1"/>
    <w:rsid w:val="0021630B"/>
    <w:rsid w:val="00220EDA"/>
    <w:rsid w:val="002218DE"/>
    <w:rsid w:val="002228A1"/>
    <w:rsid w:val="002239B3"/>
    <w:rsid w:val="00224159"/>
    <w:rsid w:val="00227E1F"/>
    <w:rsid w:val="002313A0"/>
    <w:rsid w:val="0023244C"/>
    <w:rsid w:val="002369ED"/>
    <w:rsid w:val="002371A3"/>
    <w:rsid w:val="00241E74"/>
    <w:rsid w:val="00241ED1"/>
    <w:rsid w:val="00242BA2"/>
    <w:rsid w:val="0024398F"/>
    <w:rsid w:val="002441F2"/>
    <w:rsid w:val="002443D3"/>
    <w:rsid w:val="002444CC"/>
    <w:rsid w:val="00245CF0"/>
    <w:rsid w:val="00250586"/>
    <w:rsid w:val="00250E7E"/>
    <w:rsid w:val="00252039"/>
    <w:rsid w:val="0025291F"/>
    <w:rsid w:val="00252BBB"/>
    <w:rsid w:val="002551E0"/>
    <w:rsid w:val="00257663"/>
    <w:rsid w:val="00257DAA"/>
    <w:rsid w:val="00261763"/>
    <w:rsid w:val="002638B8"/>
    <w:rsid w:val="00263DC2"/>
    <w:rsid w:val="002640D8"/>
    <w:rsid w:val="00265C0D"/>
    <w:rsid w:val="00266E2B"/>
    <w:rsid w:val="00267676"/>
    <w:rsid w:val="00270CD8"/>
    <w:rsid w:val="00270F96"/>
    <w:rsid w:val="00273383"/>
    <w:rsid w:val="00273C4C"/>
    <w:rsid w:val="00273E6C"/>
    <w:rsid w:val="002751FB"/>
    <w:rsid w:val="00280AA1"/>
    <w:rsid w:val="002833E1"/>
    <w:rsid w:val="00284EAF"/>
    <w:rsid w:val="00286E72"/>
    <w:rsid w:val="00287EC1"/>
    <w:rsid w:val="00290E81"/>
    <w:rsid w:val="00292754"/>
    <w:rsid w:val="00294113"/>
    <w:rsid w:val="002946E4"/>
    <w:rsid w:val="002974ED"/>
    <w:rsid w:val="002977CC"/>
    <w:rsid w:val="00297A22"/>
    <w:rsid w:val="00297DAF"/>
    <w:rsid w:val="002A05D6"/>
    <w:rsid w:val="002A2B03"/>
    <w:rsid w:val="002A2D9D"/>
    <w:rsid w:val="002A4A8C"/>
    <w:rsid w:val="002A537C"/>
    <w:rsid w:val="002A5BD3"/>
    <w:rsid w:val="002A66CB"/>
    <w:rsid w:val="002B0385"/>
    <w:rsid w:val="002B37AF"/>
    <w:rsid w:val="002B47C7"/>
    <w:rsid w:val="002B4886"/>
    <w:rsid w:val="002B4ACB"/>
    <w:rsid w:val="002B64B3"/>
    <w:rsid w:val="002B69CF"/>
    <w:rsid w:val="002B6A97"/>
    <w:rsid w:val="002B7AD0"/>
    <w:rsid w:val="002C0372"/>
    <w:rsid w:val="002C4C78"/>
    <w:rsid w:val="002C5A7A"/>
    <w:rsid w:val="002C6654"/>
    <w:rsid w:val="002D06B8"/>
    <w:rsid w:val="002D0B70"/>
    <w:rsid w:val="002D1652"/>
    <w:rsid w:val="002D25D2"/>
    <w:rsid w:val="002D32BD"/>
    <w:rsid w:val="002D3C6E"/>
    <w:rsid w:val="002D4185"/>
    <w:rsid w:val="002D4479"/>
    <w:rsid w:val="002D7204"/>
    <w:rsid w:val="002E021C"/>
    <w:rsid w:val="002E03B8"/>
    <w:rsid w:val="002E0EB2"/>
    <w:rsid w:val="002E111A"/>
    <w:rsid w:val="002E42F5"/>
    <w:rsid w:val="002E4829"/>
    <w:rsid w:val="002E4D86"/>
    <w:rsid w:val="002E7481"/>
    <w:rsid w:val="002F0725"/>
    <w:rsid w:val="002F0CA8"/>
    <w:rsid w:val="002F2548"/>
    <w:rsid w:val="002F2C20"/>
    <w:rsid w:val="002F340C"/>
    <w:rsid w:val="002F3D98"/>
    <w:rsid w:val="002F52AE"/>
    <w:rsid w:val="002F5B9B"/>
    <w:rsid w:val="002F6592"/>
    <w:rsid w:val="00302483"/>
    <w:rsid w:val="00302EA5"/>
    <w:rsid w:val="0030306C"/>
    <w:rsid w:val="00304014"/>
    <w:rsid w:val="00305CC9"/>
    <w:rsid w:val="0030699D"/>
    <w:rsid w:val="00306D9A"/>
    <w:rsid w:val="00314AFD"/>
    <w:rsid w:val="00314FA3"/>
    <w:rsid w:val="00316228"/>
    <w:rsid w:val="003165CA"/>
    <w:rsid w:val="00316CEC"/>
    <w:rsid w:val="00317192"/>
    <w:rsid w:val="00317B04"/>
    <w:rsid w:val="00317F45"/>
    <w:rsid w:val="00320314"/>
    <w:rsid w:val="00320323"/>
    <w:rsid w:val="003215B6"/>
    <w:rsid w:val="00321E1B"/>
    <w:rsid w:val="00323B86"/>
    <w:rsid w:val="00330656"/>
    <w:rsid w:val="00331C31"/>
    <w:rsid w:val="00331DF3"/>
    <w:rsid w:val="00331E51"/>
    <w:rsid w:val="003353A5"/>
    <w:rsid w:val="003363F6"/>
    <w:rsid w:val="00337186"/>
    <w:rsid w:val="0033731F"/>
    <w:rsid w:val="003402C8"/>
    <w:rsid w:val="00340364"/>
    <w:rsid w:val="00340724"/>
    <w:rsid w:val="00343445"/>
    <w:rsid w:val="00344630"/>
    <w:rsid w:val="00345AB4"/>
    <w:rsid w:val="00345C1D"/>
    <w:rsid w:val="0035055E"/>
    <w:rsid w:val="00350DCA"/>
    <w:rsid w:val="00354379"/>
    <w:rsid w:val="003555C5"/>
    <w:rsid w:val="00356834"/>
    <w:rsid w:val="003569AB"/>
    <w:rsid w:val="003603DB"/>
    <w:rsid w:val="00360A86"/>
    <w:rsid w:val="003613A9"/>
    <w:rsid w:val="00364ADA"/>
    <w:rsid w:val="003652F5"/>
    <w:rsid w:val="00366BFB"/>
    <w:rsid w:val="00377D08"/>
    <w:rsid w:val="00377D35"/>
    <w:rsid w:val="00381821"/>
    <w:rsid w:val="00383B4D"/>
    <w:rsid w:val="00384CB0"/>
    <w:rsid w:val="003875AA"/>
    <w:rsid w:val="00390DE2"/>
    <w:rsid w:val="0039301D"/>
    <w:rsid w:val="00393A92"/>
    <w:rsid w:val="00394CBB"/>
    <w:rsid w:val="003956C9"/>
    <w:rsid w:val="003959BD"/>
    <w:rsid w:val="003963D3"/>
    <w:rsid w:val="0039730A"/>
    <w:rsid w:val="003A0751"/>
    <w:rsid w:val="003A0A39"/>
    <w:rsid w:val="003A21A3"/>
    <w:rsid w:val="003A2F88"/>
    <w:rsid w:val="003A65DC"/>
    <w:rsid w:val="003A6AA9"/>
    <w:rsid w:val="003A720C"/>
    <w:rsid w:val="003B5582"/>
    <w:rsid w:val="003B6046"/>
    <w:rsid w:val="003C2AF1"/>
    <w:rsid w:val="003C39DC"/>
    <w:rsid w:val="003C7928"/>
    <w:rsid w:val="003C7E4D"/>
    <w:rsid w:val="003D13B8"/>
    <w:rsid w:val="003D17AF"/>
    <w:rsid w:val="003D2792"/>
    <w:rsid w:val="003D2F9D"/>
    <w:rsid w:val="003D7510"/>
    <w:rsid w:val="003E00B8"/>
    <w:rsid w:val="003E2557"/>
    <w:rsid w:val="003E2A59"/>
    <w:rsid w:val="003E4B70"/>
    <w:rsid w:val="003E71D2"/>
    <w:rsid w:val="003F0C6E"/>
    <w:rsid w:val="003F18CF"/>
    <w:rsid w:val="003F3FFD"/>
    <w:rsid w:val="003F47B7"/>
    <w:rsid w:val="003F5124"/>
    <w:rsid w:val="003F57D5"/>
    <w:rsid w:val="003F5EBD"/>
    <w:rsid w:val="003F6955"/>
    <w:rsid w:val="003F69DB"/>
    <w:rsid w:val="003F730F"/>
    <w:rsid w:val="003F7765"/>
    <w:rsid w:val="003F7B13"/>
    <w:rsid w:val="00400257"/>
    <w:rsid w:val="004003A5"/>
    <w:rsid w:val="0040101D"/>
    <w:rsid w:val="0040372B"/>
    <w:rsid w:val="00404E34"/>
    <w:rsid w:val="0040516F"/>
    <w:rsid w:val="004061F8"/>
    <w:rsid w:val="0040703E"/>
    <w:rsid w:val="0041062F"/>
    <w:rsid w:val="004115EB"/>
    <w:rsid w:val="004123D0"/>
    <w:rsid w:val="004135E9"/>
    <w:rsid w:val="00413C46"/>
    <w:rsid w:val="0041599E"/>
    <w:rsid w:val="00415CB4"/>
    <w:rsid w:val="004160D9"/>
    <w:rsid w:val="0041649C"/>
    <w:rsid w:val="00417684"/>
    <w:rsid w:val="004214D3"/>
    <w:rsid w:val="00421508"/>
    <w:rsid w:val="00421A09"/>
    <w:rsid w:val="004220ED"/>
    <w:rsid w:val="0042258C"/>
    <w:rsid w:val="00423F9C"/>
    <w:rsid w:val="004250B5"/>
    <w:rsid w:val="004263A8"/>
    <w:rsid w:val="00426D50"/>
    <w:rsid w:val="004308D8"/>
    <w:rsid w:val="004340ED"/>
    <w:rsid w:val="004358FE"/>
    <w:rsid w:val="00435BE9"/>
    <w:rsid w:val="0043748B"/>
    <w:rsid w:val="004377FE"/>
    <w:rsid w:val="00437DDC"/>
    <w:rsid w:val="0044095A"/>
    <w:rsid w:val="00440E70"/>
    <w:rsid w:val="0044290E"/>
    <w:rsid w:val="00445314"/>
    <w:rsid w:val="004462C7"/>
    <w:rsid w:val="0045056E"/>
    <w:rsid w:val="00452284"/>
    <w:rsid w:val="00455030"/>
    <w:rsid w:val="004552E4"/>
    <w:rsid w:val="00456625"/>
    <w:rsid w:val="00460129"/>
    <w:rsid w:val="00461750"/>
    <w:rsid w:val="00461C76"/>
    <w:rsid w:val="00462834"/>
    <w:rsid w:val="00466B84"/>
    <w:rsid w:val="00466D48"/>
    <w:rsid w:val="00470DAE"/>
    <w:rsid w:val="00471008"/>
    <w:rsid w:val="0047175D"/>
    <w:rsid w:val="004717CB"/>
    <w:rsid w:val="004725F2"/>
    <w:rsid w:val="004735A6"/>
    <w:rsid w:val="0047569A"/>
    <w:rsid w:val="00477731"/>
    <w:rsid w:val="00482112"/>
    <w:rsid w:val="004846BE"/>
    <w:rsid w:val="00485D14"/>
    <w:rsid w:val="00485D16"/>
    <w:rsid w:val="004861B8"/>
    <w:rsid w:val="00486B33"/>
    <w:rsid w:val="00490C22"/>
    <w:rsid w:val="0049124D"/>
    <w:rsid w:val="004921B0"/>
    <w:rsid w:val="004944C7"/>
    <w:rsid w:val="00495E68"/>
    <w:rsid w:val="004A083E"/>
    <w:rsid w:val="004A1961"/>
    <w:rsid w:val="004A2471"/>
    <w:rsid w:val="004A3B1B"/>
    <w:rsid w:val="004A3F8C"/>
    <w:rsid w:val="004A47A4"/>
    <w:rsid w:val="004A5A47"/>
    <w:rsid w:val="004B00F6"/>
    <w:rsid w:val="004B089D"/>
    <w:rsid w:val="004B0E8F"/>
    <w:rsid w:val="004B0EAC"/>
    <w:rsid w:val="004B2104"/>
    <w:rsid w:val="004B56CD"/>
    <w:rsid w:val="004B780F"/>
    <w:rsid w:val="004B788F"/>
    <w:rsid w:val="004C010F"/>
    <w:rsid w:val="004C2A1A"/>
    <w:rsid w:val="004C31C4"/>
    <w:rsid w:val="004C3A4D"/>
    <w:rsid w:val="004C3F7F"/>
    <w:rsid w:val="004C4503"/>
    <w:rsid w:val="004C57DD"/>
    <w:rsid w:val="004C5D1A"/>
    <w:rsid w:val="004C6578"/>
    <w:rsid w:val="004D0220"/>
    <w:rsid w:val="004D11B7"/>
    <w:rsid w:val="004D1BEE"/>
    <w:rsid w:val="004D4347"/>
    <w:rsid w:val="004D4A52"/>
    <w:rsid w:val="004E0041"/>
    <w:rsid w:val="004E07C3"/>
    <w:rsid w:val="004E195F"/>
    <w:rsid w:val="004E1C4D"/>
    <w:rsid w:val="004E3202"/>
    <w:rsid w:val="004E41C9"/>
    <w:rsid w:val="004E46B3"/>
    <w:rsid w:val="004E5497"/>
    <w:rsid w:val="004E5551"/>
    <w:rsid w:val="004E7C9C"/>
    <w:rsid w:val="004F0AA5"/>
    <w:rsid w:val="004F241C"/>
    <w:rsid w:val="004F4CBF"/>
    <w:rsid w:val="004F5834"/>
    <w:rsid w:val="004F6993"/>
    <w:rsid w:val="004F7E0A"/>
    <w:rsid w:val="00502C20"/>
    <w:rsid w:val="005075C6"/>
    <w:rsid w:val="005078F2"/>
    <w:rsid w:val="005115AB"/>
    <w:rsid w:val="00511809"/>
    <w:rsid w:val="00511E9D"/>
    <w:rsid w:val="005137A3"/>
    <w:rsid w:val="00513C73"/>
    <w:rsid w:val="00513F32"/>
    <w:rsid w:val="0051423E"/>
    <w:rsid w:val="005149D2"/>
    <w:rsid w:val="00520635"/>
    <w:rsid w:val="005212C3"/>
    <w:rsid w:val="00522408"/>
    <w:rsid w:val="005240FB"/>
    <w:rsid w:val="00524E38"/>
    <w:rsid w:val="00526AD9"/>
    <w:rsid w:val="00540428"/>
    <w:rsid w:val="0054098A"/>
    <w:rsid w:val="00541E1B"/>
    <w:rsid w:val="005420E5"/>
    <w:rsid w:val="00546712"/>
    <w:rsid w:val="00546D45"/>
    <w:rsid w:val="00547C28"/>
    <w:rsid w:val="00553888"/>
    <w:rsid w:val="005579BE"/>
    <w:rsid w:val="0056087A"/>
    <w:rsid w:val="00564483"/>
    <w:rsid w:val="00565598"/>
    <w:rsid w:val="005655E6"/>
    <w:rsid w:val="00565AE2"/>
    <w:rsid w:val="00566894"/>
    <w:rsid w:val="00566A83"/>
    <w:rsid w:val="00566E90"/>
    <w:rsid w:val="00571063"/>
    <w:rsid w:val="005716FD"/>
    <w:rsid w:val="0057341B"/>
    <w:rsid w:val="0057473E"/>
    <w:rsid w:val="00576089"/>
    <w:rsid w:val="00580310"/>
    <w:rsid w:val="00584C8E"/>
    <w:rsid w:val="005863A6"/>
    <w:rsid w:val="00594D86"/>
    <w:rsid w:val="00595D1D"/>
    <w:rsid w:val="00596BC2"/>
    <w:rsid w:val="0059703C"/>
    <w:rsid w:val="005974B6"/>
    <w:rsid w:val="005A0227"/>
    <w:rsid w:val="005A05FE"/>
    <w:rsid w:val="005A099D"/>
    <w:rsid w:val="005A0F31"/>
    <w:rsid w:val="005A1D9F"/>
    <w:rsid w:val="005A2812"/>
    <w:rsid w:val="005A2DA5"/>
    <w:rsid w:val="005A4575"/>
    <w:rsid w:val="005B0433"/>
    <w:rsid w:val="005B45D7"/>
    <w:rsid w:val="005B650F"/>
    <w:rsid w:val="005B7160"/>
    <w:rsid w:val="005C0B4C"/>
    <w:rsid w:val="005C123B"/>
    <w:rsid w:val="005C4055"/>
    <w:rsid w:val="005C489E"/>
    <w:rsid w:val="005C6DEF"/>
    <w:rsid w:val="005C7002"/>
    <w:rsid w:val="005D0FAE"/>
    <w:rsid w:val="005D20E7"/>
    <w:rsid w:val="005D2857"/>
    <w:rsid w:val="005D2E07"/>
    <w:rsid w:val="005D46BE"/>
    <w:rsid w:val="005D554D"/>
    <w:rsid w:val="005D5940"/>
    <w:rsid w:val="005D6C53"/>
    <w:rsid w:val="005D78B6"/>
    <w:rsid w:val="005D7AA5"/>
    <w:rsid w:val="005D7D50"/>
    <w:rsid w:val="005E1508"/>
    <w:rsid w:val="005E608B"/>
    <w:rsid w:val="005E6EBD"/>
    <w:rsid w:val="005E702E"/>
    <w:rsid w:val="005E7E04"/>
    <w:rsid w:val="005F0395"/>
    <w:rsid w:val="005F0A84"/>
    <w:rsid w:val="005F1E95"/>
    <w:rsid w:val="005F20AA"/>
    <w:rsid w:val="005F296D"/>
    <w:rsid w:val="005F2C98"/>
    <w:rsid w:val="005F4243"/>
    <w:rsid w:val="005F58B1"/>
    <w:rsid w:val="005F5BAD"/>
    <w:rsid w:val="005F6A40"/>
    <w:rsid w:val="005FC78B"/>
    <w:rsid w:val="00600F7A"/>
    <w:rsid w:val="0060179E"/>
    <w:rsid w:val="00602075"/>
    <w:rsid w:val="00602E5D"/>
    <w:rsid w:val="006062D4"/>
    <w:rsid w:val="00606403"/>
    <w:rsid w:val="0060757E"/>
    <w:rsid w:val="006076DD"/>
    <w:rsid w:val="00614605"/>
    <w:rsid w:val="006214D0"/>
    <w:rsid w:val="00621D35"/>
    <w:rsid w:val="006247BE"/>
    <w:rsid w:val="0063068E"/>
    <w:rsid w:val="006313A6"/>
    <w:rsid w:val="00633DE0"/>
    <w:rsid w:val="006345F0"/>
    <w:rsid w:val="0063555B"/>
    <w:rsid w:val="006368CE"/>
    <w:rsid w:val="00637640"/>
    <w:rsid w:val="00637CBD"/>
    <w:rsid w:val="00641FBE"/>
    <w:rsid w:val="00642CE2"/>
    <w:rsid w:val="00642FAA"/>
    <w:rsid w:val="0064396C"/>
    <w:rsid w:val="006451CA"/>
    <w:rsid w:val="00645FC0"/>
    <w:rsid w:val="00651415"/>
    <w:rsid w:val="00651EEF"/>
    <w:rsid w:val="00652FBA"/>
    <w:rsid w:val="006532E7"/>
    <w:rsid w:val="006550AD"/>
    <w:rsid w:val="00655D48"/>
    <w:rsid w:val="00655EBD"/>
    <w:rsid w:val="00660429"/>
    <w:rsid w:val="00661929"/>
    <w:rsid w:val="00661C47"/>
    <w:rsid w:val="0066259C"/>
    <w:rsid w:val="006631CF"/>
    <w:rsid w:val="00663754"/>
    <w:rsid w:val="006647B7"/>
    <w:rsid w:val="00664970"/>
    <w:rsid w:val="00666E7A"/>
    <w:rsid w:val="00671907"/>
    <w:rsid w:val="006721EB"/>
    <w:rsid w:val="00672284"/>
    <w:rsid w:val="0067426E"/>
    <w:rsid w:val="00674CF2"/>
    <w:rsid w:val="00674F5F"/>
    <w:rsid w:val="00675BF5"/>
    <w:rsid w:val="00675C5B"/>
    <w:rsid w:val="00675C9E"/>
    <w:rsid w:val="006768CF"/>
    <w:rsid w:val="00676CFB"/>
    <w:rsid w:val="006770DA"/>
    <w:rsid w:val="00677974"/>
    <w:rsid w:val="00677F43"/>
    <w:rsid w:val="006834C8"/>
    <w:rsid w:val="00684DA3"/>
    <w:rsid w:val="00685749"/>
    <w:rsid w:val="00685D71"/>
    <w:rsid w:val="00686533"/>
    <w:rsid w:val="00686EAD"/>
    <w:rsid w:val="00690F15"/>
    <w:rsid w:val="00692E71"/>
    <w:rsid w:val="006931E6"/>
    <w:rsid w:val="00693DC6"/>
    <w:rsid w:val="006953AD"/>
    <w:rsid w:val="006954DF"/>
    <w:rsid w:val="0069648A"/>
    <w:rsid w:val="00696ABB"/>
    <w:rsid w:val="006A07FA"/>
    <w:rsid w:val="006A13F0"/>
    <w:rsid w:val="006A2066"/>
    <w:rsid w:val="006A2C49"/>
    <w:rsid w:val="006A3E71"/>
    <w:rsid w:val="006A6726"/>
    <w:rsid w:val="006A69F3"/>
    <w:rsid w:val="006A74F0"/>
    <w:rsid w:val="006B24A0"/>
    <w:rsid w:val="006B6710"/>
    <w:rsid w:val="006C0D83"/>
    <w:rsid w:val="006C14B4"/>
    <w:rsid w:val="006C1633"/>
    <w:rsid w:val="006C30ED"/>
    <w:rsid w:val="006C4F7A"/>
    <w:rsid w:val="006D1C3C"/>
    <w:rsid w:val="006D26F6"/>
    <w:rsid w:val="006D282E"/>
    <w:rsid w:val="006D3593"/>
    <w:rsid w:val="006D43E4"/>
    <w:rsid w:val="006D5631"/>
    <w:rsid w:val="006D5FDD"/>
    <w:rsid w:val="006D699F"/>
    <w:rsid w:val="006D6D07"/>
    <w:rsid w:val="006D747C"/>
    <w:rsid w:val="006E2264"/>
    <w:rsid w:val="006E2E7B"/>
    <w:rsid w:val="006E313A"/>
    <w:rsid w:val="006E3BB4"/>
    <w:rsid w:val="006E4183"/>
    <w:rsid w:val="006E5450"/>
    <w:rsid w:val="006E550E"/>
    <w:rsid w:val="006E609A"/>
    <w:rsid w:val="006E6C77"/>
    <w:rsid w:val="006E7FB3"/>
    <w:rsid w:val="006F105D"/>
    <w:rsid w:val="006F1605"/>
    <w:rsid w:val="006F27E8"/>
    <w:rsid w:val="006F2A53"/>
    <w:rsid w:val="006F784A"/>
    <w:rsid w:val="006F7FDC"/>
    <w:rsid w:val="007027B7"/>
    <w:rsid w:val="00702BCA"/>
    <w:rsid w:val="00703A31"/>
    <w:rsid w:val="00704BCE"/>
    <w:rsid w:val="007051C3"/>
    <w:rsid w:val="00705401"/>
    <w:rsid w:val="00706F25"/>
    <w:rsid w:val="007102FA"/>
    <w:rsid w:val="00711107"/>
    <w:rsid w:val="007122D0"/>
    <w:rsid w:val="00712590"/>
    <w:rsid w:val="00712751"/>
    <w:rsid w:val="007143E8"/>
    <w:rsid w:val="00714FC1"/>
    <w:rsid w:val="0071570A"/>
    <w:rsid w:val="00715DB1"/>
    <w:rsid w:val="007164B2"/>
    <w:rsid w:val="007166C9"/>
    <w:rsid w:val="00717453"/>
    <w:rsid w:val="00717891"/>
    <w:rsid w:val="00723DF1"/>
    <w:rsid w:val="00727852"/>
    <w:rsid w:val="00727C9D"/>
    <w:rsid w:val="00731576"/>
    <w:rsid w:val="007338C3"/>
    <w:rsid w:val="00734014"/>
    <w:rsid w:val="00736135"/>
    <w:rsid w:val="00737E7F"/>
    <w:rsid w:val="00745355"/>
    <w:rsid w:val="007468EF"/>
    <w:rsid w:val="0074732B"/>
    <w:rsid w:val="0074738B"/>
    <w:rsid w:val="00747A93"/>
    <w:rsid w:val="00750BE1"/>
    <w:rsid w:val="00750D5B"/>
    <w:rsid w:val="0075146B"/>
    <w:rsid w:val="00752D36"/>
    <w:rsid w:val="007541C7"/>
    <w:rsid w:val="00755BCC"/>
    <w:rsid w:val="00755CA5"/>
    <w:rsid w:val="00757595"/>
    <w:rsid w:val="00757B6A"/>
    <w:rsid w:val="00760D70"/>
    <w:rsid w:val="00761079"/>
    <w:rsid w:val="0076125D"/>
    <w:rsid w:val="0076137B"/>
    <w:rsid w:val="00761FBE"/>
    <w:rsid w:val="007622C8"/>
    <w:rsid w:val="00762466"/>
    <w:rsid w:val="00767F94"/>
    <w:rsid w:val="00770472"/>
    <w:rsid w:val="00770BDE"/>
    <w:rsid w:val="00772E97"/>
    <w:rsid w:val="00773802"/>
    <w:rsid w:val="007740F3"/>
    <w:rsid w:val="00780108"/>
    <w:rsid w:val="007815EF"/>
    <w:rsid w:val="00781D46"/>
    <w:rsid w:val="0078213C"/>
    <w:rsid w:val="0078270B"/>
    <w:rsid w:val="00783123"/>
    <w:rsid w:val="007834FA"/>
    <w:rsid w:val="00783C3D"/>
    <w:rsid w:val="00784C99"/>
    <w:rsid w:val="00787833"/>
    <w:rsid w:val="0079250B"/>
    <w:rsid w:val="00792970"/>
    <w:rsid w:val="0079634A"/>
    <w:rsid w:val="007A1B71"/>
    <w:rsid w:val="007A3816"/>
    <w:rsid w:val="007A4512"/>
    <w:rsid w:val="007A4614"/>
    <w:rsid w:val="007A76EE"/>
    <w:rsid w:val="007B0B58"/>
    <w:rsid w:val="007B0FB3"/>
    <w:rsid w:val="007B42CA"/>
    <w:rsid w:val="007B50EA"/>
    <w:rsid w:val="007B63DA"/>
    <w:rsid w:val="007B67EB"/>
    <w:rsid w:val="007B68E7"/>
    <w:rsid w:val="007B7743"/>
    <w:rsid w:val="007C058F"/>
    <w:rsid w:val="007C227A"/>
    <w:rsid w:val="007C2FBB"/>
    <w:rsid w:val="007C39DD"/>
    <w:rsid w:val="007C3D47"/>
    <w:rsid w:val="007C63D5"/>
    <w:rsid w:val="007C6B0E"/>
    <w:rsid w:val="007C7119"/>
    <w:rsid w:val="007D169A"/>
    <w:rsid w:val="007D2691"/>
    <w:rsid w:val="007D3A72"/>
    <w:rsid w:val="007D40C3"/>
    <w:rsid w:val="007D498C"/>
    <w:rsid w:val="007D4A0A"/>
    <w:rsid w:val="007D4BC3"/>
    <w:rsid w:val="007D54FA"/>
    <w:rsid w:val="007D7867"/>
    <w:rsid w:val="007E0C17"/>
    <w:rsid w:val="007E3547"/>
    <w:rsid w:val="007E3C62"/>
    <w:rsid w:val="007E7B4D"/>
    <w:rsid w:val="007F0D9B"/>
    <w:rsid w:val="007F11C3"/>
    <w:rsid w:val="007F1527"/>
    <w:rsid w:val="007F524A"/>
    <w:rsid w:val="007F5937"/>
    <w:rsid w:val="007F60CB"/>
    <w:rsid w:val="007F6752"/>
    <w:rsid w:val="007F760D"/>
    <w:rsid w:val="00800460"/>
    <w:rsid w:val="00802087"/>
    <w:rsid w:val="00802C5E"/>
    <w:rsid w:val="00802FE0"/>
    <w:rsid w:val="00803399"/>
    <w:rsid w:val="00804429"/>
    <w:rsid w:val="00804A4D"/>
    <w:rsid w:val="00804C76"/>
    <w:rsid w:val="00806B31"/>
    <w:rsid w:val="00806DD3"/>
    <w:rsid w:val="00806E3B"/>
    <w:rsid w:val="008073DB"/>
    <w:rsid w:val="00807FC2"/>
    <w:rsid w:val="00810B0F"/>
    <w:rsid w:val="00811404"/>
    <w:rsid w:val="00811655"/>
    <w:rsid w:val="00812D5F"/>
    <w:rsid w:val="0081408E"/>
    <w:rsid w:val="008147A0"/>
    <w:rsid w:val="008171E1"/>
    <w:rsid w:val="0082083A"/>
    <w:rsid w:val="0082155E"/>
    <w:rsid w:val="008240C2"/>
    <w:rsid w:val="008245EB"/>
    <w:rsid w:val="00831801"/>
    <w:rsid w:val="00831BEA"/>
    <w:rsid w:val="00832310"/>
    <w:rsid w:val="00832528"/>
    <w:rsid w:val="00834044"/>
    <w:rsid w:val="0083478B"/>
    <w:rsid w:val="00835346"/>
    <w:rsid w:val="00835383"/>
    <w:rsid w:val="0083553A"/>
    <w:rsid w:val="0083689A"/>
    <w:rsid w:val="008369B1"/>
    <w:rsid w:val="00840999"/>
    <w:rsid w:val="00840C9D"/>
    <w:rsid w:val="00841365"/>
    <w:rsid w:val="00841487"/>
    <w:rsid w:val="0084372F"/>
    <w:rsid w:val="00844D8A"/>
    <w:rsid w:val="0084583C"/>
    <w:rsid w:val="00846E58"/>
    <w:rsid w:val="00847297"/>
    <w:rsid w:val="008534B1"/>
    <w:rsid w:val="008534E0"/>
    <w:rsid w:val="00853FB9"/>
    <w:rsid w:val="00855DDC"/>
    <w:rsid w:val="008564D5"/>
    <w:rsid w:val="00856626"/>
    <w:rsid w:val="0086048C"/>
    <w:rsid w:val="0086068E"/>
    <w:rsid w:val="00863D21"/>
    <w:rsid w:val="0087233F"/>
    <w:rsid w:val="00872E6D"/>
    <w:rsid w:val="008732C2"/>
    <w:rsid w:val="00873314"/>
    <w:rsid w:val="00874726"/>
    <w:rsid w:val="00874B60"/>
    <w:rsid w:val="00874C91"/>
    <w:rsid w:val="00875221"/>
    <w:rsid w:val="00877960"/>
    <w:rsid w:val="008802A0"/>
    <w:rsid w:val="00880A78"/>
    <w:rsid w:val="00882FAC"/>
    <w:rsid w:val="0088357C"/>
    <w:rsid w:val="0088376D"/>
    <w:rsid w:val="008846FD"/>
    <w:rsid w:val="008850B2"/>
    <w:rsid w:val="00885780"/>
    <w:rsid w:val="00886BEF"/>
    <w:rsid w:val="00887375"/>
    <w:rsid w:val="00891A27"/>
    <w:rsid w:val="00892542"/>
    <w:rsid w:val="00893726"/>
    <w:rsid w:val="00893E06"/>
    <w:rsid w:val="00895731"/>
    <w:rsid w:val="00895900"/>
    <w:rsid w:val="00896326"/>
    <w:rsid w:val="00897F84"/>
    <w:rsid w:val="008A05D4"/>
    <w:rsid w:val="008A445F"/>
    <w:rsid w:val="008A478F"/>
    <w:rsid w:val="008A47DE"/>
    <w:rsid w:val="008A6B42"/>
    <w:rsid w:val="008B0FAB"/>
    <w:rsid w:val="008B1153"/>
    <w:rsid w:val="008B1D65"/>
    <w:rsid w:val="008B297F"/>
    <w:rsid w:val="008B3010"/>
    <w:rsid w:val="008B43CB"/>
    <w:rsid w:val="008B7F7D"/>
    <w:rsid w:val="008C1B3E"/>
    <w:rsid w:val="008C4229"/>
    <w:rsid w:val="008C47AF"/>
    <w:rsid w:val="008C50CC"/>
    <w:rsid w:val="008C572B"/>
    <w:rsid w:val="008C5CA4"/>
    <w:rsid w:val="008C640C"/>
    <w:rsid w:val="008C723E"/>
    <w:rsid w:val="008C7533"/>
    <w:rsid w:val="008D15F4"/>
    <w:rsid w:val="008D17C9"/>
    <w:rsid w:val="008D3A36"/>
    <w:rsid w:val="008D400A"/>
    <w:rsid w:val="008D435D"/>
    <w:rsid w:val="008D4C50"/>
    <w:rsid w:val="008D7CCD"/>
    <w:rsid w:val="008E042C"/>
    <w:rsid w:val="008E0A26"/>
    <w:rsid w:val="008E2CA1"/>
    <w:rsid w:val="008E40A2"/>
    <w:rsid w:val="008E6A50"/>
    <w:rsid w:val="008E6DA0"/>
    <w:rsid w:val="008E7610"/>
    <w:rsid w:val="008F11E2"/>
    <w:rsid w:val="008F23D0"/>
    <w:rsid w:val="008F395F"/>
    <w:rsid w:val="008F46B0"/>
    <w:rsid w:val="008F4A00"/>
    <w:rsid w:val="008F72E9"/>
    <w:rsid w:val="008F739B"/>
    <w:rsid w:val="008F778E"/>
    <w:rsid w:val="008F7ABF"/>
    <w:rsid w:val="009015F9"/>
    <w:rsid w:val="00902E0A"/>
    <w:rsid w:val="00903947"/>
    <w:rsid w:val="00903B9C"/>
    <w:rsid w:val="009046F4"/>
    <w:rsid w:val="00905436"/>
    <w:rsid w:val="009062A9"/>
    <w:rsid w:val="00906379"/>
    <w:rsid w:val="00907930"/>
    <w:rsid w:val="009100E2"/>
    <w:rsid w:val="00911684"/>
    <w:rsid w:val="00913E3B"/>
    <w:rsid w:val="009148FD"/>
    <w:rsid w:val="009152EA"/>
    <w:rsid w:val="009153AC"/>
    <w:rsid w:val="009205F9"/>
    <w:rsid w:val="0092072A"/>
    <w:rsid w:val="00920AAF"/>
    <w:rsid w:val="00921887"/>
    <w:rsid w:val="00921972"/>
    <w:rsid w:val="00921A10"/>
    <w:rsid w:val="00921F96"/>
    <w:rsid w:val="0092378C"/>
    <w:rsid w:val="00923BB4"/>
    <w:rsid w:val="009244A3"/>
    <w:rsid w:val="00924D8A"/>
    <w:rsid w:val="00926049"/>
    <w:rsid w:val="00926BD5"/>
    <w:rsid w:val="00931937"/>
    <w:rsid w:val="00932E31"/>
    <w:rsid w:val="0093369C"/>
    <w:rsid w:val="00933CE4"/>
    <w:rsid w:val="0093558B"/>
    <w:rsid w:val="0093624E"/>
    <w:rsid w:val="00940402"/>
    <w:rsid w:val="00940420"/>
    <w:rsid w:val="0094244E"/>
    <w:rsid w:val="0094361C"/>
    <w:rsid w:val="00943DCF"/>
    <w:rsid w:val="009446E5"/>
    <w:rsid w:val="0094641B"/>
    <w:rsid w:val="00950759"/>
    <w:rsid w:val="00950C0F"/>
    <w:rsid w:val="00952479"/>
    <w:rsid w:val="009562BA"/>
    <w:rsid w:val="00956AC4"/>
    <w:rsid w:val="009614F7"/>
    <w:rsid w:val="009621E4"/>
    <w:rsid w:val="00963805"/>
    <w:rsid w:val="00966BB5"/>
    <w:rsid w:val="00967923"/>
    <w:rsid w:val="00972915"/>
    <w:rsid w:val="00972B0B"/>
    <w:rsid w:val="00972C7B"/>
    <w:rsid w:val="0097531D"/>
    <w:rsid w:val="009759EF"/>
    <w:rsid w:val="0098058A"/>
    <w:rsid w:val="00983E7B"/>
    <w:rsid w:val="00984A9A"/>
    <w:rsid w:val="009854D3"/>
    <w:rsid w:val="00986D47"/>
    <w:rsid w:val="00987C16"/>
    <w:rsid w:val="00990222"/>
    <w:rsid w:val="009909CB"/>
    <w:rsid w:val="00992793"/>
    <w:rsid w:val="00992858"/>
    <w:rsid w:val="00994E16"/>
    <w:rsid w:val="009958AF"/>
    <w:rsid w:val="009A2A4E"/>
    <w:rsid w:val="009A3D0D"/>
    <w:rsid w:val="009A477E"/>
    <w:rsid w:val="009A48FB"/>
    <w:rsid w:val="009A4C32"/>
    <w:rsid w:val="009A7D59"/>
    <w:rsid w:val="009B0CB6"/>
    <w:rsid w:val="009B1600"/>
    <w:rsid w:val="009B2702"/>
    <w:rsid w:val="009B50E5"/>
    <w:rsid w:val="009B7A03"/>
    <w:rsid w:val="009C1842"/>
    <w:rsid w:val="009C2ABC"/>
    <w:rsid w:val="009C3DAE"/>
    <w:rsid w:val="009C4AF8"/>
    <w:rsid w:val="009C50E1"/>
    <w:rsid w:val="009C5D96"/>
    <w:rsid w:val="009C5FE3"/>
    <w:rsid w:val="009C650A"/>
    <w:rsid w:val="009C6EA5"/>
    <w:rsid w:val="009C7CD7"/>
    <w:rsid w:val="009D02F0"/>
    <w:rsid w:val="009D29C2"/>
    <w:rsid w:val="009D3EA1"/>
    <w:rsid w:val="009E3681"/>
    <w:rsid w:val="009E3B56"/>
    <w:rsid w:val="009E4B93"/>
    <w:rsid w:val="009E5BA2"/>
    <w:rsid w:val="009E68D0"/>
    <w:rsid w:val="009E6973"/>
    <w:rsid w:val="009F3BE1"/>
    <w:rsid w:val="009F4196"/>
    <w:rsid w:val="009F5B84"/>
    <w:rsid w:val="009F6A23"/>
    <w:rsid w:val="00A01087"/>
    <w:rsid w:val="00A01B84"/>
    <w:rsid w:val="00A02546"/>
    <w:rsid w:val="00A030CA"/>
    <w:rsid w:val="00A0316D"/>
    <w:rsid w:val="00A033D4"/>
    <w:rsid w:val="00A05A44"/>
    <w:rsid w:val="00A05FD9"/>
    <w:rsid w:val="00A07DBF"/>
    <w:rsid w:val="00A11ED5"/>
    <w:rsid w:val="00A12B5B"/>
    <w:rsid w:val="00A15A98"/>
    <w:rsid w:val="00A16251"/>
    <w:rsid w:val="00A24060"/>
    <w:rsid w:val="00A242B9"/>
    <w:rsid w:val="00A2468A"/>
    <w:rsid w:val="00A247DE"/>
    <w:rsid w:val="00A26F1F"/>
    <w:rsid w:val="00A2738F"/>
    <w:rsid w:val="00A31BF1"/>
    <w:rsid w:val="00A32530"/>
    <w:rsid w:val="00A349A9"/>
    <w:rsid w:val="00A34E87"/>
    <w:rsid w:val="00A352E8"/>
    <w:rsid w:val="00A35457"/>
    <w:rsid w:val="00A35CCF"/>
    <w:rsid w:val="00A36335"/>
    <w:rsid w:val="00A36594"/>
    <w:rsid w:val="00A367A3"/>
    <w:rsid w:val="00A37947"/>
    <w:rsid w:val="00A406E4"/>
    <w:rsid w:val="00A41350"/>
    <w:rsid w:val="00A42DBA"/>
    <w:rsid w:val="00A43162"/>
    <w:rsid w:val="00A44802"/>
    <w:rsid w:val="00A50D47"/>
    <w:rsid w:val="00A51247"/>
    <w:rsid w:val="00A51762"/>
    <w:rsid w:val="00A53257"/>
    <w:rsid w:val="00A563B9"/>
    <w:rsid w:val="00A564AE"/>
    <w:rsid w:val="00A6094D"/>
    <w:rsid w:val="00A6209D"/>
    <w:rsid w:val="00A62AB9"/>
    <w:rsid w:val="00A64D6F"/>
    <w:rsid w:val="00A66524"/>
    <w:rsid w:val="00A67573"/>
    <w:rsid w:val="00A70D92"/>
    <w:rsid w:val="00A70E64"/>
    <w:rsid w:val="00A721CD"/>
    <w:rsid w:val="00A72633"/>
    <w:rsid w:val="00A72F2E"/>
    <w:rsid w:val="00A735D0"/>
    <w:rsid w:val="00A74798"/>
    <w:rsid w:val="00A74A6C"/>
    <w:rsid w:val="00A7512B"/>
    <w:rsid w:val="00A77A85"/>
    <w:rsid w:val="00A80AE3"/>
    <w:rsid w:val="00A80F90"/>
    <w:rsid w:val="00A80F97"/>
    <w:rsid w:val="00A81594"/>
    <w:rsid w:val="00A82359"/>
    <w:rsid w:val="00A84832"/>
    <w:rsid w:val="00A86960"/>
    <w:rsid w:val="00A86CAB"/>
    <w:rsid w:val="00A87983"/>
    <w:rsid w:val="00A879FA"/>
    <w:rsid w:val="00A90132"/>
    <w:rsid w:val="00A9194F"/>
    <w:rsid w:val="00A9541C"/>
    <w:rsid w:val="00A95DC2"/>
    <w:rsid w:val="00A95DE1"/>
    <w:rsid w:val="00A96398"/>
    <w:rsid w:val="00A963E3"/>
    <w:rsid w:val="00AA0C9D"/>
    <w:rsid w:val="00AA2158"/>
    <w:rsid w:val="00AA583E"/>
    <w:rsid w:val="00AA60DA"/>
    <w:rsid w:val="00AA67E8"/>
    <w:rsid w:val="00AA6AC1"/>
    <w:rsid w:val="00AA7F88"/>
    <w:rsid w:val="00AB0466"/>
    <w:rsid w:val="00AB0E30"/>
    <w:rsid w:val="00AB3C9E"/>
    <w:rsid w:val="00AB736D"/>
    <w:rsid w:val="00AB7438"/>
    <w:rsid w:val="00AB7C17"/>
    <w:rsid w:val="00AC0947"/>
    <w:rsid w:val="00AC0DE9"/>
    <w:rsid w:val="00AC103F"/>
    <w:rsid w:val="00AC2B0A"/>
    <w:rsid w:val="00AC328F"/>
    <w:rsid w:val="00AC4A60"/>
    <w:rsid w:val="00AC5D89"/>
    <w:rsid w:val="00AC5EF3"/>
    <w:rsid w:val="00AC604F"/>
    <w:rsid w:val="00AD08D2"/>
    <w:rsid w:val="00AD19D8"/>
    <w:rsid w:val="00AD4F48"/>
    <w:rsid w:val="00AD69A5"/>
    <w:rsid w:val="00AD6AB6"/>
    <w:rsid w:val="00AE0FA6"/>
    <w:rsid w:val="00AE1FE0"/>
    <w:rsid w:val="00AE4ABC"/>
    <w:rsid w:val="00AE619C"/>
    <w:rsid w:val="00AE788D"/>
    <w:rsid w:val="00AE796D"/>
    <w:rsid w:val="00AF0122"/>
    <w:rsid w:val="00AF1392"/>
    <w:rsid w:val="00AF15BF"/>
    <w:rsid w:val="00AF37FE"/>
    <w:rsid w:val="00AF3C60"/>
    <w:rsid w:val="00AF4A30"/>
    <w:rsid w:val="00AF602F"/>
    <w:rsid w:val="00AF6122"/>
    <w:rsid w:val="00AF67FD"/>
    <w:rsid w:val="00AF6A15"/>
    <w:rsid w:val="00AF6AE0"/>
    <w:rsid w:val="00AF7FDB"/>
    <w:rsid w:val="00B00C86"/>
    <w:rsid w:val="00B023D9"/>
    <w:rsid w:val="00B027DE"/>
    <w:rsid w:val="00B02DEE"/>
    <w:rsid w:val="00B043AE"/>
    <w:rsid w:val="00B05D32"/>
    <w:rsid w:val="00B06D62"/>
    <w:rsid w:val="00B117D7"/>
    <w:rsid w:val="00B11A78"/>
    <w:rsid w:val="00B129D7"/>
    <w:rsid w:val="00B1326A"/>
    <w:rsid w:val="00B13B79"/>
    <w:rsid w:val="00B13E2E"/>
    <w:rsid w:val="00B14FBC"/>
    <w:rsid w:val="00B16E72"/>
    <w:rsid w:val="00B16EE9"/>
    <w:rsid w:val="00B173A2"/>
    <w:rsid w:val="00B21F5D"/>
    <w:rsid w:val="00B22BB0"/>
    <w:rsid w:val="00B230BA"/>
    <w:rsid w:val="00B247FF"/>
    <w:rsid w:val="00B24925"/>
    <w:rsid w:val="00B256F4"/>
    <w:rsid w:val="00B25985"/>
    <w:rsid w:val="00B25A60"/>
    <w:rsid w:val="00B26B25"/>
    <w:rsid w:val="00B27423"/>
    <w:rsid w:val="00B30475"/>
    <w:rsid w:val="00B30BBB"/>
    <w:rsid w:val="00B30DE4"/>
    <w:rsid w:val="00B35B18"/>
    <w:rsid w:val="00B3687A"/>
    <w:rsid w:val="00B36B96"/>
    <w:rsid w:val="00B37ECA"/>
    <w:rsid w:val="00B40887"/>
    <w:rsid w:val="00B41799"/>
    <w:rsid w:val="00B42488"/>
    <w:rsid w:val="00B4295E"/>
    <w:rsid w:val="00B440F4"/>
    <w:rsid w:val="00B448A9"/>
    <w:rsid w:val="00B45F7F"/>
    <w:rsid w:val="00B4785F"/>
    <w:rsid w:val="00B50AB5"/>
    <w:rsid w:val="00B5172C"/>
    <w:rsid w:val="00B52ADD"/>
    <w:rsid w:val="00B52F45"/>
    <w:rsid w:val="00B540C8"/>
    <w:rsid w:val="00B54554"/>
    <w:rsid w:val="00B54ED8"/>
    <w:rsid w:val="00B55BB8"/>
    <w:rsid w:val="00B56202"/>
    <w:rsid w:val="00B6037C"/>
    <w:rsid w:val="00B6055D"/>
    <w:rsid w:val="00B60618"/>
    <w:rsid w:val="00B607F6"/>
    <w:rsid w:val="00B61814"/>
    <w:rsid w:val="00B625F5"/>
    <w:rsid w:val="00B62C81"/>
    <w:rsid w:val="00B6393B"/>
    <w:rsid w:val="00B64943"/>
    <w:rsid w:val="00B6653C"/>
    <w:rsid w:val="00B672B6"/>
    <w:rsid w:val="00B707D3"/>
    <w:rsid w:val="00B708BA"/>
    <w:rsid w:val="00B7481F"/>
    <w:rsid w:val="00B75647"/>
    <w:rsid w:val="00B767A9"/>
    <w:rsid w:val="00B76C6A"/>
    <w:rsid w:val="00B76C8C"/>
    <w:rsid w:val="00B7703A"/>
    <w:rsid w:val="00B77AFA"/>
    <w:rsid w:val="00B829EB"/>
    <w:rsid w:val="00B83818"/>
    <w:rsid w:val="00B83EAA"/>
    <w:rsid w:val="00B83F83"/>
    <w:rsid w:val="00B83FBD"/>
    <w:rsid w:val="00B85815"/>
    <w:rsid w:val="00B85CFE"/>
    <w:rsid w:val="00B8608E"/>
    <w:rsid w:val="00B86A06"/>
    <w:rsid w:val="00B9175E"/>
    <w:rsid w:val="00B91B84"/>
    <w:rsid w:val="00B91FBC"/>
    <w:rsid w:val="00B92BD2"/>
    <w:rsid w:val="00B9397B"/>
    <w:rsid w:val="00B94825"/>
    <w:rsid w:val="00B95F32"/>
    <w:rsid w:val="00B96782"/>
    <w:rsid w:val="00BA19E9"/>
    <w:rsid w:val="00BA1E6C"/>
    <w:rsid w:val="00BA337A"/>
    <w:rsid w:val="00BA61BA"/>
    <w:rsid w:val="00BA6E04"/>
    <w:rsid w:val="00BB2663"/>
    <w:rsid w:val="00BB2ED4"/>
    <w:rsid w:val="00BB386F"/>
    <w:rsid w:val="00BB3CE8"/>
    <w:rsid w:val="00BB4E60"/>
    <w:rsid w:val="00BB6419"/>
    <w:rsid w:val="00BB6811"/>
    <w:rsid w:val="00BB7620"/>
    <w:rsid w:val="00BB7980"/>
    <w:rsid w:val="00BC025F"/>
    <w:rsid w:val="00BC12C5"/>
    <w:rsid w:val="00BC21E3"/>
    <w:rsid w:val="00BC2DC2"/>
    <w:rsid w:val="00BC3494"/>
    <w:rsid w:val="00BC5299"/>
    <w:rsid w:val="00BC6396"/>
    <w:rsid w:val="00BD0559"/>
    <w:rsid w:val="00BD2D3E"/>
    <w:rsid w:val="00BD4510"/>
    <w:rsid w:val="00BD7CEE"/>
    <w:rsid w:val="00BE0797"/>
    <w:rsid w:val="00BE3C04"/>
    <w:rsid w:val="00BE45F3"/>
    <w:rsid w:val="00BE51B9"/>
    <w:rsid w:val="00BE5BE0"/>
    <w:rsid w:val="00BF1CB0"/>
    <w:rsid w:val="00C000CA"/>
    <w:rsid w:val="00C00F29"/>
    <w:rsid w:val="00C01D53"/>
    <w:rsid w:val="00C022E0"/>
    <w:rsid w:val="00C02768"/>
    <w:rsid w:val="00C03AF0"/>
    <w:rsid w:val="00C047B1"/>
    <w:rsid w:val="00C04F79"/>
    <w:rsid w:val="00C05269"/>
    <w:rsid w:val="00C0578E"/>
    <w:rsid w:val="00C10504"/>
    <w:rsid w:val="00C1211F"/>
    <w:rsid w:val="00C147DF"/>
    <w:rsid w:val="00C16709"/>
    <w:rsid w:val="00C17063"/>
    <w:rsid w:val="00C218A8"/>
    <w:rsid w:val="00C220E4"/>
    <w:rsid w:val="00C23CBB"/>
    <w:rsid w:val="00C30B2F"/>
    <w:rsid w:val="00C31A03"/>
    <w:rsid w:val="00C34402"/>
    <w:rsid w:val="00C36B59"/>
    <w:rsid w:val="00C36EC7"/>
    <w:rsid w:val="00C37E07"/>
    <w:rsid w:val="00C41BC7"/>
    <w:rsid w:val="00C42304"/>
    <w:rsid w:val="00C43A69"/>
    <w:rsid w:val="00C466A1"/>
    <w:rsid w:val="00C46A3A"/>
    <w:rsid w:val="00C500FA"/>
    <w:rsid w:val="00C50AC0"/>
    <w:rsid w:val="00C524DD"/>
    <w:rsid w:val="00C52533"/>
    <w:rsid w:val="00C52E44"/>
    <w:rsid w:val="00C5659B"/>
    <w:rsid w:val="00C566B4"/>
    <w:rsid w:val="00C56FBA"/>
    <w:rsid w:val="00C60C42"/>
    <w:rsid w:val="00C6183C"/>
    <w:rsid w:val="00C625F8"/>
    <w:rsid w:val="00C633AB"/>
    <w:rsid w:val="00C6542D"/>
    <w:rsid w:val="00C65E36"/>
    <w:rsid w:val="00C6635A"/>
    <w:rsid w:val="00C71ACE"/>
    <w:rsid w:val="00C71BA5"/>
    <w:rsid w:val="00C735C0"/>
    <w:rsid w:val="00C73860"/>
    <w:rsid w:val="00C73DD1"/>
    <w:rsid w:val="00C74AA3"/>
    <w:rsid w:val="00C74BBE"/>
    <w:rsid w:val="00C74DB1"/>
    <w:rsid w:val="00C80B30"/>
    <w:rsid w:val="00C82284"/>
    <w:rsid w:val="00C83C42"/>
    <w:rsid w:val="00C847F3"/>
    <w:rsid w:val="00C854B7"/>
    <w:rsid w:val="00C85BD1"/>
    <w:rsid w:val="00C85F2E"/>
    <w:rsid w:val="00C86B40"/>
    <w:rsid w:val="00C86E35"/>
    <w:rsid w:val="00C872D2"/>
    <w:rsid w:val="00C873F8"/>
    <w:rsid w:val="00C901EB"/>
    <w:rsid w:val="00C9042A"/>
    <w:rsid w:val="00C90E46"/>
    <w:rsid w:val="00C91D3E"/>
    <w:rsid w:val="00C91DEB"/>
    <w:rsid w:val="00C924CB"/>
    <w:rsid w:val="00C947CC"/>
    <w:rsid w:val="00C952FB"/>
    <w:rsid w:val="00C95694"/>
    <w:rsid w:val="00C960A0"/>
    <w:rsid w:val="00CA110F"/>
    <w:rsid w:val="00CA261F"/>
    <w:rsid w:val="00CA31CD"/>
    <w:rsid w:val="00CA3FE3"/>
    <w:rsid w:val="00CA4113"/>
    <w:rsid w:val="00CA48AC"/>
    <w:rsid w:val="00CA5B21"/>
    <w:rsid w:val="00CA7B2E"/>
    <w:rsid w:val="00CB2A44"/>
    <w:rsid w:val="00CB2CE2"/>
    <w:rsid w:val="00CB2E90"/>
    <w:rsid w:val="00CB4A71"/>
    <w:rsid w:val="00CB4E04"/>
    <w:rsid w:val="00CB5AA2"/>
    <w:rsid w:val="00CC41C4"/>
    <w:rsid w:val="00CC45A2"/>
    <w:rsid w:val="00CC4AED"/>
    <w:rsid w:val="00CC669C"/>
    <w:rsid w:val="00CC7BA4"/>
    <w:rsid w:val="00CC7F9E"/>
    <w:rsid w:val="00CD0BD5"/>
    <w:rsid w:val="00CD0DB7"/>
    <w:rsid w:val="00CD49EF"/>
    <w:rsid w:val="00CD61A4"/>
    <w:rsid w:val="00CD69B3"/>
    <w:rsid w:val="00CD6E17"/>
    <w:rsid w:val="00CD7963"/>
    <w:rsid w:val="00CE0934"/>
    <w:rsid w:val="00CE0A4E"/>
    <w:rsid w:val="00CE16C3"/>
    <w:rsid w:val="00CE1D35"/>
    <w:rsid w:val="00CE4CB0"/>
    <w:rsid w:val="00CE727E"/>
    <w:rsid w:val="00CE75FF"/>
    <w:rsid w:val="00CF139A"/>
    <w:rsid w:val="00CF1A03"/>
    <w:rsid w:val="00CF1C12"/>
    <w:rsid w:val="00CF1DB5"/>
    <w:rsid w:val="00CF4014"/>
    <w:rsid w:val="00CF402D"/>
    <w:rsid w:val="00CF4B2F"/>
    <w:rsid w:val="00CF7321"/>
    <w:rsid w:val="00CF765D"/>
    <w:rsid w:val="00D0111B"/>
    <w:rsid w:val="00D02415"/>
    <w:rsid w:val="00D033F8"/>
    <w:rsid w:val="00D03FDC"/>
    <w:rsid w:val="00D047B5"/>
    <w:rsid w:val="00D074AA"/>
    <w:rsid w:val="00D07EB0"/>
    <w:rsid w:val="00D10066"/>
    <w:rsid w:val="00D114D5"/>
    <w:rsid w:val="00D21C3A"/>
    <w:rsid w:val="00D2381C"/>
    <w:rsid w:val="00D26E5F"/>
    <w:rsid w:val="00D30E77"/>
    <w:rsid w:val="00D31BF1"/>
    <w:rsid w:val="00D321C4"/>
    <w:rsid w:val="00D33E91"/>
    <w:rsid w:val="00D34F3C"/>
    <w:rsid w:val="00D358DE"/>
    <w:rsid w:val="00D40A83"/>
    <w:rsid w:val="00D41925"/>
    <w:rsid w:val="00D43AB7"/>
    <w:rsid w:val="00D43CC2"/>
    <w:rsid w:val="00D43D67"/>
    <w:rsid w:val="00D43D7F"/>
    <w:rsid w:val="00D44E27"/>
    <w:rsid w:val="00D45124"/>
    <w:rsid w:val="00D4535D"/>
    <w:rsid w:val="00D47D50"/>
    <w:rsid w:val="00D502B0"/>
    <w:rsid w:val="00D5166C"/>
    <w:rsid w:val="00D517ED"/>
    <w:rsid w:val="00D523DC"/>
    <w:rsid w:val="00D534FF"/>
    <w:rsid w:val="00D53AFA"/>
    <w:rsid w:val="00D56E74"/>
    <w:rsid w:val="00D57711"/>
    <w:rsid w:val="00D63AD1"/>
    <w:rsid w:val="00D647A2"/>
    <w:rsid w:val="00D651A1"/>
    <w:rsid w:val="00D6550C"/>
    <w:rsid w:val="00D65B13"/>
    <w:rsid w:val="00D7019F"/>
    <w:rsid w:val="00D70666"/>
    <w:rsid w:val="00D7261A"/>
    <w:rsid w:val="00D72779"/>
    <w:rsid w:val="00D72EF3"/>
    <w:rsid w:val="00D745AE"/>
    <w:rsid w:val="00D75724"/>
    <w:rsid w:val="00D76B97"/>
    <w:rsid w:val="00D76F92"/>
    <w:rsid w:val="00D81A67"/>
    <w:rsid w:val="00D82949"/>
    <w:rsid w:val="00D8349E"/>
    <w:rsid w:val="00D83523"/>
    <w:rsid w:val="00D85A05"/>
    <w:rsid w:val="00D9014D"/>
    <w:rsid w:val="00D92153"/>
    <w:rsid w:val="00D949A0"/>
    <w:rsid w:val="00D9574B"/>
    <w:rsid w:val="00D969A1"/>
    <w:rsid w:val="00DA000F"/>
    <w:rsid w:val="00DA0138"/>
    <w:rsid w:val="00DA0598"/>
    <w:rsid w:val="00DA475D"/>
    <w:rsid w:val="00DA61F2"/>
    <w:rsid w:val="00DA67A4"/>
    <w:rsid w:val="00DA6FEF"/>
    <w:rsid w:val="00DA7EFC"/>
    <w:rsid w:val="00DB2B41"/>
    <w:rsid w:val="00DB406D"/>
    <w:rsid w:val="00DB612A"/>
    <w:rsid w:val="00DC0182"/>
    <w:rsid w:val="00DC1167"/>
    <w:rsid w:val="00DC2848"/>
    <w:rsid w:val="00DC4AE5"/>
    <w:rsid w:val="00DC582C"/>
    <w:rsid w:val="00DC6C48"/>
    <w:rsid w:val="00DC6F5B"/>
    <w:rsid w:val="00DD18F5"/>
    <w:rsid w:val="00DD1CE7"/>
    <w:rsid w:val="00DD2C13"/>
    <w:rsid w:val="00DD2E10"/>
    <w:rsid w:val="00DD3628"/>
    <w:rsid w:val="00DD49B9"/>
    <w:rsid w:val="00DD4BE1"/>
    <w:rsid w:val="00DE0C87"/>
    <w:rsid w:val="00DE112D"/>
    <w:rsid w:val="00DE20B7"/>
    <w:rsid w:val="00DE3FEC"/>
    <w:rsid w:val="00DE40C0"/>
    <w:rsid w:val="00DE5C13"/>
    <w:rsid w:val="00DE6934"/>
    <w:rsid w:val="00DF0AE6"/>
    <w:rsid w:val="00DF0BE5"/>
    <w:rsid w:val="00DF1209"/>
    <w:rsid w:val="00DF1396"/>
    <w:rsid w:val="00DF386B"/>
    <w:rsid w:val="00DF4F0D"/>
    <w:rsid w:val="00DF5511"/>
    <w:rsid w:val="00DF5742"/>
    <w:rsid w:val="00DF5844"/>
    <w:rsid w:val="00DF5B3F"/>
    <w:rsid w:val="00DF6050"/>
    <w:rsid w:val="00DF6D99"/>
    <w:rsid w:val="00E002CA"/>
    <w:rsid w:val="00E01611"/>
    <w:rsid w:val="00E02B57"/>
    <w:rsid w:val="00E03ED2"/>
    <w:rsid w:val="00E044E7"/>
    <w:rsid w:val="00E05466"/>
    <w:rsid w:val="00E05BE7"/>
    <w:rsid w:val="00E05F2A"/>
    <w:rsid w:val="00E067E6"/>
    <w:rsid w:val="00E07E6B"/>
    <w:rsid w:val="00E1003E"/>
    <w:rsid w:val="00E10816"/>
    <w:rsid w:val="00E12C83"/>
    <w:rsid w:val="00E13468"/>
    <w:rsid w:val="00E145B3"/>
    <w:rsid w:val="00E15760"/>
    <w:rsid w:val="00E15777"/>
    <w:rsid w:val="00E177D6"/>
    <w:rsid w:val="00E17B11"/>
    <w:rsid w:val="00E20396"/>
    <w:rsid w:val="00E23464"/>
    <w:rsid w:val="00E25FCF"/>
    <w:rsid w:val="00E2664F"/>
    <w:rsid w:val="00E2698C"/>
    <w:rsid w:val="00E26FDC"/>
    <w:rsid w:val="00E2752D"/>
    <w:rsid w:val="00E3277E"/>
    <w:rsid w:val="00E32CBA"/>
    <w:rsid w:val="00E3302F"/>
    <w:rsid w:val="00E33E60"/>
    <w:rsid w:val="00E35776"/>
    <w:rsid w:val="00E368DC"/>
    <w:rsid w:val="00E369DE"/>
    <w:rsid w:val="00E410D8"/>
    <w:rsid w:val="00E41494"/>
    <w:rsid w:val="00E42906"/>
    <w:rsid w:val="00E4308B"/>
    <w:rsid w:val="00E4339F"/>
    <w:rsid w:val="00E4522E"/>
    <w:rsid w:val="00E45644"/>
    <w:rsid w:val="00E45A78"/>
    <w:rsid w:val="00E46B27"/>
    <w:rsid w:val="00E51635"/>
    <w:rsid w:val="00E5164D"/>
    <w:rsid w:val="00E561DE"/>
    <w:rsid w:val="00E56C25"/>
    <w:rsid w:val="00E6074C"/>
    <w:rsid w:val="00E64B91"/>
    <w:rsid w:val="00E65AA8"/>
    <w:rsid w:val="00E66314"/>
    <w:rsid w:val="00E6668D"/>
    <w:rsid w:val="00E666BD"/>
    <w:rsid w:val="00E6782D"/>
    <w:rsid w:val="00E67D8C"/>
    <w:rsid w:val="00E719F1"/>
    <w:rsid w:val="00E71C5F"/>
    <w:rsid w:val="00E726BE"/>
    <w:rsid w:val="00E73023"/>
    <w:rsid w:val="00E7375E"/>
    <w:rsid w:val="00E73B0D"/>
    <w:rsid w:val="00E73D43"/>
    <w:rsid w:val="00E73E4D"/>
    <w:rsid w:val="00E761F4"/>
    <w:rsid w:val="00E805A7"/>
    <w:rsid w:val="00E80945"/>
    <w:rsid w:val="00E8262B"/>
    <w:rsid w:val="00E853BF"/>
    <w:rsid w:val="00E87FFA"/>
    <w:rsid w:val="00E90D7B"/>
    <w:rsid w:val="00E91F02"/>
    <w:rsid w:val="00E95887"/>
    <w:rsid w:val="00E959A5"/>
    <w:rsid w:val="00EA04DC"/>
    <w:rsid w:val="00EA0549"/>
    <w:rsid w:val="00EA163E"/>
    <w:rsid w:val="00EA41A9"/>
    <w:rsid w:val="00EA5576"/>
    <w:rsid w:val="00EA5585"/>
    <w:rsid w:val="00EA6B9E"/>
    <w:rsid w:val="00EA7BFA"/>
    <w:rsid w:val="00EB0954"/>
    <w:rsid w:val="00EB1060"/>
    <w:rsid w:val="00EB125E"/>
    <w:rsid w:val="00EB4B76"/>
    <w:rsid w:val="00EB5771"/>
    <w:rsid w:val="00EB5870"/>
    <w:rsid w:val="00EB6186"/>
    <w:rsid w:val="00EB68BF"/>
    <w:rsid w:val="00EB6BAE"/>
    <w:rsid w:val="00EB6D58"/>
    <w:rsid w:val="00EB7DE2"/>
    <w:rsid w:val="00EC0A01"/>
    <w:rsid w:val="00EC16E0"/>
    <w:rsid w:val="00EC1D25"/>
    <w:rsid w:val="00EC3614"/>
    <w:rsid w:val="00EC3E75"/>
    <w:rsid w:val="00EC4980"/>
    <w:rsid w:val="00EC51BD"/>
    <w:rsid w:val="00EC6237"/>
    <w:rsid w:val="00EC65FF"/>
    <w:rsid w:val="00EC7F7E"/>
    <w:rsid w:val="00ED1563"/>
    <w:rsid w:val="00ED19EC"/>
    <w:rsid w:val="00ED3033"/>
    <w:rsid w:val="00ED6899"/>
    <w:rsid w:val="00ED7A15"/>
    <w:rsid w:val="00EE3716"/>
    <w:rsid w:val="00EE3975"/>
    <w:rsid w:val="00EE3D78"/>
    <w:rsid w:val="00EE59D6"/>
    <w:rsid w:val="00EE65D1"/>
    <w:rsid w:val="00EE6DD2"/>
    <w:rsid w:val="00EE6DD3"/>
    <w:rsid w:val="00EF03DA"/>
    <w:rsid w:val="00EF0E6A"/>
    <w:rsid w:val="00EF1AB7"/>
    <w:rsid w:val="00EF6FF0"/>
    <w:rsid w:val="00F002F3"/>
    <w:rsid w:val="00F016CC"/>
    <w:rsid w:val="00F01919"/>
    <w:rsid w:val="00F02C10"/>
    <w:rsid w:val="00F1059D"/>
    <w:rsid w:val="00F110C8"/>
    <w:rsid w:val="00F122DC"/>
    <w:rsid w:val="00F125FF"/>
    <w:rsid w:val="00F127B9"/>
    <w:rsid w:val="00F128B9"/>
    <w:rsid w:val="00F13579"/>
    <w:rsid w:val="00F135F5"/>
    <w:rsid w:val="00F14143"/>
    <w:rsid w:val="00F14845"/>
    <w:rsid w:val="00F1601C"/>
    <w:rsid w:val="00F164D3"/>
    <w:rsid w:val="00F22A76"/>
    <w:rsid w:val="00F23D51"/>
    <w:rsid w:val="00F2588E"/>
    <w:rsid w:val="00F311DF"/>
    <w:rsid w:val="00F337A0"/>
    <w:rsid w:val="00F344E1"/>
    <w:rsid w:val="00F34E81"/>
    <w:rsid w:val="00F34F17"/>
    <w:rsid w:val="00F35570"/>
    <w:rsid w:val="00F37050"/>
    <w:rsid w:val="00F39589"/>
    <w:rsid w:val="00F4012F"/>
    <w:rsid w:val="00F402B3"/>
    <w:rsid w:val="00F40881"/>
    <w:rsid w:val="00F41C7F"/>
    <w:rsid w:val="00F420F4"/>
    <w:rsid w:val="00F43C6E"/>
    <w:rsid w:val="00F44230"/>
    <w:rsid w:val="00F44A14"/>
    <w:rsid w:val="00F4513C"/>
    <w:rsid w:val="00F45BBB"/>
    <w:rsid w:val="00F4654A"/>
    <w:rsid w:val="00F46ED2"/>
    <w:rsid w:val="00F5035C"/>
    <w:rsid w:val="00F50F2A"/>
    <w:rsid w:val="00F51DB2"/>
    <w:rsid w:val="00F56130"/>
    <w:rsid w:val="00F62CE7"/>
    <w:rsid w:val="00F62FD8"/>
    <w:rsid w:val="00F64F1A"/>
    <w:rsid w:val="00F65127"/>
    <w:rsid w:val="00F65F2D"/>
    <w:rsid w:val="00F66078"/>
    <w:rsid w:val="00F6691D"/>
    <w:rsid w:val="00F678D5"/>
    <w:rsid w:val="00F70A94"/>
    <w:rsid w:val="00F71FFE"/>
    <w:rsid w:val="00F733CE"/>
    <w:rsid w:val="00F73743"/>
    <w:rsid w:val="00F73B4A"/>
    <w:rsid w:val="00F744D5"/>
    <w:rsid w:val="00F7579C"/>
    <w:rsid w:val="00F7705F"/>
    <w:rsid w:val="00F776D7"/>
    <w:rsid w:val="00F776E0"/>
    <w:rsid w:val="00F8071D"/>
    <w:rsid w:val="00F81AD0"/>
    <w:rsid w:val="00F84187"/>
    <w:rsid w:val="00F8450C"/>
    <w:rsid w:val="00F85EE7"/>
    <w:rsid w:val="00F860E0"/>
    <w:rsid w:val="00F8674B"/>
    <w:rsid w:val="00F86CA8"/>
    <w:rsid w:val="00F90085"/>
    <w:rsid w:val="00F92B37"/>
    <w:rsid w:val="00F92D2E"/>
    <w:rsid w:val="00F93C04"/>
    <w:rsid w:val="00F95417"/>
    <w:rsid w:val="00F967E0"/>
    <w:rsid w:val="00F97DFF"/>
    <w:rsid w:val="00FA19D7"/>
    <w:rsid w:val="00FA1F82"/>
    <w:rsid w:val="00FA3C22"/>
    <w:rsid w:val="00FA53AE"/>
    <w:rsid w:val="00FA6B6B"/>
    <w:rsid w:val="00FB0096"/>
    <w:rsid w:val="00FB0413"/>
    <w:rsid w:val="00FB061F"/>
    <w:rsid w:val="00FB12EF"/>
    <w:rsid w:val="00FB218D"/>
    <w:rsid w:val="00FB25A8"/>
    <w:rsid w:val="00FB2DE4"/>
    <w:rsid w:val="00FB3B39"/>
    <w:rsid w:val="00FB49BC"/>
    <w:rsid w:val="00FB52F1"/>
    <w:rsid w:val="00FB547B"/>
    <w:rsid w:val="00FB5B01"/>
    <w:rsid w:val="00FB61A4"/>
    <w:rsid w:val="00FB64BA"/>
    <w:rsid w:val="00FB6E2B"/>
    <w:rsid w:val="00FB7235"/>
    <w:rsid w:val="00FC003B"/>
    <w:rsid w:val="00FC11CE"/>
    <w:rsid w:val="00FC24CF"/>
    <w:rsid w:val="00FC59BC"/>
    <w:rsid w:val="00FC5D47"/>
    <w:rsid w:val="00FC6885"/>
    <w:rsid w:val="00FC7628"/>
    <w:rsid w:val="00FC79EC"/>
    <w:rsid w:val="00FD01D5"/>
    <w:rsid w:val="00FD335D"/>
    <w:rsid w:val="00FD39F5"/>
    <w:rsid w:val="00FD4167"/>
    <w:rsid w:val="00FD4294"/>
    <w:rsid w:val="00FD4971"/>
    <w:rsid w:val="00FD6822"/>
    <w:rsid w:val="00FE1416"/>
    <w:rsid w:val="00FE176C"/>
    <w:rsid w:val="00FE4CED"/>
    <w:rsid w:val="00FE775E"/>
    <w:rsid w:val="00FE7A2C"/>
    <w:rsid w:val="00FF09EE"/>
    <w:rsid w:val="00FF18E0"/>
    <w:rsid w:val="00FF3520"/>
    <w:rsid w:val="00FF5166"/>
    <w:rsid w:val="00FF521A"/>
    <w:rsid w:val="00FF52CA"/>
    <w:rsid w:val="00FF5DF3"/>
    <w:rsid w:val="00FF7123"/>
    <w:rsid w:val="00FF7396"/>
    <w:rsid w:val="00FF7A06"/>
    <w:rsid w:val="025573FD"/>
    <w:rsid w:val="02A12FEC"/>
    <w:rsid w:val="02A7C3BB"/>
    <w:rsid w:val="036690E2"/>
    <w:rsid w:val="04EAC9AE"/>
    <w:rsid w:val="05CB7D2F"/>
    <w:rsid w:val="06143BE8"/>
    <w:rsid w:val="0650CFBA"/>
    <w:rsid w:val="06CB39EA"/>
    <w:rsid w:val="08B0346C"/>
    <w:rsid w:val="08D85F3A"/>
    <w:rsid w:val="090804FB"/>
    <w:rsid w:val="0B824C54"/>
    <w:rsid w:val="0C89FA07"/>
    <w:rsid w:val="0CA7B8A5"/>
    <w:rsid w:val="0E15E090"/>
    <w:rsid w:val="0EA10C9F"/>
    <w:rsid w:val="0F3FEBF3"/>
    <w:rsid w:val="0F8646C3"/>
    <w:rsid w:val="0FC19AC9"/>
    <w:rsid w:val="10073D81"/>
    <w:rsid w:val="11221724"/>
    <w:rsid w:val="114D8152"/>
    <w:rsid w:val="11FD7C46"/>
    <w:rsid w:val="12F93B8B"/>
    <w:rsid w:val="145BAA31"/>
    <w:rsid w:val="161924DB"/>
    <w:rsid w:val="17B4F53C"/>
    <w:rsid w:val="17F8BD3B"/>
    <w:rsid w:val="192C8E07"/>
    <w:rsid w:val="1BAFCD16"/>
    <w:rsid w:val="1BC40573"/>
    <w:rsid w:val="1D3F6461"/>
    <w:rsid w:val="1E2436C0"/>
    <w:rsid w:val="1F069EF0"/>
    <w:rsid w:val="1F849BE7"/>
    <w:rsid w:val="1FB9FCA9"/>
    <w:rsid w:val="1FDFAC19"/>
    <w:rsid w:val="20770523"/>
    <w:rsid w:val="215BD782"/>
    <w:rsid w:val="2212D584"/>
    <w:rsid w:val="2251DDB1"/>
    <w:rsid w:val="23174CDB"/>
    <w:rsid w:val="238802C9"/>
    <w:rsid w:val="23AEA5E5"/>
    <w:rsid w:val="25153716"/>
    <w:rsid w:val="2575E074"/>
    <w:rsid w:val="25EFA0AB"/>
    <w:rsid w:val="2659E847"/>
    <w:rsid w:val="26D0ED6F"/>
    <w:rsid w:val="286C330B"/>
    <w:rsid w:val="29387B6F"/>
    <w:rsid w:val="294140F8"/>
    <w:rsid w:val="2AF912D5"/>
    <w:rsid w:val="2BA9477F"/>
    <w:rsid w:val="2D5D75B1"/>
    <w:rsid w:val="2E64FA2C"/>
    <w:rsid w:val="2EB43769"/>
    <w:rsid w:val="3151121B"/>
    <w:rsid w:val="319C9AEE"/>
    <w:rsid w:val="3217BE77"/>
    <w:rsid w:val="33B38ED8"/>
    <w:rsid w:val="34EB733F"/>
    <w:rsid w:val="35FC5FB8"/>
    <w:rsid w:val="367868D6"/>
    <w:rsid w:val="36EBFA26"/>
    <w:rsid w:val="373FABFD"/>
    <w:rsid w:val="37CF1D91"/>
    <w:rsid w:val="37D1DB31"/>
    <w:rsid w:val="38618253"/>
    <w:rsid w:val="390461CA"/>
    <w:rsid w:val="398BFDC5"/>
    <w:rsid w:val="3A1C3C8D"/>
    <w:rsid w:val="3B0811FA"/>
    <w:rsid w:val="3C7D0476"/>
    <w:rsid w:val="3D8F4889"/>
    <w:rsid w:val="401EDBDD"/>
    <w:rsid w:val="41413726"/>
    <w:rsid w:val="4208DFD8"/>
    <w:rsid w:val="43094763"/>
    <w:rsid w:val="43174CC7"/>
    <w:rsid w:val="455A2237"/>
    <w:rsid w:val="47F35957"/>
    <w:rsid w:val="47F51657"/>
    <w:rsid w:val="48548D64"/>
    <w:rsid w:val="49A68B4E"/>
    <w:rsid w:val="4A555752"/>
    <w:rsid w:val="4B4975E3"/>
    <w:rsid w:val="4B55AC9B"/>
    <w:rsid w:val="4C60876D"/>
    <w:rsid w:val="4CC1F3AB"/>
    <w:rsid w:val="4CC8877A"/>
    <w:rsid w:val="4CDE2C10"/>
    <w:rsid w:val="4D5B3BB0"/>
    <w:rsid w:val="4E09574B"/>
    <w:rsid w:val="4E589B7F"/>
    <w:rsid w:val="4EF70C11"/>
    <w:rsid w:val="4F5D3DD5"/>
    <w:rsid w:val="4F71681D"/>
    <w:rsid w:val="4FE6FFDF"/>
    <w:rsid w:val="5092DC72"/>
    <w:rsid w:val="522EACD3"/>
    <w:rsid w:val="527E7678"/>
    <w:rsid w:val="53CD8B53"/>
    <w:rsid w:val="549E5A2F"/>
    <w:rsid w:val="563A2A90"/>
    <w:rsid w:val="568FB0F5"/>
    <w:rsid w:val="574A0456"/>
    <w:rsid w:val="57C09FDF"/>
    <w:rsid w:val="57E96F8C"/>
    <w:rsid w:val="58A1751E"/>
    <w:rsid w:val="5914A1AA"/>
    <w:rsid w:val="5918CAEA"/>
    <w:rsid w:val="5971CB52"/>
    <w:rsid w:val="59751492"/>
    <w:rsid w:val="5A39C1D2"/>
    <w:rsid w:val="5B0D9BB3"/>
    <w:rsid w:val="5B37A463"/>
    <w:rsid w:val="5B6F92F2"/>
    <w:rsid w:val="5B7E2EE9"/>
    <w:rsid w:val="5C1D7579"/>
    <w:rsid w:val="5C397217"/>
    <w:rsid w:val="5C45CCD2"/>
    <w:rsid w:val="5CCD706D"/>
    <w:rsid w:val="5D19FF4A"/>
    <w:rsid w:val="5F9325F6"/>
    <w:rsid w:val="6172BE27"/>
    <w:rsid w:val="61839AD2"/>
    <w:rsid w:val="6274592C"/>
    <w:rsid w:val="6421F38F"/>
    <w:rsid w:val="64F43160"/>
    <w:rsid w:val="65E998DC"/>
    <w:rsid w:val="660F2EB7"/>
    <w:rsid w:val="6651592E"/>
    <w:rsid w:val="679B7C26"/>
    <w:rsid w:val="67A6088C"/>
    <w:rsid w:val="6B689250"/>
    <w:rsid w:val="6CFF4345"/>
    <w:rsid w:val="6D38109A"/>
    <w:rsid w:val="6E78D0C9"/>
    <w:rsid w:val="70D1CB36"/>
    <w:rsid w:val="712BBD01"/>
    <w:rsid w:val="71C4F737"/>
    <w:rsid w:val="72D1498E"/>
    <w:rsid w:val="72D99540"/>
    <w:rsid w:val="7360C798"/>
    <w:rsid w:val="74FC97F9"/>
    <w:rsid w:val="750A552A"/>
    <w:rsid w:val="779A771B"/>
    <w:rsid w:val="783D5D9B"/>
    <w:rsid w:val="78707850"/>
    <w:rsid w:val="79E583AD"/>
    <w:rsid w:val="7A05DF3E"/>
    <w:rsid w:val="7C1B3B78"/>
    <w:rsid w:val="7C3F1D7F"/>
    <w:rsid w:val="7C674F29"/>
    <w:rsid w:val="7D23570B"/>
    <w:rsid w:val="7E788F58"/>
    <w:rsid w:val="7F07BF28"/>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8D0BE"/>
  <w15:chartTrackingRefBased/>
  <w15:docId w15:val="{12A68380-D07A-4845-AD7F-7869F3101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CA"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A31"/>
    <w:pPr>
      <w:spacing w:after="0" w:line="240" w:lineRule="auto"/>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42BA2"/>
    <w:pPr>
      <w:spacing w:before="300" w:after="40"/>
      <w:outlineLvl w:val="0"/>
    </w:pPr>
    <w:rPr>
      <w:smallCaps/>
      <w:spacing w:val="5"/>
      <w:sz w:val="32"/>
      <w:szCs w:val="32"/>
    </w:rPr>
  </w:style>
  <w:style w:type="paragraph" w:styleId="Heading2">
    <w:name w:val="heading 2"/>
    <w:basedOn w:val="Normal"/>
    <w:next w:val="Normal"/>
    <w:link w:val="Heading2Char"/>
    <w:uiPriority w:val="9"/>
    <w:unhideWhenUsed/>
    <w:qFormat/>
    <w:rsid w:val="00242BA2"/>
    <w:pPr>
      <w:spacing w:before="240" w:after="80"/>
      <w:outlineLvl w:val="1"/>
    </w:pPr>
    <w:rPr>
      <w:smallCaps/>
      <w:spacing w:val="5"/>
      <w:sz w:val="28"/>
      <w:szCs w:val="28"/>
    </w:rPr>
  </w:style>
  <w:style w:type="paragraph" w:styleId="Heading3">
    <w:name w:val="heading 3"/>
    <w:basedOn w:val="Normal"/>
    <w:next w:val="Normal"/>
    <w:link w:val="Heading3Char"/>
    <w:uiPriority w:val="9"/>
    <w:unhideWhenUsed/>
    <w:qFormat/>
    <w:rsid w:val="00242BA2"/>
    <w:pPr>
      <w:outlineLvl w:val="2"/>
    </w:pPr>
    <w:rPr>
      <w:smallCaps/>
      <w:spacing w:val="5"/>
    </w:rPr>
  </w:style>
  <w:style w:type="paragraph" w:styleId="Heading4">
    <w:name w:val="heading 4"/>
    <w:basedOn w:val="Normal"/>
    <w:next w:val="Normal"/>
    <w:link w:val="Heading4Char"/>
    <w:uiPriority w:val="9"/>
    <w:semiHidden/>
    <w:unhideWhenUsed/>
    <w:qFormat/>
    <w:rsid w:val="00242BA2"/>
    <w:pPr>
      <w:spacing w:before="240"/>
      <w:outlineLvl w:val="3"/>
    </w:pPr>
    <w:rPr>
      <w:smallCaps/>
      <w:spacing w:val="10"/>
      <w:sz w:val="22"/>
      <w:szCs w:val="22"/>
    </w:rPr>
  </w:style>
  <w:style w:type="paragraph" w:styleId="Heading5">
    <w:name w:val="heading 5"/>
    <w:basedOn w:val="Normal"/>
    <w:next w:val="Normal"/>
    <w:link w:val="Heading5Char"/>
    <w:uiPriority w:val="9"/>
    <w:semiHidden/>
    <w:unhideWhenUsed/>
    <w:qFormat/>
    <w:rsid w:val="00242BA2"/>
    <w:pPr>
      <w:spacing w:before="200"/>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242BA2"/>
    <w:pPr>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242BA2"/>
    <w:pPr>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242BA2"/>
    <w:pPr>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242BA2"/>
    <w:pPr>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2BA2"/>
    <w:rPr>
      <w:smallCaps/>
      <w:spacing w:val="5"/>
      <w:sz w:val="32"/>
      <w:szCs w:val="32"/>
    </w:rPr>
  </w:style>
  <w:style w:type="paragraph" w:styleId="TOCHeading">
    <w:name w:val="TOC Heading"/>
    <w:basedOn w:val="Heading1"/>
    <w:next w:val="Normal"/>
    <w:uiPriority w:val="39"/>
    <w:unhideWhenUsed/>
    <w:qFormat/>
    <w:rsid w:val="00242BA2"/>
    <w:pPr>
      <w:outlineLvl w:val="9"/>
    </w:pPr>
  </w:style>
  <w:style w:type="paragraph" w:styleId="TOC1">
    <w:name w:val="toc 1"/>
    <w:basedOn w:val="Normal"/>
    <w:next w:val="Normal"/>
    <w:autoRedefine/>
    <w:uiPriority w:val="39"/>
    <w:unhideWhenUsed/>
    <w:rsid w:val="007A1B71"/>
    <w:pPr>
      <w:spacing w:before="120" w:after="120"/>
    </w:pPr>
    <w:rPr>
      <w:rFonts w:cstheme="minorHAnsi"/>
      <w:b/>
      <w:bCs/>
      <w:caps/>
    </w:rPr>
  </w:style>
  <w:style w:type="paragraph" w:styleId="TOC2">
    <w:name w:val="toc 2"/>
    <w:basedOn w:val="Normal"/>
    <w:next w:val="Normal"/>
    <w:autoRedefine/>
    <w:uiPriority w:val="39"/>
    <w:unhideWhenUsed/>
    <w:rsid w:val="00EA41A9"/>
    <w:pPr>
      <w:tabs>
        <w:tab w:val="right" w:leader="dot" w:pos="9350"/>
      </w:tabs>
      <w:ind w:left="238"/>
    </w:pPr>
    <w:rPr>
      <w:rFonts w:cstheme="minorHAnsi"/>
      <w:smallCaps/>
    </w:rPr>
  </w:style>
  <w:style w:type="paragraph" w:styleId="TOC3">
    <w:name w:val="toc 3"/>
    <w:basedOn w:val="Normal"/>
    <w:next w:val="Normal"/>
    <w:autoRedefine/>
    <w:uiPriority w:val="39"/>
    <w:unhideWhenUsed/>
    <w:rsid w:val="007A1B71"/>
    <w:pPr>
      <w:ind w:left="480"/>
    </w:pPr>
    <w:rPr>
      <w:rFonts w:cstheme="minorHAnsi"/>
      <w:i/>
      <w:iCs/>
    </w:rPr>
  </w:style>
  <w:style w:type="paragraph" w:styleId="TOC4">
    <w:name w:val="toc 4"/>
    <w:basedOn w:val="Normal"/>
    <w:next w:val="Normal"/>
    <w:autoRedefine/>
    <w:uiPriority w:val="39"/>
    <w:unhideWhenUsed/>
    <w:rsid w:val="007A1B71"/>
    <w:pPr>
      <w:ind w:left="720"/>
    </w:pPr>
    <w:rPr>
      <w:rFonts w:cstheme="minorHAnsi"/>
      <w:sz w:val="18"/>
      <w:szCs w:val="18"/>
    </w:rPr>
  </w:style>
  <w:style w:type="paragraph" w:styleId="TOC5">
    <w:name w:val="toc 5"/>
    <w:basedOn w:val="Normal"/>
    <w:next w:val="Normal"/>
    <w:autoRedefine/>
    <w:uiPriority w:val="39"/>
    <w:unhideWhenUsed/>
    <w:rsid w:val="007A1B71"/>
    <w:pPr>
      <w:ind w:left="960"/>
    </w:pPr>
    <w:rPr>
      <w:rFonts w:cstheme="minorHAnsi"/>
      <w:sz w:val="18"/>
      <w:szCs w:val="18"/>
    </w:rPr>
  </w:style>
  <w:style w:type="paragraph" w:styleId="TOC6">
    <w:name w:val="toc 6"/>
    <w:basedOn w:val="Normal"/>
    <w:next w:val="Normal"/>
    <w:autoRedefine/>
    <w:uiPriority w:val="39"/>
    <w:unhideWhenUsed/>
    <w:rsid w:val="007A1B71"/>
    <w:pPr>
      <w:ind w:left="1200"/>
    </w:pPr>
    <w:rPr>
      <w:rFonts w:cstheme="minorHAnsi"/>
      <w:sz w:val="18"/>
      <w:szCs w:val="18"/>
    </w:rPr>
  </w:style>
  <w:style w:type="paragraph" w:styleId="TOC7">
    <w:name w:val="toc 7"/>
    <w:basedOn w:val="Normal"/>
    <w:next w:val="Normal"/>
    <w:autoRedefine/>
    <w:uiPriority w:val="39"/>
    <w:unhideWhenUsed/>
    <w:rsid w:val="007A1B71"/>
    <w:pPr>
      <w:ind w:left="1440"/>
    </w:pPr>
    <w:rPr>
      <w:rFonts w:cstheme="minorHAnsi"/>
      <w:sz w:val="18"/>
      <w:szCs w:val="18"/>
    </w:rPr>
  </w:style>
  <w:style w:type="paragraph" w:styleId="TOC8">
    <w:name w:val="toc 8"/>
    <w:basedOn w:val="Normal"/>
    <w:next w:val="Normal"/>
    <w:autoRedefine/>
    <w:uiPriority w:val="39"/>
    <w:unhideWhenUsed/>
    <w:rsid w:val="007A1B71"/>
    <w:pPr>
      <w:ind w:left="1680"/>
    </w:pPr>
    <w:rPr>
      <w:rFonts w:cstheme="minorHAnsi"/>
      <w:sz w:val="18"/>
      <w:szCs w:val="18"/>
    </w:rPr>
  </w:style>
  <w:style w:type="paragraph" w:styleId="TOC9">
    <w:name w:val="toc 9"/>
    <w:basedOn w:val="Normal"/>
    <w:next w:val="Normal"/>
    <w:autoRedefine/>
    <w:uiPriority w:val="39"/>
    <w:unhideWhenUsed/>
    <w:rsid w:val="007A1B71"/>
    <w:pPr>
      <w:ind w:left="1920"/>
    </w:pPr>
    <w:rPr>
      <w:rFonts w:cstheme="minorHAnsi"/>
      <w:sz w:val="18"/>
      <w:szCs w:val="18"/>
    </w:rPr>
  </w:style>
  <w:style w:type="character" w:styleId="Hyperlink">
    <w:name w:val="Hyperlink"/>
    <w:basedOn w:val="DefaultParagraphFont"/>
    <w:uiPriority w:val="99"/>
    <w:unhideWhenUsed/>
    <w:rsid w:val="00804C76"/>
    <w:rPr>
      <w:color w:val="0563C1" w:themeColor="hyperlink"/>
      <w:u w:val="single"/>
    </w:rPr>
  </w:style>
  <w:style w:type="paragraph" w:styleId="Footer">
    <w:name w:val="footer"/>
    <w:basedOn w:val="Normal"/>
    <w:link w:val="FooterChar"/>
    <w:uiPriority w:val="99"/>
    <w:unhideWhenUsed/>
    <w:rsid w:val="00E4308B"/>
    <w:pPr>
      <w:tabs>
        <w:tab w:val="center" w:pos="4680"/>
        <w:tab w:val="right" w:pos="9360"/>
      </w:tabs>
    </w:pPr>
  </w:style>
  <w:style w:type="character" w:customStyle="1" w:styleId="FooterChar">
    <w:name w:val="Footer Char"/>
    <w:basedOn w:val="DefaultParagraphFont"/>
    <w:link w:val="Footer"/>
    <w:uiPriority w:val="99"/>
    <w:rsid w:val="00E4308B"/>
  </w:style>
  <w:style w:type="character" w:styleId="PageNumber">
    <w:name w:val="page number"/>
    <w:basedOn w:val="DefaultParagraphFont"/>
    <w:uiPriority w:val="99"/>
    <w:semiHidden/>
    <w:unhideWhenUsed/>
    <w:rsid w:val="00E4308B"/>
  </w:style>
  <w:style w:type="paragraph" w:styleId="Header">
    <w:name w:val="header"/>
    <w:basedOn w:val="Normal"/>
    <w:link w:val="HeaderChar"/>
    <w:uiPriority w:val="99"/>
    <w:unhideWhenUsed/>
    <w:rsid w:val="00E4308B"/>
    <w:pPr>
      <w:tabs>
        <w:tab w:val="center" w:pos="4680"/>
        <w:tab w:val="right" w:pos="9360"/>
      </w:tabs>
    </w:pPr>
  </w:style>
  <w:style w:type="character" w:customStyle="1" w:styleId="HeaderChar">
    <w:name w:val="Header Char"/>
    <w:basedOn w:val="DefaultParagraphFont"/>
    <w:link w:val="Header"/>
    <w:uiPriority w:val="99"/>
    <w:rsid w:val="00E4308B"/>
  </w:style>
  <w:style w:type="character" w:customStyle="1" w:styleId="Heading2Char">
    <w:name w:val="Heading 2 Char"/>
    <w:basedOn w:val="DefaultParagraphFont"/>
    <w:link w:val="Heading2"/>
    <w:uiPriority w:val="9"/>
    <w:rsid w:val="00242BA2"/>
    <w:rPr>
      <w:smallCaps/>
      <w:spacing w:val="5"/>
      <w:sz w:val="28"/>
      <w:szCs w:val="28"/>
    </w:rPr>
  </w:style>
  <w:style w:type="character" w:customStyle="1" w:styleId="Heading3Char">
    <w:name w:val="Heading 3 Char"/>
    <w:basedOn w:val="DefaultParagraphFont"/>
    <w:link w:val="Heading3"/>
    <w:uiPriority w:val="9"/>
    <w:rsid w:val="00242BA2"/>
    <w:rPr>
      <w:smallCaps/>
      <w:spacing w:val="5"/>
      <w:sz w:val="24"/>
      <w:szCs w:val="24"/>
    </w:rPr>
  </w:style>
  <w:style w:type="character" w:customStyle="1" w:styleId="Heading4Char">
    <w:name w:val="Heading 4 Char"/>
    <w:basedOn w:val="DefaultParagraphFont"/>
    <w:link w:val="Heading4"/>
    <w:uiPriority w:val="9"/>
    <w:semiHidden/>
    <w:rsid w:val="00242BA2"/>
    <w:rPr>
      <w:smallCaps/>
      <w:spacing w:val="10"/>
      <w:sz w:val="22"/>
      <w:szCs w:val="22"/>
    </w:rPr>
  </w:style>
  <w:style w:type="character" w:customStyle="1" w:styleId="Heading5Char">
    <w:name w:val="Heading 5 Char"/>
    <w:basedOn w:val="DefaultParagraphFont"/>
    <w:link w:val="Heading5"/>
    <w:uiPriority w:val="9"/>
    <w:semiHidden/>
    <w:rsid w:val="00242BA2"/>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242BA2"/>
    <w:rPr>
      <w:smallCaps/>
      <w:color w:val="ED7D31" w:themeColor="accent2"/>
      <w:spacing w:val="5"/>
      <w:sz w:val="22"/>
    </w:rPr>
  </w:style>
  <w:style w:type="character" w:customStyle="1" w:styleId="Heading7Char">
    <w:name w:val="Heading 7 Char"/>
    <w:basedOn w:val="DefaultParagraphFont"/>
    <w:link w:val="Heading7"/>
    <w:uiPriority w:val="9"/>
    <w:semiHidden/>
    <w:rsid w:val="00242BA2"/>
    <w:rPr>
      <w:b/>
      <w:smallCaps/>
      <w:color w:val="ED7D31" w:themeColor="accent2"/>
      <w:spacing w:val="10"/>
    </w:rPr>
  </w:style>
  <w:style w:type="character" w:customStyle="1" w:styleId="Heading8Char">
    <w:name w:val="Heading 8 Char"/>
    <w:basedOn w:val="DefaultParagraphFont"/>
    <w:link w:val="Heading8"/>
    <w:uiPriority w:val="9"/>
    <w:semiHidden/>
    <w:rsid w:val="00242BA2"/>
    <w:rPr>
      <w:b/>
      <w:i/>
      <w:smallCaps/>
      <w:color w:val="C45911" w:themeColor="accent2" w:themeShade="BF"/>
    </w:rPr>
  </w:style>
  <w:style w:type="character" w:customStyle="1" w:styleId="Heading9Char">
    <w:name w:val="Heading 9 Char"/>
    <w:basedOn w:val="DefaultParagraphFont"/>
    <w:link w:val="Heading9"/>
    <w:uiPriority w:val="9"/>
    <w:semiHidden/>
    <w:rsid w:val="00242BA2"/>
    <w:rPr>
      <w:b/>
      <w:i/>
      <w:smallCaps/>
      <w:color w:val="823B0B" w:themeColor="accent2" w:themeShade="7F"/>
    </w:rPr>
  </w:style>
  <w:style w:type="paragraph" w:styleId="Caption">
    <w:name w:val="caption"/>
    <w:basedOn w:val="Normal"/>
    <w:next w:val="Normal"/>
    <w:uiPriority w:val="35"/>
    <w:unhideWhenUsed/>
    <w:qFormat/>
    <w:rsid w:val="005D7D50"/>
    <w:rPr>
      <w:bCs/>
    </w:rPr>
  </w:style>
  <w:style w:type="paragraph" w:styleId="Title">
    <w:name w:val="Title"/>
    <w:basedOn w:val="Normal"/>
    <w:next w:val="Normal"/>
    <w:link w:val="TitleChar"/>
    <w:uiPriority w:val="10"/>
    <w:qFormat/>
    <w:rsid w:val="00242BA2"/>
    <w:pPr>
      <w:pBdr>
        <w:top w:val="single" w:sz="12" w:space="1" w:color="ED7D31" w:themeColor="accent2"/>
      </w:pBdr>
      <w:jc w:val="right"/>
    </w:pPr>
    <w:rPr>
      <w:smallCaps/>
      <w:sz w:val="48"/>
      <w:szCs w:val="48"/>
    </w:rPr>
  </w:style>
  <w:style w:type="character" w:customStyle="1" w:styleId="TitleChar">
    <w:name w:val="Title Char"/>
    <w:basedOn w:val="DefaultParagraphFont"/>
    <w:link w:val="Title"/>
    <w:uiPriority w:val="10"/>
    <w:rsid w:val="00242BA2"/>
    <w:rPr>
      <w:smallCaps/>
      <w:sz w:val="48"/>
      <w:szCs w:val="48"/>
    </w:rPr>
  </w:style>
  <w:style w:type="paragraph" w:styleId="Subtitle">
    <w:name w:val="Subtitle"/>
    <w:basedOn w:val="Normal"/>
    <w:next w:val="Normal"/>
    <w:link w:val="SubtitleChar"/>
    <w:uiPriority w:val="11"/>
    <w:qFormat/>
    <w:rsid w:val="00242BA2"/>
    <w:pPr>
      <w:spacing w:after="720"/>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242BA2"/>
    <w:rPr>
      <w:rFonts w:asciiTheme="majorHAnsi" w:eastAsiaTheme="majorEastAsia" w:hAnsiTheme="majorHAnsi" w:cstheme="majorBidi"/>
      <w:szCs w:val="22"/>
    </w:rPr>
  </w:style>
  <w:style w:type="character" w:styleId="Strong">
    <w:name w:val="Strong"/>
    <w:uiPriority w:val="22"/>
    <w:qFormat/>
    <w:rsid w:val="00242BA2"/>
    <w:rPr>
      <w:b/>
      <w:color w:val="ED7D31" w:themeColor="accent2"/>
    </w:rPr>
  </w:style>
  <w:style w:type="character" w:styleId="Emphasis">
    <w:name w:val="Emphasis"/>
    <w:uiPriority w:val="20"/>
    <w:qFormat/>
    <w:rsid w:val="00242BA2"/>
    <w:rPr>
      <w:b/>
      <w:i/>
      <w:spacing w:val="10"/>
    </w:rPr>
  </w:style>
  <w:style w:type="paragraph" w:styleId="NoSpacing">
    <w:name w:val="No Spacing"/>
    <w:basedOn w:val="Normal"/>
    <w:link w:val="NoSpacingChar"/>
    <w:uiPriority w:val="1"/>
    <w:qFormat/>
    <w:rsid w:val="00242BA2"/>
  </w:style>
  <w:style w:type="character" w:customStyle="1" w:styleId="NoSpacingChar">
    <w:name w:val="No Spacing Char"/>
    <w:basedOn w:val="DefaultParagraphFont"/>
    <w:link w:val="NoSpacing"/>
    <w:uiPriority w:val="1"/>
    <w:rsid w:val="00242BA2"/>
  </w:style>
  <w:style w:type="paragraph" w:styleId="ListParagraph">
    <w:name w:val="List Paragraph"/>
    <w:basedOn w:val="Normal"/>
    <w:uiPriority w:val="34"/>
    <w:qFormat/>
    <w:rsid w:val="00242BA2"/>
    <w:pPr>
      <w:ind w:left="720"/>
      <w:contextualSpacing/>
    </w:pPr>
  </w:style>
  <w:style w:type="paragraph" w:styleId="Quote">
    <w:name w:val="Quote"/>
    <w:basedOn w:val="Normal"/>
    <w:next w:val="Normal"/>
    <w:link w:val="QuoteChar"/>
    <w:uiPriority w:val="29"/>
    <w:qFormat/>
    <w:rsid w:val="00242BA2"/>
    <w:rPr>
      <w:i/>
    </w:rPr>
  </w:style>
  <w:style w:type="character" w:customStyle="1" w:styleId="QuoteChar">
    <w:name w:val="Quote Char"/>
    <w:basedOn w:val="DefaultParagraphFont"/>
    <w:link w:val="Quote"/>
    <w:uiPriority w:val="29"/>
    <w:rsid w:val="00242BA2"/>
    <w:rPr>
      <w:i/>
    </w:rPr>
  </w:style>
  <w:style w:type="paragraph" w:styleId="IntenseQuote">
    <w:name w:val="Intense Quote"/>
    <w:basedOn w:val="Normal"/>
    <w:next w:val="Normal"/>
    <w:link w:val="IntenseQuoteChar"/>
    <w:uiPriority w:val="30"/>
    <w:qFormat/>
    <w:rsid w:val="00242BA2"/>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242BA2"/>
    <w:rPr>
      <w:b/>
      <w:i/>
      <w:color w:val="FFFFFF" w:themeColor="background1"/>
      <w:shd w:val="clear" w:color="auto" w:fill="ED7D31" w:themeFill="accent2"/>
    </w:rPr>
  </w:style>
  <w:style w:type="character" w:styleId="SubtleEmphasis">
    <w:name w:val="Subtle Emphasis"/>
    <w:uiPriority w:val="19"/>
    <w:qFormat/>
    <w:rsid w:val="00242BA2"/>
    <w:rPr>
      <w:i/>
    </w:rPr>
  </w:style>
  <w:style w:type="character" w:styleId="IntenseEmphasis">
    <w:name w:val="Intense Emphasis"/>
    <w:uiPriority w:val="21"/>
    <w:qFormat/>
    <w:rsid w:val="00242BA2"/>
    <w:rPr>
      <w:b/>
      <w:i/>
      <w:color w:val="ED7D31" w:themeColor="accent2"/>
      <w:spacing w:val="10"/>
    </w:rPr>
  </w:style>
  <w:style w:type="character" w:styleId="SubtleReference">
    <w:name w:val="Subtle Reference"/>
    <w:uiPriority w:val="31"/>
    <w:qFormat/>
    <w:rsid w:val="00242BA2"/>
    <w:rPr>
      <w:b/>
    </w:rPr>
  </w:style>
  <w:style w:type="character" w:styleId="IntenseReference">
    <w:name w:val="Intense Reference"/>
    <w:uiPriority w:val="32"/>
    <w:qFormat/>
    <w:rsid w:val="00242BA2"/>
    <w:rPr>
      <w:b/>
      <w:bCs/>
      <w:smallCaps/>
      <w:spacing w:val="5"/>
      <w:sz w:val="22"/>
      <w:szCs w:val="22"/>
      <w:u w:val="single"/>
    </w:rPr>
  </w:style>
  <w:style w:type="character" w:styleId="BookTitle">
    <w:name w:val="Book Title"/>
    <w:uiPriority w:val="33"/>
    <w:qFormat/>
    <w:rsid w:val="00242BA2"/>
    <w:rPr>
      <w:rFonts w:asciiTheme="majorHAnsi" w:eastAsiaTheme="majorEastAsia" w:hAnsiTheme="majorHAnsi" w:cstheme="majorBidi"/>
      <w:i/>
      <w:iCs/>
      <w:sz w:val="20"/>
      <w:szCs w:val="20"/>
    </w:rPr>
  </w:style>
  <w:style w:type="paragraph" w:customStyle="1" w:styleId="EndNoteBibliography">
    <w:name w:val="EndNote Bibliography"/>
    <w:basedOn w:val="Normal"/>
    <w:link w:val="EndNoteBibliographyChar"/>
    <w:rsid w:val="004250B5"/>
    <w:rPr>
      <w:rFonts w:eastAsiaTheme="minorHAnsi"/>
      <w:lang w:val="en-US"/>
    </w:rPr>
  </w:style>
  <w:style w:type="character" w:customStyle="1" w:styleId="EndNoteBibliographyChar">
    <w:name w:val="EndNote Bibliography Char"/>
    <w:basedOn w:val="DefaultParagraphFont"/>
    <w:link w:val="EndNoteBibliography"/>
    <w:rsid w:val="004250B5"/>
    <w:rPr>
      <w:rFonts w:ascii="Times New Roman" w:eastAsiaTheme="minorHAnsi" w:hAnsi="Times New Roman" w:cs="Times New Roman"/>
      <w:sz w:val="24"/>
      <w:szCs w:val="24"/>
      <w:lang w:val="en-US"/>
    </w:rPr>
  </w:style>
  <w:style w:type="table" w:styleId="PlainTable4">
    <w:name w:val="Plain Table 4"/>
    <w:basedOn w:val="TableNormal"/>
    <w:uiPriority w:val="44"/>
    <w:rsid w:val="00DE40C0"/>
    <w:pPr>
      <w:spacing w:after="0" w:line="240" w:lineRule="auto"/>
      <w:jc w:val="left"/>
    </w:pPr>
    <w:rPr>
      <w:rFonts w:eastAsiaTheme="minorHAnsi"/>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bstract-Text">
    <w:name w:val="Abstract-Text"/>
    <w:basedOn w:val="Normal"/>
    <w:link w:val="Abstract-TextChar"/>
    <w:qFormat/>
    <w:rsid w:val="00A05FD9"/>
    <w:pPr>
      <w:spacing w:line="220" w:lineRule="exact"/>
    </w:pPr>
    <w:rPr>
      <w:rFonts w:ascii="Helvetica" w:hAnsi="Helvetica"/>
      <w:sz w:val="18"/>
      <w:szCs w:val="18"/>
      <w:lang w:val="en-US"/>
    </w:rPr>
  </w:style>
  <w:style w:type="character" w:customStyle="1" w:styleId="Abstract-TextChar">
    <w:name w:val="Abstract-Text Char"/>
    <w:basedOn w:val="DefaultParagraphFont"/>
    <w:link w:val="Abstract-Text"/>
    <w:rsid w:val="00A05FD9"/>
    <w:rPr>
      <w:rFonts w:ascii="Helvetica" w:eastAsia="Times New Roman" w:hAnsi="Helvetica" w:cs="Times New Roman"/>
      <w:sz w:val="18"/>
      <w:szCs w:val="18"/>
      <w:lang w:val="en-US"/>
    </w:rPr>
  </w:style>
  <w:style w:type="character" w:styleId="UnresolvedMention">
    <w:name w:val="Unresolved Mention"/>
    <w:basedOn w:val="DefaultParagraphFont"/>
    <w:uiPriority w:val="99"/>
    <w:semiHidden/>
    <w:unhideWhenUsed/>
    <w:rsid w:val="004061F8"/>
    <w:rPr>
      <w:color w:val="605E5C"/>
      <w:shd w:val="clear" w:color="auto" w:fill="E1DFDD"/>
    </w:rPr>
  </w:style>
  <w:style w:type="paragraph" w:customStyle="1" w:styleId="AckText">
    <w:name w:val="Ack Text"/>
    <w:basedOn w:val="Normal"/>
    <w:rsid w:val="00AA67E8"/>
    <w:pPr>
      <w:spacing w:line="220" w:lineRule="exact"/>
    </w:pPr>
    <w:rPr>
      <w:sz w:val="18"/>
      <w:lang w:val="en-US"/>
    </w:rPr>
  </w:style>
  <w:style w:type="table" w:styleId="TableGrid">
    <w:name w:val="Table Grid"/>
    <w:basedOn w:val="TableNormal"/>
    <w:uiPriority w:val="39"/>
    <w:rsid w:val="00AF6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ll-AppParagraphs">
    <w:name w:val="Full-App Paragraphs"/>
    <w:basedOn w:val="Normal"/>
    <w:link w:val="Full-AppParagraphsCar"/>
    <w:autoRedefine/>
    <w:qFormat/>
    <w:rsid w:val="005420E5"/>
    <w:pPr>
      <w:widowControl w:val="0"/>
      <w:spacing w:after="60" w:line="480" w:lineRule="auto"/>
    </w:pPr>
    <w:rPr>
      <w:color w:val="000000" w:themeColor="text1"/>
    </w:rPr>
  </w:style>
  <w:style w:type="character" w:customStyle="1" w:styleId="Full-AppParagraphsCar">
    <w:name w:val="Full-App Paragraphs Car"/>
    <w:link w:val="Full-AppParagraphs"/>
    <w:rsid w:val="005420E5"/>
    <w:rPr>
      <w:rFonts w:ascii="Times New Roman" w:hAnsi="Times New Roman" w:cs="Times New Roman"/>
      <w:color w:val="000000" w:themeColor="text1"/>
      <w:sz w:val="24"/>
      <w:szCs w:val="24"/>
    </w:rPr>
  </w:style>
  <w:style w:type="character" w:customStyle="1" w:styleId="acopre">
    <w:name w:val="acopre"/>
    <w:basedOn w:val="DefaultParagraphFont"/>
    <w:rsid w:val="00A66524"/>
  </w:style>
  <w:style w:type="paragraph" w:styleId="CommentText">
    <w:name w:val="annotation text"/>
    <w:basedOn w:val="Normal"/>
    <w:link w:val="CommentTextChar"/>
    <w:uiPriority w:val="99"/>
    <w:unhideWhenUsed/>
    <w:rsid w:val="005F1E95"/>
    <w:rPr>
      <w:rFonts w:eastAsiaTheme="minorHAnsi"/>
      <w:lang w:val="en-US"/>
    </w:rPr>
  </w:style>
  <w:style w:type="character" w:customStyle="1" w:styleId="CommentTextChar">
    <w:name w:val="Comment Text Char"/>
    <w:basedOn w:val="DefaultParagraphFont"/>
    <w:link w:val="CommentText"/>
    <w:uiPriority w:val="99"/>
    <w:rsid w:val="005F1E95"/>
    <w:rPr>
      <w:rFonts w:eastAsiaTheme="minorHAnsi"/>
      <w:lang w:val="en-US"/>
    </w:rPr>
  </w:style>
  <w:style w:type="character" w:customStyle="1" w:styleId="linkinfo">
    <w:name w:val="link_info"/>
    <w:basedOn w:val="DefaultParagraphFont"/>
    <w:rsid w:val="005F1E95"/>
  </w:style>
  <w:style w:type="character" w:styleId="FollowedHyperlink">
    <w:name w:val="FollowedHyperlink"/>
    <w:basedOn w:val="DefaultParagraphFont"/>
    <w:uiPriority w:val="99"/>
    <w:semiHidden/>
    <w:unhideWhenUsed/>
    <w:rsid w:val="005F1E95"/>
    <w:rPr>
      <w:color w:val="954F72" w:themeColor="followedHyperlink"/>
      <w:u w:val="single"/>
    </w:rPr>
  </w:style>
  <w:style w:type="table" w:styleId="ListTable4-Accent3">
    <w:name w:val="List Table 4 Accent 3"/>
    <w:basedOn w:val="TableNormal"/>
    <w:uiPriority w:val="49"/>
    <w:rsid w:val="008D3A36"/>
    <w:pPr>
      <w:spacing w:after="0" w:line="240" w:lineRule="auto"/>
      <w:jc w:val="left"/>
    </w:pPr>
    <w:rPr>
      <w:rFonts w:eastAsiaTheme="minorHAnsi"/>
      <w:sz w:val="24"/>
      <w:szCs w:val="24"/>
      <w:lang w:val="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RefText">
    <w:name w:val="Ref Text"/>
    <w:link w:val="RefTextChar"/>
    <w:rsid w:val="00113B87"/>
    <w:pPr>
      <w:spacing w:after="0" w:line="180" w:lineRule="exact"/>
      <w:ind w:left="227" w:hanging="227"/>
    </w:pPr>
    <w:rPr>
      <w:rFonts w:ascii="Times New Roman" w:eastAsia="Times New Roman" w:hAnsi="Times New Roman" w:cs="Times New Roman"/>
      <w:sz w:val="14"/>
      <w:lang w:val="en-US"/>
    </w:rPr>
  </w:style>
  <w:style w:type="character" w:customStyle="1" w:styleId="RefTextChar">
    <w:name w:val="Ref Text Char"/>
    <w:basedOn w:val="DefaultParagraphFont"/>
    <w:link w:val="RefText"/>
    <w:rsid w:val="00113B87"/>
    <w:rPr>
      <w:rFonts w:ascii="Times New Roman" w:eastAsia="Times New Roman" w:hAnsi="Times New Roman" w:cs="Times New Roman"/>
      <w:sz w:val="14"/>
      <w:lang w:val="en-US"/>
    </w:rPr>
  </w:style>
  <w:style w:type="table" w:styleId="PlainTable3">
    <w:name w:val="Plain Table 3"/>
    <w:basedOn w:val="TableNormal"/>
    <w:uiPriority w:val="43"/>
    <w:rsid w:val="00113B87"/>
    <w:pPr>
      <w:spacing w:after="0" w:line="240" w:lineRule="auto"/>
      <w:jc w:val="left"/>
    </w:pPr>
    <w:rPr>
      <w:rFonts w:eastAsiaTheme="minorHAnsi"/>
      <w:sz w:val="24"/>
      <w:szCs w:val="24"/>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674CF2"/>
    <w:rPr>
      <w:sz w:val="16"/>
      <w:szCs w:val="16"/>
    </w:rPr>
  </w:style>
  <w:style w:type="paragraph" w:styleId="CommentSubject">
    <w:name w:val="annotation subject"/>
    <w:basedOn w:val="CommentText"/>
    <w:next w:val="CommentText"/>
    <w:link w:val="CommentSubjectChar"/>
    <w:uiPriority w:val="99"/>
    <w:semiHidden/>
    <w:unhideWhenUsed/>
    <w:rsid w:val="00674CF2"/>
    <w:pPr>
      <w:spacing w:after="200"/>
      <w:jc w:val="both"/>
    </w:pPr>
    <w:rPr>
      <w:rFonts w:eastAsiaTheme="minorEastAsia"/>
      <w:b/>
      <w:bCs/>
      <w:lang w:val="en-CA"/>
    </w:rPr>
  </w:style>
  <w:style w:type="character" w:customStyle="1" w:styleId="CommentSubjectChar">
    <w:name w:val="Comment Subject Char"/>
    <w:basedOn w:val="CommentTextChar"/>
    <w:link w:val="CommentSubject"/>
    <w:uiPriority w:val="99"/>
    <w:semiHidden/>
    <w:rsid w:val="00674CF2"/>
    <w:rPr>
      <w:rFonts w:eastAsiaTheme="minorHAnsi"/>
      <w:b/>
      <w:bCs/>
      <w:lang w:val="en-US"/>
    </w:rPr>
  </w:style>
  <w:style w:type="table" w:customStyle="1" w:styleId="TableGrid1">
    <w:name w:val="Table Grid1"/>
    <w:basedOn w:val="TableNormal"/>
    <w:next w:val="TableGrid"/>
    <w:uiPriority w:val="39"/>
    <w:rsid w:val="00994E16"/>
    <w:pPr>
      <w:spacing w:after="0" w:line="240" w:lineRule="auto"/>
      <w:jc w:val="left"/>
    </w:pPr>
    <w:rPr>
      <w:rFonts w:eastAsiaTheme="minorHAns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94E16"/>
    <w:pPr>
      <w:spacing w:after="0" w:line="240" w:lineRule="auto"/>
      <w:jc w:val="left"/>
    </w:pPr>
    <w:rPr>
      <w:rFonts w:eastAsiaTheme="minorHAns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02BCA"/>
    <w:pPr>
      <w:spacing w:before="100" w:beforeAutospacing="1" w:after="100" w:afterAutospacing="1"/>
    </w:pPr>
  </w:style>
  <w:style w:type="paragraph" w:styleId="FootnoteText">
    <w:name w:val="footnote text"/>
    <w:basedOn w:val="Normal"/>
    <w:link w:val="FootnoteTextChar"/>
    <w:uiPriority w:val="99"/>
    <w:semiHidden/>
    <w:unhideWhenUsed/>
    <w:rsid w:val="00065B0E"/>
  </w:style>
  <w:style w:type="character" w:customStyle="1" w:styleId="FootnoteTextChar">
    <w:name w:val="Footnote Text Char"/>
    <w:basedOn w:val="DefaultParagraphFont"/>
    <w:link w:val="FootnoteText"/>
    <w:uiPriority w:val="99"/>
    <w:semiHidden/>
    <w:rsid w:val="00065B0E"/>
  </w:style>
  <w:style w:type="character" w:styleId="FootnoteReference">
    <w:name w:val="footnote reference"/>
    <w:basedOn w:val="DefaultParagraphFont"/>
    <w:uiPriority w:val="99"/>
    <w:semiHidden/>
    <w:unhideWhenUsed/>
    <w:rsid w:val="00065B0E"/>
    <w:rPr>
      <w:vertAlign w:val="superscript"/>
    </w:rPr>
  </w:style>
  <w:style w:type="paragraph" w:styleId="Revision">
    <w:name w:val="Revision"/>
    <w:hidden/>
    <w:uiPriority w:val="99"/>
    <w:semiHidden/>
    <w:rsid w:val="00F8071D"/>
    <w:pPr>
      <w:spacing w:after="0" w:line="240" w:lineRule="auto"/>
      <w:jc w:val="left"/>
    </w:pPr>
  </w:style>
  <w:style w:type="paragraph" w:customStyle="1" w:styleId="msonormal0">
    <w:name w:val="msonormal"/>
    <w:basedOn w:val="Normal"/>
    <w:rsid w:val="008D7CCD"/>
    <w:pPr>
      <w:spacing w:before="100" w:beforeAutospacing="1" w:after="100" w:afterAutospacing="1"/>
    </w:pPr>
  </w:style>
  <w:style w:type="paragraph" w:styleId="TableofFigures">
    <w:name w:val="table of figures"/>
    <w:basedOn w:val="Normal"/>
    <w:next w:val="Normal"/>
    <w:uiPriority w:val="99"/>
    <w:unhideWhenUsed/>
    <w:rsid w:val="00EA0549"/>
  </w:style>
  <w:style w:type="table" w:styleId="PlainTable2">
    <w:name w:val="Plain Table 2"/>
    <w:basedOn w:val="TableNormal"/>
    <w:uiPriority w:val="42"/>
    <w:rsid w:val="00666E7A"/>
    <w:pPr>
      <w:spacing w:after="0" w:line="240" w:lineRule="auto"/>
      <w:jc w:val="left"/>
    </w:pPr>
    <w:rPr>
      <w:rFonts w:ascii="Arial" w:eastAsia="SimSun" w:hAnsi="Arial" w:cs="Arial"/>
      <w:sz w:val="22"/>
      <w:szCs w:val="22"/>
      <w:lang w:val="en"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44128">
      <w:bodyDiv w:val="1"/>
      <w:marLeft w:val="0"/>
      <w:marRight w:val="0"/>
      <w:marTop w:val="0"/>
      <w:marBottom w:val="0"/>
      <w:divBdr>
        <w:top w:val="none" w:sz="0" w:space="0" w:color="auto"/>
        <w:left w:val="none" w:sz="0" w:space="0" w:color="auto"/>
        <w:bottom w:val="none" w:sz="0" w:space="0" w:color="auto"/>
        <w:right w:val="none" w:sz="0" w:space="0" w:color="auto"/>
      </w:divBdr>
    </w:div>
    <w:div w:id="254022375">
      <w:bodyDiv w:val="1"/>
      <w:marLeft w:val="0"/>
      <w:marRight w:val="0"/>
      <w:marTop w:val="0"/>
      <w:marBottom w:val="0"/>
      <w:divBdr>
        <w:top w:val="none" w:sz="0" w:space="0" w:color="auto"/>
        <w:left w:val="none" w:sz="0" w:space="0" w:color="auto"/>
        <w:bottom w:val="none" w:sz="0" w:space="0" w:color="auto"/>
        <w:right w:val="none" w:sz="0" w:space="0" w:color="auto"/>
      </w:divBdr>
    </w:div>
    <w:div w:id="262690013">
      <w:bodyDiv w:val="1"/>
      <w:marLeft w:val="0"/>
      <w:marRight w:val="0"/>
      <w:marTop w:val="0"/>
      <w:marBottom w:val="0"/>
      <w:divBdr>
        <w:top w:val="none" w:sz="0" w:space="0" w:color="auto"/>
        <w:left w:val="none" w:sz="0" w:space="0" w:color="auto"/>
        <w:bottom w:val="none" w:sz="0" w:space="0" w:color="auto"/>
        <w:right w:val="none" w:sz="0" w:space="0" w:color="auto"/>
      </w:divBdr>
    </w:div>
    <w:div w:id="361251063">
      <w:bodyDiv w:val="1"/>
      <w:marLeft w:val="0"/>
      <w:marRight w:val="0"/>
      <w:marTop w:val="0"/>
      <w:marBottom w:val="0"/>
      <w:divBdr>
        <w:top w:val="none" w:sz="0" w:space="0" w:color="auto"/>
        <w:left w:val="none" w:sz="0" w:space="0" w:color="auto"/>
        <w:bottom w:val="none" w:sz="0" w:space="0" w:color="auto"/>
        <w:right w:val="none" w:sz="0" w:space="0" w:color="auto"/>
      </w:divBdr>
    </w:div>
    <w:div w:id="366374505">
      <w:bodyDiv w:val="1"/>
      <w:marLeft w:val="0"/>
      <w:marRight w:val="0"/>
      <w:marTop w:val="0"/>
      <w:marBottom w:val="0"/>
      <w:divBdr>
        <w:top w:val="none" w:sz="0" w:space="0" w:color="auto"/>
        <w:left w:val="none" w:sz="0" w:space="0" w:color="auto"/>
        <w:bottom w:val="none" w:sz="0" w:space="0" w:color="auto"/>
        <w:right w:val="none" w:sz="0" w:space="0" w:color="auto"/>
      </w:divBdr>
    </w:div>
    <w:div w:id="410471042">
      <w:bodyDiv w:val="1"/>
      <w:marLeft w:val="0"/>
      <w:marRight w:val="0"/>
      <w:marTop w:val="0"/>
      <w:marBottom w:val="0"/>
      <w:divBdr>
        <w:top w:val="none" w:sz="0" w:space="0" w:color="auto"/>
        <w:left w:val="none" w:sz="0" w:space="0" w:color="auto"/>
        <w:bottom w:val="none" w:sz="0" w:space="0" w:color="auto"/>
        <w:right w:val="none" w:sz="0" w:space="0" w:color="auto"/>
      </w:divBdr>
    </w:div>
    <w:div w:id="419641290">
      <w:bodyDiv w:val="1"/>
      <w:marLeft w:val="0"/>
      <w:marRight w:val="0"/>
      <w:marTop w:val="0"/>
      <w:marBottom w:val="0"/>
      <w:divBdr>
        <w:top w:val="none" w:sz="0" w:space="0" w:color="auto"/>
        <w:left w:val="none" w:sz="0" w:space="0" w:color="auto"/>
        <w:bottom w:val="none" w:sz="0" w:space="0" w:color="auto"/>
        <w:right w:val="none" w:sz="0" w:space="0" w:color="auto"/>
      </w:divBdr>
    </w:div>
    <w:div w:id="469786020">
      <w:bodyDiv w:val="1"/>
      <w:marLeft w:val="0"/>
      <w:marRight w:val="0"/>
      <w:marTop w:val="0"/>
      <w:marBottom w:val="0"/>
      <w:divBdr>
        <w:top w:val="none" w:sz="0" w:space="0" w:color="auto"/>
        <w:left w:val="none" w:sz="0" w:space="0" w:color="auto"/>
        <w:bottom w:val="none" w:sz="0" w:space="0" w:color="auto"/>
        <w:right w:val="none" w:sz="0" w:space="0" w:color="auto"/>
      </w:divBdr>
    </w:div>
    <w:div w:id="508329324">
      <w:bodyDiv w:val="1"/>
      <w:marLeft w:val="0"/>
      <w:marRight w:val="0"/>
      <w:marTop w:val="0"/>
      <w:marBottom w:val="0"/>
      <w:divBdr>
        <w:top w:val="none" w:sz="0" w:space="0" w:color="auto"/>
        <w:left w:val="none" w:sz="0" w:space="0" w:color="auto"/>
        <w:bottom w:val="none" w:sz="0" w:space="0" w:color="auto"/>
        <w:right w:val="none" w:sz="0" w:space="0" w:color="auto"/>
      </w:divBdr>
    </w:div>
    <w:div w:id="556278705">
      <w:bodyDiv w:val="1"/>
      <w:marLeft w:val="0"/>
      <w:marRight w:val="0"/>
      <w:marTop w:val="0"/>
      <w:marBottom w:val="0"/>
      <w:divBdr>
        <w:top w:val="none" w:sz="0" w:space="0" w:color="auto"/>
        <w:left w:val="none" w:sz="0" w:space="0" w:color="auto"/>
        <w:bottom w:val="none" w:sz="0" w:space="0" w:color="auto"/>
        <w:right w:val="none" w:sz="0" w:space="0" w:color="auto"/>
      </w:divBdr>
    </w:div>
    <w:div w:id="620109757">
      <w:bodyDiv w:val="1"/>
      <w:marLeft w:val="0"/>
      <w:marRight w:val="0"/>
      <w:marTop w:val="0"/>
      <w:marBottom w:val="0"/>
      <w:divBdr>
        <w:top w:val="none" w:sz="0" w:space="0" w:color="auto"/>
        <w:left w:val="none" w:sz="0" w:space="0" w:color="auto"/>
        <w:bottom w:val="none" w:sz="0" w:space="0" w:color="auto"/>
        <w:right w:val="none" w:sz="0" w:space="0" w:color="auto"/>
      </w:divBdr>
    </w:div>
    <w:div w:id="630674651">
      <w:bodyDiv w:val="1"/>
      <w:marLeft w:val="0"/>
      <w:marRight w:val="0"/>
      <w:marTop w:val="0"/>
      <w:marBottom w:val="0"/>
      <w:divBdr>
        <w:top w:val="none" w:sz="0" w:space="0" w:color="auto"/>
        <w:left w:val="none" w:sz="0" w:space="0" w:color="auto"/>
        <w:bottom w:val="none" w:sz="0" w:space="0" w:color="auto"/>
        <w:right w:val="none" w:sz="0" w:space="0" w:color="auto"/>
      </w:divBdr>
    </w:div>
    <w:div w:id="780103798">
      <w:bodyDiv w:val="1"/>
      <w:marLeft w:val="0"/>
      <w:marRight w:val="0"/>
      <w:marTop w:val="0"/>
      <w:marBottom w:val="0"/>
      <w:divBdr>
        <w:top w:val="none" w:sz="0" w:space="0" w:color="auto"/>
        <w:left w:val="none" w:sz="0" w:space="0" w:color="auto"/>
        <w:bottom w:val="none" w:sz="0" w:space="0" w:color="auto"/>
        <w:right w:val="none" w:sz="0" w:space="0" w:color="auto"/>
      </w:divBdr>
    </w:div>
    <w:div w:id="881475598">
      <w:bodyDiv w:val="1"/>
      <w:marLeft w:val="0"/>
      <w:marRight w:val="0"/>
      <w:marTop w:val="0"/>
      <w:marBottom w:val="0"/>
      <w:divBdr>
        <w:top w:val="none" w:sz="0" w:space="0" w:color="auto"/>
        <w:left w:val="none" w:sz="0" w:space="0" w:color="auto"/>
        <w:bottom w:val="none" w:sz="0" w:space="0" w:color="auto"/>
        <w:right w:val="none" w:sz="0" w:space="0" w:color="auto"/>
      </w:divBdr>
    </w:div>
    <w:div w:id="888341318">
      <w:bodyDiv w:val="1"/>
      <w:marLeft w:val="0"/>
      <w:marRight w:val="0"/>
      <w:marTop w:val="0"/>
      <w:marBottom w:val="0"/>
      <w:divBdr>
        <w:top w:val="none" w:sz="0" w:space="0" w:color="auto"/>
        <w:left w:val="none" w:sz="0" w:space="0" w:color="auto"/>
        <w:bottom w:val="none" w:sz="0" w:space="0" w:color="auto"/>
        <w:right w:val="none" w:sz="0" w:space="0" w:color="auto"/>
      </w:divBdr>
    </w:div>
    <w:div w:id="1057510622">
      <w:bodyDiv w:val="1"/>
      <w:marLeft w:val="0"/>
      <w:marRight w:val="0"/>
      <w:marTop w:val="0"/>
      <w:marBottom w:val="0"/>
      <w:divBdr>
        <w:top w:val="none" w:sz="0" w:space="0" w:color="auto"/>
        <w:left w:val="none" w:sz="0" w:space="0" w:color="auto"/>
        <w:bottom w:val="none" w:sz="0" w:space="0" w:color="auto"/>
        <w:right w:val="none" w:sz="0" w:space="0" w:color="auto"/>
      </w:divBdr>
    </w:div>
    <w:div w:id="1125738013">
      <w:bodyDiv w:val="1"/>
      <w:marLeft w:val="0"/>
      <w:marRight w:val="0"/>
      <w:marTop w:val="0"/>
      <w:marBottom w:val="0"/>
      <w:divBdr>
        <w:top w:val="none" w:sz="0" w:space="0" w:color="auto"/>
        <w:left w:val="none" w:sz="0" w:space="0" w:color="auto"/>
        <w:bottom w:val="none" w:sz="0" w:space="0" w:color="auto"/>
        <w:right w:val="none" w:sz="0" w:space="0" w:color="auto"/>
      </w:divBdr>
    </w:div>
    <w:div w:id="1126394678">
      <w:bodyDiv w:val="1"/>
      <w:marLeft w:val="0"/>
      <w:marRight w:val="0"/>
      <w:marTop w:val="0"/>
      <w:marBottom w:val="0"/>
      <w:divBdr>
        <w:top w:val="none" w:sz="0" w:space="0" w:color="auto"/>
        <w:left w:val="none" w:sz="0" w:space="0" w:color="auto"/>
        <w:bottom w:val="none" w:sz="0" w:space="0" w:color="auto"/>
        <w:right w:val="none" w:sz="0" w:space="0" w:color="auto"/>
      </w:divBdr>
    </w:div>
    <w:div w:id="1127119250">
      <w:bodyDiv w:val="1"/>
      <w:marLeft w:val="0"/>
      <w:marRight w:val="0"/>
      <w:marTop w:val="0"/>
      <w:marBottom w:val="0"/>
      <w:divBdr>
        <w:top w:val="none" w:sz="0" w:space="0" w:color="auto"/>
        <w:left w:val="none" w:sz="0" w:space="0" w:color="auto"/>
        <w:bottom w:val="none" w:sz="0" w:space="0" w:color="auto"/>
        <w:right w:val="none" w:sz="0" w:space="0" w:color="auto"/>
      </w:divBdr>
    </w:div>
    <w:div w:id="1215771498">
      <w:bodyDiv w:val="1"/>
      <w:marLeft w:val="0"/>
      <w:marRight w:val="0"/>
      <w:marTop w:val="0"/>
      <w:marBottom w:val="0"/>
      <w:divBdr>
        <w:top w:val="none" w:sz="0" w:space="0" w:color="auto"/>
        <w:left w:val="none" w:sz="0" w:space="0" w:color="auto"/>
        <w:bottom w:val="none" w:sz="0" w:space="0" w:color="auto"/>
        <w:right w:val="none" w:sz="0" w:space="0" w:color="auto"/>
      </w:divBdr>
    </w:div>
    <w:div w:id="1238051048">
      <w:bodyDiv w:val="1"/>
      <w:marLeft w:val="0"/>
      <w:marRight w:val="0"/>
      <w:marTop w:val="0"/>
      <w:marBottom w:val="0"/>
      <w:divBdr>
        <w:top w:val="none" w:sz="0" w:space="0" w:color="auto"/>
        <w:left w:val="none" w:sz="0" w:space="0" w:color="auto"/>
        <w:bottom w:val="none" w:sz="0" w:space="0" w:color="auto"/>
        <w:right w:val="none" w:sz="0" w:space="0" w:color="auto"/>
      </w:divBdr>
    </w:div>
    <w:div w:id="1252276175">
      <w:bodyDiv w:val="1"/>
      <w:marLeft w:val="0"/>
      <w:marRight w:val="0"/>
      <w:marTop w:val="0"/>
      <w:marBottom w:val="0"/>
      <w:divBdr>
        <w:top w:val="none" w:sz="0" w:space="0" w:color="auto"/>
        <w:left w:val="none" w:sz="0" w:space="0" w:color="auto"/>
        <w:bottom w:val="none" w:sz="0" w:space="0" w:color="auto"/>
        <w:right w:val="none" w:sz="0" w:space="0" w:color="auto"/>
      </w:divBdr>
    </w:div>
    <w:div w:id="1371883277">
      <w:bodyDiv w:val="1"/>
      <w:marLeft w:val="0"/>
      <w:marRight w:val="0"/>
      <w:marTop w:val="0"/>
      <w:marBottom w:val="0"/>
      <w:divBdr>
        <w:top w:val="none" w:sz="0" w:space="0" w:color="auto"/>
        <w:left w:val="none" w:sz="0" w:space="0" w:color="auto"/>
        <w:bottom w:val="none" w:sz="0" w:space="0" w:color="auto"/>
        <w:right w:val="none" w:sz="0" w:space="0" w:color="auto"/>
      </w:divBdr>
    </w:div>
    <w:div w:id="1409570770">
      <w:bodyDiv w:val="1"/>
      <w:marLeft w:val="0"/>
      <w:marRight w:val="0"/>
      <w:marTop w:val="0"/>
      <w:marBottom w:val="0"/>
      <w:divBdr>
        <w:top w:val="none" w:sz="0" w:space="0" w:color="auto"/>
        <w:left w:val="none" w:sz="0" w:space="0" w:color="auto"/>
        <w:bottom w:val="none" w:sz="0" w:space="0" w:color="auto"/>
        <w:right w:val="none" w:sz="0" w:space="0" w:color="auto"/>
      </w:divBdr>
    </w:div>
    <w:div w:id="1415127800">
      <w:bodyDiv w:val="1"/>
      <w:marLeft w:val="0"/>
      <w:marRight w:val="0"/>
      <w:marTop w:val="0"/>
      <w:marBottom w:val="0"/>
      <w:divBdr>
        <w:top w:val="none" w:sz="0" w:space="0" w:color="auto"/>
        <w:left w:val="none" w:sz="0" w:space="0" w:color="auto"/>
        <w:bottom w:val="none" w:sz="0" w:space="0" w:color="auto"/>
        <w:right w:val="none" w:sz="0" w:space="0" w:color="auto"/>
      </w:divBdr>
    </w:div>
    <w:div w:id="1448160764">
      <w:bodyDiv w:val="1"/>
      <w:marLeft w:val="0"/>
      <w:marRight w:val="0"/>
      <w:marTop w:val="0"/>
      <w:marBottom w:val="0"/>
      <w:divBdr>
        <w:top w:val="none" w:sz="0" w:space="0" w:color="auto"/>
        <w:left w:val="none" w:sz="0" w:space="0" w:color="auto"/>
        <w:bottom w:val="none" w:sz="0" w:space="0" w:color="auto"/>
        <w:right w:val="none" w:sz="0" w:space="0" w:color="auto"/>
      </w:divBdr>
    </w:div>
    <w:div w:id="1479418827">
      <w:bodyDiv w:val="1"/>
      <w:marLeft w:val="0"/>
      <w:marRight w:val="0"/>
      <w:marTop w:val="0"/>
      <w:marBottom w:val="0"/>
      <w:divBdr>
        <w:top w:val="none" w:sz="0" w:space="0" w:color="auto"/>
        <w:left w:val="none" w:sz="0" w:space="0" w:color="auto"/>
        <w:bottom w:val="none" w:sz="0" w:space="0" w:color="auto"/>
        <w:right w:val="none" w:sz="0" w:space="0" w:color="auto"/>
      </w:divBdr>
    </w:div>
    <w:div w:id="1524048609">
      <w:bodyDiv w:val="1"/>
      <w:marLeft w:val="0"/>
      <w:marRight w:val="0"/>
      <w:marTop w:val="0"/>
      <w:marBottom w:val="0"/>
      <w:divBdr>
        <w:top w:val="none" w:sz="0" w:space="0" w:color="auto"/>
        <w:left w:val="none" w:sz="0" w:space="0" w:color="auto"/>
        <w:bottom w:val="none" w:sz="0" w:space="0" w:color="auto"/>
        <w:right w:val="none" w:sz="0" w:space="0" w:color="auto"/>
      </w:divBdr>
    </w:div>
    <w:div w:id="1570532302">
      <w:bodyDiv w:val="1"/>
      <w:marLeft w:val="0"/>
      <w:marRight w:val="0"/>
      <w:marTop w:val="0"/>
      <w:marBottom w:val="0"/>
      <w:divBdr>
        <w:top w:val="none" w:sz="0" w:space="0" w:color="auto"/>
        <w:left w:val="none" w:sz="0" w:space="0" w:color="auto"/>
        <w:bottom w:val="none" w:sz="0" w:space="0" w:color="auto"/>
        <w:right w:val="none" w:sz="0" w:space="0" w:color="auto"/>
      </w:divBdr>
    </w:div>
    <w:div w:id="1637565452">
      <w:bodyDiv w:val="1"/>
      <w:marLeft w:val="0"/>
      <w:marRight w:val="0"/>
      <w:marTop w:val="0"/>
      <w:marBottom w:val="0"/>
      <w:divBdr>
        <w:top w:val="none" w:sz="0" w:space="0" w:color="auto"/>
        <w:left w:val="none" w:sz="0" w:space="0" w:color="auto"/>
        <w:bottom w:val="none" w:sz="0" w:space="0" w:color="auto"/>
        <w:right w:val="none" w:sz="0" w:space="0" w:color="auto"/>
      </w:divBdr>
    </w:div>
    <w:div w:id="1639022553">
      <w:bodyDiv w:val="1"/>
      <w:marLeft w:val="0"/>
      <w:marRight w:val="0"/>
      <w:marTop w:val="0"/>
      <w:marBottom w:val="0"/>
      <w:divBdr>
        <w:top w:val="none" w:sz="0" w:space="0" w:color="auto"/>
        <w:left w:val="none" w:sz="0" w:space="0" w:color="auto"/>
        <w:bottom w:val="none" w:sz="0" w:space="0" w:color="auto"/>
        <w:right w:val="none" w:sz="0" w:space="0" w:color="auto"/>
      </w:divBdr>
    </w:div>
    <w:div w:id="1652321442">
      <w:bodyDiv w:val="1"/>
      <w:marLeft w:val="0"/>
      <w:marRight w:val="0"/>
      <w:marTop w:val="0"/>
      <w:marBottom w:val="0"/>
      <w:divBdr>
        <w:top w:val="none" w:sz="0" w:space="0" w:color="auto"/>
        <w:left w:val="none" w:sz="0" w:space="0" w:color="auto"/>
        <w:bottom w:val="none" w:sz="0" w:space="0" w:color="auto"/>
        <w:right w:val="none" w:sz="0" w:space="0" w:color="auto"/>
      </w:divBdr>
    </w:div>
    <w:div w:id="1694375994">
      <w:bodyDiv w:val="1"/>
      <w:marLeft w:val="0"/>
      <w:marRight w:val="0"/>
      <w:marTop w:val="0"/>
      <w:marBottom w:val="0"/>
      <w:divBdr>
        <w:top w:val="none" w:sz="0" w:space="0" w:color="auto"/>
        <w:left w:val="none" w:sz="0" w:space="0" w:color="auto"/>
        <w:bottom w:val="none" w:sz="0" w:space="0" w:color="auto"/>
        <w:right w:val="none" w:sz="0" w:space="0" w:color="auto"/>
      </w:divBdr>
    </w:div>
    <w:div w:id="1726224285">
      <w:bodyDiv w:val="1"/>
      <w:marLeft w:val="0"/>
      <w:marRight w:val="0"/>
      <w:marTop w:val="0"/>
      <w:marBottom w:val="0"/>
      <w:divBdr>
        <w:top w:val="none" w:sz="0" w:space="0" w:color="auto"/>
        <w:left w:val="none" w:sz="0" w:space="0" w:color="auto"/>
        <w:bottom w:val="none" w:sz="0" w:space="0" w:color="auto"/>
        <w:right w:val="none" w:sz="0" w:space="0" w:color="auto"/>
      </w:divBdr>
    </w:div>
    <w:div w:id="1795902016">
      <w:bodyDiv w:val="1"/>
      <w:marLeft w:val="0"/>
      <w:marRight w:val="0"/>
      <w:marTop w:val="0"/>
      <w:marBottom w:val="0"/>
      <w:divBdr>
        <w:top w:val="none" w:sz="0" w:space="0" w:color="auto"/>
        <w:left w:val="none" w:sz="0" w:space="0" w:color="auto"/>
        <w:bottom w:val="none" w:sz="0" w:space="0" w:color="auto"/>
        <w:right w:val="none" w:sz="0" w:space="0" w:color="auto"/>
      </w:divBdr>
    </w:div>
    <w:div w:id="2012292170">
      <w:bodyDiv w:val="1"/>
      <w:marLeft w:val="0"/>
      <w:marRight w:val="0"/>
      <w:marTop w:val="0"/>
      <w:marBottom w:val="0"/>
      <w:divBdr>
        <w:top w:val="none" w:sz="0" w:space="0" w:color="auto"/>
        <w:left w:val="none" w:sz="0" w:space="0" w:color="auto"/>
        <w:bottom w:val="none" w:sz="0" w:space="0" w:color="auto"/>
        <w:right w:val="none" w:sz="0" w:space="0" w:color="auto"/>
      </w:divBdr>
    </w:div>
    <w:div w:id="2013338449">
      <w:bodyDiv w:val="1"/>
      <w:marLeft w:val="0"/>
      <w:marRight w:val="0"/>
      <w:marTop w:val="0"/>
      <w:marBottom w:val="0"/>
      <w:divBdr>
        <w:top w:val="none" w:sz="0" w:space="0" w:color="auto"/>
        <w:left w:val="none" w:sz="0" w:space="0" w:color="auto"/>
        <w:bottom w:val="none" w:sz="0" w:space="0" w:color="auto"/>
        <w:right w:val="none" w:sz="0" w:space="0" w:color="auto"/>
      </w:divBdr>
    </w:div>
    <w:div w:id="2097243064">
      <w:bodyDiv w:val="1"/>
      <w:marLeft w:val="0"/>
      <w:marRight w:val="0"/>
      <w:marTop w:val="0"/>
      <w:marBottom w:val="0"/>
      <w:divBdr>
        <w:top w:val="none" w:sz="0" w:space="0" w:color="auto"/>
        <w:left w:val="none" w:sz="0" w:space="0" w:color="auto"/>
        <w:bottom w:val="none" w:sz="0" w:space="0" w:color="auto"/>
        <w:right w:val="none" w:sz="0" w:space="0" w:color="auto"/>
      </w:divBdr>
    </w:div>
    <w:div w:id="2111926089">
      <w:bodyDiv w:val="1"/>
      <w:marLeft w:val="0"/>
      <w:marRight w:val="0"/>
      <w:marTop w:val="0"/>
      <w:marBottom w:val="0"/>
      <w:divBdr>
        <w:top w:val="none" w:sz="0" w:space="0" w:color="auto"/>
        <w:left w:val="none" w:sz="0" w:space="0" w:color="auto"/>
        <w:bottom w:val="none" w:sz="0" w:space="0" w:color="auto"/>
        <w:right w:val="none" w:sz="0" w:space="0" w:color="auto"/>
      </w:divBdr>
    </w:div>
    <w:div w:id="2118593648">
      <w:bodyDiv w:val="1"/>
      <w:marLeft w:val="0"/>
      <w:marRight w:val="0"/>
      <w:marTop w:val="0"/>
      <w:marBottom w:val="0"/>
      <w:divBdr>
        <w:top w:val="none" w:sz="0" w:space="0" w:color="auto"/>
        <w:left w:val="none" w:sz="0" w:space="0" w:color="auto"/>
        <w:bottom w:val="none" w:sz="0" w:space="0" w:color="auto"/>
        <w:right w:val="none" w:sz="0" w:space="0" w:color="auto"/>
      </w:divBdr>
    </w:div>
    <w:div w:id="212403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eq2fun.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D5BE6-2156-E94B-BAA9-D15FFFA7E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2264</Words>
  <Characters>12909</Characters>
  <Application>Microsoft Office Word</Application>
  <DocSecurity>0</DocSecurity>
  <Lines>107</Lines>
  <Paragraphs>30</Paragraphs>
  <ScaleCrop>false</ScaleCrop>
  <Company/>
  <LinksUpToDate>false</LinksUpToDate>
  <CharactersWithSpaces>15143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Ewald</dc:creator>
  <cp:keywords/>
  <dc:description/>
  <cp:lastModifiedBy>Jessica Ewald</cp:lastModifiedBy>
  <cp:revision>733</cp:revision>
  <dcterms:created xsi:type="dcterms:W3CDTF">2022-02-11T16:33:00Z</dcterms:created>
  <dcterms:modified xsi:type="dcterms:W3CDTF">2022-10-20T13:39:00Z</dcterms:modified>
</cp:coreProperties>
</file>