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963786" w14:textId="77777777" w:rsidR="0036700A" w:rsidRDefault="0036700A" w:rsidP="0036700A">
      <w:pPr>
        <w:spacing w:before="240" w:line="360" w:lineRule="auto"/>
        <w:rPr>
          <w:rFonts w:eastAsia="WarnockPro-Semibold"/>
          <w:b/>
          <w:color w:val="0D0D0D"/>
          <w:sz w:val="28"/>
          <w:szCs w:val="28"/>
        </w:rPr>
      </w:pPr>
      <w:r>
        <w:rPr>
          <w:rFonts w:eastAsia="WarnockPro-Semibold"/>
          <w:b/>
          <w:color w:val="0D0D0D"/>
          <w:sz w:val="28"/>
          <w:szCs w:val="28"/>
        </w:rPr>
        <w:t>Supplementary Materials</w:t>
      </w:r>
    </w:p>
    <w:p w14:paraId="5ADD04B8" w14:textId="77777777" w:rsidR="0036700A" w:rsidRDefault="0036700A" w:rsidP="0036700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eastAsia="zh-CN"/>
        </w:rPr>
        <w:t>Supplementary Movie 1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en-US" w:eastAsia="en-US"/>
        </w:rPr>
        <w:t>This movie shows the</w:t>
      </w:r>
      <w:r>
        <w:rPr>
          <w:sz w:val="24"/>
          <w:szCs w:val="24"/>
        </w:rPr>
        <w:t xml:space="preserve"> fusion of GFP-DHX9 droplets </w:t>
      </w:r>
      <w:r>
        <w:rPr>
          <w:i/>
          <w:sz w:val="24"/>
          <w:szCs w:val="24"/>
        </w:rPr>
        <w:t>in vitro</w:t>
      </w:r>
      <w:r>
        <w:rPr>
          <w:sz w:val="24"/>
          <w:szCs w:val="24"/>
        </w:rPr>
        <w:t>, related to Figure 5c.</w:t>
      </w:r>
    </w:p>
    <w:p w14:paraId="6C0AE181" w14:textId="77777777" w:rsidR="0036700A" w:rsidRDefault="0036700A" w:rsidP="0036700A">
      <w:pPr>
        <w:spacing w:line="36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  <w:lang w:eastAsia="zh-CN"/>
        </w:rPr>
        <w:t>Supplementary Movie 2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en-US" w:eastAsia="en-US"/>
        </w:rPr>
        <w:t>This movie shows the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eastAsia="zh-CN"/>
        </w:rPr>
        <w:t xml:space="preserve">liquid spreading activity of </w:t>
      </w:r>
      <w:r>
        <w:rPr>
          <w:sz w:val="24"/>
          <w:szCs w:val="24"/>
        </w:rPr>
        <w:t xml:space="preserve">GFP-DHX9 </w:t>
      </w:r>
      <w:r>
        <w:rPr>
          <w:sz w:val="24"/>
          <w:szCs w:val="24"/>
          <w:lang w:val="en-US" w:eastAsia="en-US"/>
        </w:rPr>
        <w:t>droplets</w:t>
      </w:r>
      <w:r>
        <w:rPr>
          <w:i/>
          <w:sz w:val="24"/>
          <w:szCs w:val="24"/>
        </w:rPr>
        <w:t xml:space="preserve"> in vitro</w:t>
      </w:r>
      <w:r>
        <w:rPr>
          <w:sz w:val="24"/>
          <w:szCs w:val="24"/>
        </w:rPr>
        <w:t>, related to Extended Data Figure 6b.</w:t>
      </w:r>
    </w:p>
    <w:p w14:paraId="787A09D2" w14:textId="77777777" w:rsidR="0036700A" w:rsidRDefault="0036700A" w:rsidP="0036700A">
      <w:pPr>
        <w:spacing w:line="360" w:lineRule="auto"/>
        <w:jc w:val="both"/>
        <w:rPr>
          <w:sz w:val="24"/>
          <w:szCs w:val="24"/>
          <w:lang w:val="en-US" w:eastAsia="en-US"/>
        </w:rPr>
      </w:pPr>
      <w:r>
        <w:rPr>
          <w:b/>
          <w:sz w:val="24"/>
          <w:szCs w:val="24"/>
          <w:lang w:eastAsia="zh-CN"/>
        </w:rPr>
        <w:t>Supplementary Movie 3</w:t>
      </w:r>
      <w:r>
        <w:rPr>
          <w:sz w:val="24"/>
          <w:szCs w:val="24"/>
          <w:lang w:val="en-US" w:eastAsia="en-US"/>
        </w:rPr>
        <w:t xml:space="preserve">. This </w:t>
      </w:r>
      <w:bookmarkStart w:id="0" w:name="OLE_LINK242"/>
      <w:bookmarkStart w:id="1" w:name="OLE_LINK243"/>
      <w:r>
        <w:rPr>
          <w:sz w:val="24"/>
          <w:szCs w:val="24"/>
          <w:lang w:val="en-US" w:eastAsia="en-US"/>
        </w:rPr>
        <w:t>movie</w:t>
      </w:r>
      <w:bookmarkEnd w:id="0"/>
      <w:bookmarkEnd w:id="1"/>
      <w:r>
        <w:rPr>
          <w:sz w:val="24"/>
          <w:szCs w:val="24"/>
          <w:lang w:val="en-US" w:eastAsia="en-US"/>
        </w:rPr>
        <w:t xml:space="preserve"> shows the fusion of S</w:t>
      </w:r>
      <w:r>
        <w:rPr>
          <w:rFonts w:ascii="Symbol" w:hAnsi="Symbol"/>
          <w:sz w:val="24"/>
          <w:szCs w:val="24"/>
          <w:lang w:val="en-US" w:eastAsia="en-US"/>
        </w:rPr>
        <w:t></w:t>
      </w:r>
      <w:r>
        <w:rPr>
          <w:sz w:val="24"/>
          <w:szCs w:val="24"/>
          <w:lang w:val="en-US" w:eastAsia="en-US"/>
        </w:rPr>
        <w:t xml:space="preserve">-G4 droplets </w:t>
      </w:r>
      <w:r>
        <w:rPr>
          <w:i/>
          <w:sz w:val="24"/>
          <w:szCs w:val="24"/>
          <w:lang w:val="en-US" w:eastAsia="en-US"/>
        </w:rPr>
        <w:t>in vitro</w:t>
      </w:r>
      <w:r>
        <w:rPr>
          <w:sz w:val="24"/>
          <w:szCs w:val="24"/>
          <w:lang w:val="en-US" w:eastAsia="en-US"/>
        </w:rPr>
        <w:t xml:space="preserve">, related to </w:t>
      </w:r>
      <w:r>
        <w:rPr>
          <w:sz w:val="24"/>
          <w:szCs w:val="24"/>
        </w:rPr>
        <w:t>Extended Data Figure</w:t>
      </w:r>
      <w:r>
        <w:rPr>
          <w:sz w:val="24"/>
          <w:szCs w:val="24"/>
          <w:lang w:val="en-US" w:eastAsia="en-US"/>
        </w:rPr>
        <w:t xml:space="preserve"> 7c.</w:t>
      </w:r>
    </w:p>
    <w:p w14:paraId="7CD7B625" w14:textId="77777777" w:rsidR="0036700A" w:rsidRDefault="0036700A" w:rsidP="0036700A">
      <w:pPr>
        <w:spacing w:line="360" w:lineRule="auto"/>
        <w:jc w:val="both"/>
        <w:rPr>
          <w:sz w:val="24"/>
          <w:szCs w:val="24"/>
          <w:lang w:val="en-US" w:eastAsia="en-US"/>
        </w:rPr>
      </w:pPr>
      <w:r>
        <w:rPr>
          <w:b/>
          <w:sz w:val="24"/>
          <w:szCs w:val="24"/>
          <w:lang w:eastAsia="zh-CN"/>
        </w:rPr>
        <w:t>Supplementary Movie 4</w:t>
      </w:r>
      <w:r>
        <w:rPr>
          <w:sz w:val="24"/>
          <w:szCs w:val="24"/>
        </w:rPr>
        <w:t>.</w:t>
      </w:r>
      <w:r>
        <w:rPr>
          <w:sz w:val="24"/>
          <w:szCs w:val="24"/>
          <w:lang w:val="en-US" w:eastAsia="en-US"/>
        </w:rPr>
        <w:t xml:space="preserve"> This movie shows the fusion of Myc-G4 droplets</w:t>
      </w:r>
      <w:r>
        <w:rPr>
          <w:i/>
          <w:sz w:val="24"/>
          <w:szCs w:val="24"/>
          <w:lang w:val="en-US" w:eastAsia="en-US"/>
        </w:rPr>
        <w:t xml:space="preserve"> in vitro</w:t>
      </w:r>
      <w:r>
        <w:rPr>
          <w:sz w:val="24"/>
          <w:szCs w:val="24"/>
          <w:lang w:val="en-US" w:eastAsia="en-US"/>
        </w:rPr>
        <w:t xml:space="preserve">, related to </w:t>
      </w:r>
      <w:r>
        <w:rPr>
          <w:sz w:val="24"/>
          <w:szCs w:val="24"/>
        </w:rPr>
        <w:t>Extended Data Figure</w:t>
      </w:r>
      <w:r>
        <w:rPr>
          <w:sz w:val="24"/>
          <w:szCs w:val="24"/>
          <w:lang w:val="en-US" w:eastAsia="en-US"/>
        </w:rPr>
        <w:t xml:space="preserve"> 7c.</w:t>
      </w:r>
    </w:p>
    <w:p w14:paraId="7A73A931" w14:textId="77777777" w:rsidR="0036700A" w:rsidRDefault="0036700A" w:rsidP="0036700A">
      <w:pPr>
        <w:spacing w:line="360" w:lineRule="auto"/>
        <w:jc w:val="both"/>
        <w:rPr>
          <w:sz w:val="24"/>
          <w:szCs w:val="24"/>
        </w:rPr>
      </w:pPr>
      <w:r>
        <w:rPr>
          <w:b/>
          <w:sz w:val="24"/>
          <w:szCs w:val="24"/>
          <w:lang w:eastAsia="zh-CN"/>
        </w:rPr>
        <w:t>Supplementary Movie 5</w:t>
      </w:r>
      <w:r>
        <w:rPr>
          <w:sz w:val="24"/>
          <w:szCs w:val="24"/>
        </w:rPr>
        <w:t xml:space="preserve">. </w:t>
      </w:r>
      <w:r>
        <w:rPr>
          <w:sz w:val="24"/>
          <w:szCs w:val="24"/>
          <w:lang w:val="en-US" w:eastAsia="en-US"/>
        </w:rPr>
        <w:t>This movie shows the</w:t>
      </w:r>
      <w:r>
        <w:rPr>
          <w:sz w:val="24"/>
          <w:szCs w:val="24"/>
        </w:rPr>
        <w:t xml:space="preserve"> fusion of GFP-DHX9 and </w:t>
      </w:r>
      <w:r>
        <w:rPr>
          <w:sz w:val="24"/>
          <w:szCs w:val="24"/>
          <w:lang w:val="en-US" w:eastAsia="en-US"/>
        </w:rPr>
        <w:t>S</w:t>
      </w:r>
      <w:r>
        <w:rPr>
          <w:rFonts w:ascii="Symbol" w:hAnsi="Symbol"/>
          <w:sz w:val="24"/>
          <w:szCs w:val="24"/>
          <w:lang w:val="en-US" w:eastAsia="en-US"/>
        </w:rPr>
        <w:t></w:t>
      </w:r>
      <w:r>
        <w:rPr>
          <w:sz w:val="24"/>
          <w:szCs w:val="24"/>
        </w:rPr>
        <w:t xml:space="preserve">-G4 </w:t>
      </w:r>
      <w:r>
        <w:rPr>
          <w:sz w:val="24"/>
          <w:szCs w:val="24"/>
          <w:lang w:val="en-US" w:eastAsia="en-US"/>
        </w:rPr>
        <w:t>droplets</w:t>
      </w:r>
      <w:r>
        <w:rPr>
          <w:i/>
          <w:sz w:val="24"/>
          <w:szCs w:val="24"/>
        </w:rPr>
        <w:t xml:space="preserve"> in vitro</w:t>
      </w:r>
      <w:r>
        <w:rPr>
          <w:sz w:val="24"/>
          <w:szCs w:val="24"/>
        </w:rPr>
        <w:t>, related to Figure 5g.</w:t>
      </w:r>
    </w:p>
    <w:p w14:paraId="422EB177" w14:textId="77777777" w:rsidR="0036700A" w:rsidRDefault="0036700A" w:rsidP="0036700A">
      <w:pPr>
        <w:spacing w:line="360" w:lineRule="auto"/>
        <w:jc w:val="both"/>
        <w:rPr>
          <w:sz w:val="24"/>
          <w:szCs w:val="24"/>
          <w:lang w:val="en-US" w:eastAsia="en-US"/>
        </w:rPr>
      </w:pPr>
      <w:r>
        <w:rPr>
          <w:b/>
          <w:sz w:val="24"/>
          <w:szCs w:val="24"/>
          <w:lang w:eastAsia="zh-CN"/>
        </w:rPr>
        <w:t>Supplementary Table 1</w:t>
      </w:r>
      <w:r>
        <w:rPr>
          <w:sz w:val="24"/>
          <w:szCs w:val="24"/>
          <w:lang w:val="en-US" w:eastAsia="en-US"/>
        </w:rPr>
        <w:t xml:space="preserve">. G4-containing genes identified by G4 </w:t>
      </w:r>
      <w:proofErr w:type="spellStart"/>
      <w:r>
        <w:rPr>
          <w:sz w:val="24"/>
          <w:szCs w:val="24"/>
          <w:lang w:val="en-US" w:eastAsia="en-US"/>
        </w:rPr>
        <w:t>ChIP</w:t>
      </w:r>
      <w:proofErr w:type="spellEnd"/>
      <w:r>
        <w:rPr>
          <w:sz w:val="24"/>
          <w:szCs w:val="24"/>
          <w:lang w:val="en-US" w:eastAsia="en-US"/>
        </w:rPr>
        <w:t>-seq in WT and DHX9-ablated B cells.</w:t>
      </w:r>
    </w:p>
    <w:p w14:paraId="145AF507" w14:textId="77777777" w:rsidR="0036700A" w:rsidRDefault="0036700A" w:rsidP="0036700A">
      <w:pPr>
        <w:autoSpaceDE w:val="0"/>
        <w:autoSpaceDN w:val="0"/>
        <w:adjustRightInd w:val="0"/>
        <w:spacing w:line="360" w:lineRule="auto"/>
        <w:jc w:val="both"/>
        <w:rPr>
          <w:bCs/>
          <w:sz w:val="24"/>
          <w:szCs w:val="24"/>
        </w:rPr>
      </w:pPr>
      <w:r>
        <w:rPr>
          <w:b/>
          <w:sz w:val="24"/>
          <w:szCs w:val="24"/>
          <w:lang w:eastAsia="zh-CN"/>
        </w:rPr>
        <w:t>Supplementary Table 2</w:t>
      </w:r>
      <w:r>
        <w:rPr>
          <w:sz w:val="24"/>
          <w:szCs w:val="24"/>
          <w:lang w:val="en-US" w:eastAsia="en-US"/>
        </w:rPr>
        <w:t xml:space="preserve">. </w:t>
      </w:r>
      <w:proofErr w:type="spellStart"/>
      <w:r>
        <w:rPr>
          <w:bCs/>
          <w:sz w:val="24"/>
          <w:szCs w:val="24"/>
        </w:rPr>
        <w:t>IgH</w:t>
      </w:r>
      <w:proofErr w:type="spellEnd"/>
      <w:r>
        <w:rPr>
          <w:bCs/>
          <w:sz w:val="24"/>
          <w:szCs w:val="24"/>
        </w:rPr>
        <w:t xml:space="preserve"> proximal interacting genes used for the analysis.</w:t>
      </w:r>
    </w:p>
    <w:p w14:paraId="0076DC5F" w14:textId="77777777" w:rsidR="0036700A" w:rsidRDefault="0036700A" w:rsidP="0036700A">
      <w:pPr>
        <w:spacing w:line="360" w:lineRule="auto"/>
        <w:jc w:val="both"/>
        <w:rPr>
          <w:sz w:val="24"/>
          <w:szCs w:val="24"/>
          <w:lang w:val="en-US" w:eastAsia="zh-CN"/>
        </w:rPr>
      </w:pPr>
      <w:r>
        <w:rPr>
          <w:b/>
          <w:sz w:val="24"/>
          <w:szCs w:val="24"/>
          <w:lang w:eastAsia="zh-CN"/>
        </w:rPr>
        <w:t>Supplementary Table 3</w:t>
      </w:r>
      <w:r>
        <w:rPr>
          <w:sz w:val="24"/>
          <w:szCs w:val="24"/>
          <w:lang w:val="en-US" w:eastAsia="en-US"/>
        </w:rPr>
        <w:t>.</w:t>
      </w:r>
      <w:r>
        <w:t xml:space="preserve"> </w:t>
      </w:r>
      <w:r>
        <w:rPr>
          <w:sz w:val="24"/>
          <w:szCs w:val="24"/>
          <w:lang w:val="en-US" w:eastAsia="en-US"/>
        </w:rPr>
        <w:t>Primers used in this study.</w:t>
      </w:r>
    </w:p>
    <w:p w14:paraId="0B7529F2" w14:textId="77777777" w:rsidR="00537E9F" w:rsidRDefault="00537E9F"/>
    <w:sectPr w:rsidR="00537E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arnockPro-Semibold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700A"/>
    <w:rsid w:val="0036700A"/>
    <w:rsid w:val="00537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673346"/>
  <w15:chartTrackingRefBased/>
  <w15:docId w15:val="{9A4CC095-EB41-4B53-8E3B-4513BA92F4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700A"/>
    <w:pPr>
      <w:spacing w:after="0" w:line="240" w:lineRule="auto"/>
    </w:pPr>
    <w:rPr>
      <w:rFonts w:ascii="Times New Roman" w:eastAsia="SimSu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2022-12-15T21:56:00Z</dcterms:created>
  <dcterms:modified xsi:type="dcterms:W3CDTF">2022-12-15T21:56:00Z</dcterms:modified>
</cp:coreProperties>
</file>