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charts/chartEx2.xml" ContentType="application/vnd.ms-office.chartex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640B4" w14:textId="5D408F20" w:rsidR="00453594" w:rsidRPr="00C11D02" w:rsidRDefault="002B3048" w:rsidP="00BF2763">
      <w:pPr>
        <w:rPr>
          <w:b/>
          <w:sz w:val="24"/>
          <w:szCs w:val="24"/>
        </w:rPr>
      </w:pPr>
      <w:r w:rsidRPr="00C11D02">
        <w:rPr>
          <w:b/>
          <w:sz w:val="24"/>
          <w:szCs w:val="24"/>
        </w:rPr>
        <w:t>Appendix-Figure 5. Enrichment of APOBEC-induced genomic mutation level in different EI</w:t>
      </w:r>
      <w:r w:rsidR="00D0068A">
        <w:rPr>
          <w:b/>
          <w:sz w:val="24"/>
          <w:szCs w:val="24"/>
        </w:rPr>
        <w:t>-</w:t>
      </w:r>
      <w:r w:rsidRPr="00C11D02">
        <w:rPr>
          <w:b/>
          <w:sz w:val="24"/>
          <w:szCs w:val="24"/>
        </w:rPr>
        <w:t>score risk categories of patients with del(17p) or t(4;14)</w:t>
      </w:r>
      <w:r w:rsidR="0009777D">
        <w:rPr>
          <w:b/>
          <w:sz w:val="24"/>
          <w:szCs w:val="24"/>
        </w:rPr>
        <w:t xml:space="preserve"> or gain (1q)</w:t>
      </w:r>
      <w:r w:rsidRPr="00C11D02">
        <w:rPr>
          <w:b/>
          <w:sz w:val="24"/>
          <w:szCs w:val="24"/>
        </w:rPr>
        <w:t>.</w:t>
      </w:r>
    </w:p>
    <w:p w14:paraId="7C4D1F24" w14:textId="77777777" w:rsidR="00453594" w:rsidRPr="00C11D02" w:rsidRDefault="00453594">
      <w:pPr>
        <w:rPr>
          <w:sz w:val="24"/>
          <w:szCs w:val="24"/>
        </w:rPr>
      </w:pPr>
    </w:p>
    <w:p w14:paraId="35B09B8B" w14:textId="640ED9DD" w:rsidR="00453594" w:rsidRPr="00C11D02" w:rsidRDefault="002B3048">
      <w:pPr>
        <w:rPr>
          <w:b/>
          <w:sz w:val="24"/>
          <w:szCs w:val="24"/>
        </w:rPr>
      </w:pPr>
      <w:r w:rsidRPr="00C11D02">
        <w:rPr>
          <w:b/>
          <w:sz w:val="24"/>
          <w:szCs w:val="24"/>
        </w:rPr>
        <w:t>Figure 5A. Patients with del(17p)</w:t>
      </w:r>
    </w:p>
    <w:p w14:paraId="28C8CC9A" w14:textId="77777777" w:rsidR="002872A7" w:rsidRPr="00C11D02" w:rsidRDefault="002872A7">
      <w:pPr>
        <w:rPr>
          <w:b/>
          <w:sz w:val="32"/>
          <w:szCs w:val="32"/>
        </w:rPr>
      </w:pPr>
    </w:p>
    <w:p w14:paraId="534BF9E3" w14:textId="5A77062B" w:rsidR="00453594" w:rsidRPr="00C11D02" w:rsidRDefault="00BF2763">
      <w:pPr>
        <w:rPr>
          <w:sz w:val="24"/>
          <w:szCs w:val="24"/>
        </w:rPr>
      </w:pPr>
      <w:r w:rsidRPr="00C11D02">
        <w:rPr>
          <w:noProof/>
        </w:rPr>
        <mc:AlternateContent>
          <mc:Choice Requires="cx1">
            <w:drawing>
              <wp:inline distT="0" distB="0" distL="0" distR="0" wp14:anchorId="23348587" wp14:editId="37440787">
                <wp:extent cx="5943600" cy="5335270"/>
                <wp:effectExtent l="0" t="0" r="0" b="17780"/>
                <wp:docPr id="2" name="Chart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712A0CF-B2C9-4125-896C-E703948AD1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7"/>
                  </a:graphicData>
                </a:graphic>
              </wp:inline>
            </w:drawing>
          </mc:Choice>
          <mc:Fallback>
            <w:drawing>
              <wp:inline distT="0" distB="0" distL="0" distR="0" wp14:anchorId="23348587" wp14:editId="37440787">
                <wp:extent cx="5943600" cy="5335270"/>
                <wp:effectExtent l="0" t="0" r="0" b="17780"/>
                <wp:docPr id="2" name="Chart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712A0CF-B2C9-4125-896C-E703948AD111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Chart 2">
                          <a:extLst>
                            <a:ext uri="{FF2B5EF4-FFF2-40B4-BE49-F238E27FC236}">
                              <a16:creationId xmlns:a16="http://schemas.microsoft.com/office/drawing/2014/main" id="{D712A0CF-B2C9-4125-896C-E703948AD111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53352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24BE63DD" w14:textId="77777777" w:rsidR="00453594" w:rsidRPr="00C11D02" w:rsidRDefault="00453594">
      <w:pPr>
        <w:rPr>
          <w:b/>
          <w:sz w:val="32"/>
          <w:szCs w:val="32"/>
        </w:rPr>
      </w:pPr>
    </w:p>
    <w:p w14:paraId="3709EC6D" w14:textId="77777777" w:rsidR="00453594" w:rsidRPr="00C11D02" w:rsidRDefault="00453594">
      <w:pPr>
        <w:rPr>
          <w:b/>
          <w:sz w:val="32"/>
          <w:szCs w:val="32"/>
        </w:rPr>
      </w:pPr>
    </w:p>
    <w:p w14:paraId="12BFF4F5" w14:textId="77777777" w:rsidR="00453594" w:rsidRPr="00C11D02" w:rsidRDefault="00453594">
      <w:pPr>
        <w:rPr>
          <w:b/>
          <w:sz w:val="32"/>
          <w:szCs w:val="32"/>
        </w:rPr>
      </w:pPr>
    </w:p>
    <w:p w14:paraId="692508EF" w14:textId="77777777" w:rsidR="00453594" w:rsidRPr="00C11D02" w:rsidRDefault="00453594">
      <w:pPr>
        <w:rPr>
          <w:b/>
          <w:sz w:val="32"/>
          <w:szCs w:val="32"/>
        </w:rPr>
      </w:pPr>
    </w:p>
    <w:p w14:paraId="14081E8B" w14:textId="6B9D7700" w:rsidR="00453594" w:rsidRPr="00C11D02" w:rsidRDefault="002B3048">
      <w:pPr>
        <w:rPr>
          <w:b/>
          <w:sz w:val="24"/>
          <w:szCs w:val="24"/>
        </w:rPr>
      </w:pPr>
      <w:r w:rsidRPr="00C11D02">
        <w:rPr>
          <w:b/>
          <w:sz w:val="24"/>
          <w:szCs w:val="24"/>
        </w:rPr>
        <w:t>Figure 5B. Patients with t(4;14)</w:t>
      </w:r>
    </w:p>
    <w:p w14:paraId="12EB32F7" w14:textId="77777777" w:rsidR="002872A7" w:rsidRPr="00C11D02" w:rsidRDefault="002872A7">
      <w:pPr>
        <w:rPr>
          <w:b/>
          <w:sz w:val="32"/>
          <w:szCs w:val="32"/>
        </w:rPr>
      </w:pPr>
    </w:p>
    <w:p w14:paraId="16886D00" w14:textId="628C3D30" w:rsidR="00453594" w:rsidRPr="00C11D02" w:rsidRDefault="002B3048">
      <w:pPr>
        <w:rPr>
          <w:b/>
          <w:noProof/>
          <w:sz w:val="32"/>
          <w:szCs w:val="32"/>
        </w:rPr>
      </w:pPr>
      <w:r w:rsidRPr="00C11D02">
        <w:rPr>
          <w:b/>
          <w:noProof/>
          <w:sz w:val="32"/>
          <w:szCs w:val="32"/>
        </w:rPr>
        <w:drawing>
          <wp:inline distT="114300" distB="114300" distL="114300" distR="114300" wp14:anchorId="021CD6D5" wp14:editId="276A5630">
            <wp:extent cx="5529263" cy="4222136"/>
            <wp:effectExtent l="0" t="0" r="0" b="0"/>
            <wp:docPr id="25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9263" cy="42221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14328E" w14:textId="56E43C70" w:rsidR="002872A7" w:rsidRPr="00C11D02" w:rsidRDefault="002872A7" w:rsidP="002872A7">
      <w:pPr>
        <w:rPr>
          <w:sz w:val="32"/>
          <w:szCs w:val="32"/>
        </w:rPr>
      </w:pPr>
    </w:p>
    <w:p w14:paraId="0CEF8023" w14:textId="5B138452" w:rsidR="002872A7" w:rsidRPr="00C11D02" w:rsidRDefault="002872A7" w:rsidP="002872A7">
      <w:pPr>
        <w:rPr>
          <w:sz w:val="32"/>
          <w:szCs w:val="32"/>
        </w:rPr>
      </w:pPr>
    </w:p>
    <w:p w14:paraId="16C8342E" w14:textId="19867BE4" w:rsidR="002872A7" w:rsidRPr="00C11D02" w:rsidRDefault="002872A7" w:rsidP="002872A7">
      <w:pPr>
        <w:rPr>
          <w:sz w:val="32"/>
          <w:szCs w:val="32"/>
        </w:rPr>
      </w:pPr>
    </w:p>
    <w:p w14:paraId="574B8FA0" w14:textId="08D1D701" w:rsidR="002872A7" w:rsidRPr="00C11D02" w:rsidRDefault="002872A7" w:rsidP="002872A7">
      <w:pPr>
        <w:rPr>
          <w:b/>
          <w:noProof/>
          <w:sz w:val="32"/>
          <w:szCs w:val="32"/>
        </w:rPr>
      </w:pPr>
    </w:p>
    <w:p w14:paraId="7531E7B9" w14:textId="1693A46A" w:rsidR="002872A7" w:rsidRPr="00C11D02" w:rsidRDefault="002872A7" w:rsidP="002872A7">
      <w:pPr>
        <w:rPr>
          <w:sz w:val="32"/>
          <w:szCs w:val="32"/>
        </w:rPr>
      </w:pPr>
    </w:p>
    <w:p w14:paraId="391721E4" w14:textId="477C0830" w:rsidR="002872A7" w:rsidRPr="00C11D02" w:rsidRDefault="002872A7" w:rsidP="002872A7">
      <w:pPr>
        <w:rPr>
          <w:sz w:val="32"/>
          <w:szCs w:val="32"/>
        </w:rPr>
      </w:pPr>
    </w:p>
    <w:p w14:paraId="7C52E38A" w14:textId="12F017A0" w:rsidR="002872A7" w:rsidRPr="00C11D02" w:rsidRDefault="002872A7" w:rsidP="002872A7">
      <w:pPr>
        <w:rPr>
          <w:sz w:val="32"/>
          <w:szCs w:val="32"/>
        </w:rPr>
      </w:pPr>
    </w:p>
    <w:p w14:paraId="1FC71D95" w14:textId="34C6A968" w:rsidR="002872A7" w:rsidRPr="00C11D02" w:rsidRDefault="002872A7" w:rsidP="002872A7">
      <w:pPr>
        <w:rPr>
          <w:sz w:val="32"/>
          <w:szCs w:val="32"/>
        </w:rPr>
      </w:pPr>
    </w:p>
    <w:p w14:paraId="445DD12C" w14:textId="5E2E6F62" w:rsidR="002872A7" w:rsidRPr="00C11D02" w:rsidRDefault="002872A7" w:rsidP="002872A7">
      <w:pPr>
        <w:rPr>
          <w:sz w:val="32"/>
          <w:szCs w:val="32"/>
        </w:rPr>
      </w:pPr>
    </w:p>
    <w:p w14:paraId="500A9CD7" w14:textId="733E373E" w:rsidR="002872A7" w:rsidRPr="00C11D02" w:rsidRDefault="002872A7" w:rsidP="002872A7">
      <w:pPr>
        <w:rPr>
          <w:b/>
          <w:sz w:val="32"/>
          <w:szCs w:val="32"/>
        </w:rPr>
      </w:pPr>
      <w:r w:rsidRPr="00C11D02">
        <w:rPr>
          <w:b/>
          <w:sz w:val="24"/>
          <w:szCs w:val="24"/>
        </w:rPr>
        <w:t>Figure 5</w:t>
      </w:r>
      <w:r w:rsidR="008E0458" w:rsidRPr="00C11D02">
        <w:rPr>
          <w:b/>
          <w:sz w:val="24"/>
          <w:szCs w:val="24"/>
        </w:rPr>
        <w:t>C</w:t>
      </w:r>
      <w:r w:rsidRPr="00C11D02">
        <w:rPr>
          <w:b/>
          <w:sz w:val="24"/>
          <w:szCs w:val="24"/>
        </w:rPr>
        <w:t>. Patients with gain (1q)</w:t>
      </w:r>
    </w:p>
    <w:p w14:paraId="3673D9BE" w14:textId="34DA3E3C" w:rsidR="002872A7" w:rsidRPr="00C11D02" w:rsidRDefault="00BF2763" w:rsidP="002872A7">
      <w:pPr>
        <w:rPr>
          <w:sz w:val="32"/>
          <w:szCs w:val="32"/>
        </w:rPr>
      </w:pPr>
      <w:r w:rsidRPr="00C11D02">
        <w:rPr>
          <w:noProof/>
        </w:rPr>
        <mc:AlternateContent>
          <mc:Choice Requires="cx1">
            <w:drawing>
              <wp:anchor distT="0" distB="0" distL="114300" distR="114300" simplePos="0" relativeHeight="251658240" behindDoc="1" locked="0" layoutInCell="1" allowOverlap="1" wp14:anchorId="1E80A79A" wp14:editId="69CEDAB5">
                <wp:simplePos x="0" y="0"/>
                <wp:positionH relativeFrom="margin">
                  <wp:align>right</wp:align>
                </wp:positionH>
                <wp:positionV relativeFrom="paragraph">
                  <wp:posOffset>425450</wp:posOffset>
                </wp:positionV>
                <wp:extent cx="5943600" cy="4077970"/>
                <wp:effectExtent l="0" t="0" r="0" b="17780"/>
                <wp:wrapTight wrapText="bothSides">
                  <wp:wrapPolygon edited="0">
                    <wp:start x="0" y="0"/>
                    <wp:lineTo x="0" y="21593"/>
                    <wp:lineTo x="21531" y="21593"/>
                    <wp:lineTo x="21531" y="0"/>
                    <wp:lineTo x="0" y="0"/>
                  </wp:wrapPolygon>
                </wp:wrapTight>
                <wp:docPr id="1" name="Chart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83CC278-7A9A-49DE-A4AA-3D2E6F23D74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10"/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58240" behindDoc="1" locked="0" layoutInCell="1" allowOverlap="1" wp14:anchorId="1E80A79A" wp14:editId="69CEDAB5">
                <wp:simplePos x="0" y="0"/>
                <wp:positionH relativeFrom="margin">
                  <wp:align>right</wp:align>
                </wp:positionH>
                <wp:positionV relativeFrom="paragraph">
                  <wp:posOffset>425450</wp:posOffset>
                </wp:positionV>
                <wp:extent cx="5943600" cy="4077970"/>
                <wp:effectExtent l="0" t="0" r="0" b="17780"/>
                <wp:wrapTight wrapText="bothSides">
                  <wp:wrapPolygon edited="0">
                    <wp:start x="0" y="0"/>
                    <wp:lineTo x="0" y="21593"/>
                    <wp:lineTo x="21531" y="21593"/>
                    <wp:lineTo x="21531" y="0"/>
                    <wp:lineTo x="0" y="0"/>
                  </wp:wrapPolygon>
                </wp:wrapTight>
                <wp:docPr id="1" name="Chart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83CC278-7A9A-49DE-A4AA-3D2E6F23D74D}"/>
                    </a:ext>
                  </a:extLst>
                </wp:docPr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Chart 1">
                          <a:extLst>
                            <a:ext uri="{FF2B5EF4-FFF2-40B4-BE49-F238E27FC236}">
                              <a16:creationId xmlns:a16="http://schemas.microsoft.com/office/drawing/2014/main" id="{283CC278-7A9A-49DE-A4AA-3D2E6F23D74D}"/>
                            </a:ext>
                          </a:extLst>
                        </pic:cNvPr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40779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V relativeFrom="margin">
                  <wp14:pctHeight>0</wp14:pctHeight>
                </wp14:sizeRelV>
              </wp:anchor>
            </w:drawing>
          </mc:Fallback>
        </mc:AlternateContent>
      </w:r>
    </w:p>
    <w:sectPr w:rsidR="002872A7" w:rsidRPr="00C11D02">
      <w:headerReference w:type="default" r:id="rId12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71332" w14:textId="77777777" w:rsidR="00035E88" w:rsidRDefault="00035E88">
      <w:pPr>
        <w:spacing w:after="0" w:line="240" w:lineRule="auto"/>
      </w:pPr>
      <w:r>
        <w:separator/>
      </w:r>
    </w:p>
  </w:endnote>
  <w:endnote w:type="continuationSeparator" w:id="0">
    <w:p w14:paraId="3B78CFDD" w14:textId="77777777" w:rsidR="00035E88" w:rsidRDefault="00035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829C4" w14:textId="77777777" w:rsidR="00035E88" w:rsidRDefault="00035E88">
      <w:pPr>
        <w:spacing w:after="0" w:line="240" w:lineRule="auto"/>
      </w:pPr>
      <w:r>
        <w:separator/>
      </w:r>
    </w:p>
  </w:footnote>
  <w:footnote w:type="continuationSeparator" w:id="0">
    <w:p w14:paraId="1A35D912" w14:textId="77777777" w:rsidR="00035E88" w:rsidRDefault="00035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16694" w14:textId="77777777" w:rsidR="00453594" w:rsidRDefault="0045359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594"/>
    <w:rsid w:val="00035E88"/>
    <w:rsid w:val="00076E00"/>
    <w:rsid w:val="0009777D"/>
    <w:rsid w:val="001D6BF4"/>
    <w:rsid w:val="002872A7"/>
    <w:rsid w:val="002B3048"/>
    <w:rsid w:val="00453594"/>
    <w:rsid w:val="008E0458"/>
    <w:rsid w:val="00AD33B3"/>
    <w:rsid w:val="00BF2763"/>
    <w:rsid w:val="00C11D02"/>
    <w:rsid w:val="00D0068A"/>
    <w:rsid w:val="00D1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8E290"/>
  <w15:docId w15:val="{356007B8-A2B5-45B0-8CDF-888E4C94B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2A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4/relationships/chartEx" Target="charts/chartEx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microsoft.com/office/2014/relationships/chartEx" Target="charts/chartEx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fsaneh\Desktop\Dell\EI-score%20paper\paper%20may%2023\Del%2017p-%20Mutation%20burden%20and%20sig-%20EI.xlsx" TargetMode="External"/></Relationships>
</file>

<file path=word/charts/_rels/chartEx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fsaneh\Desktop\Dell\EI-score%20paper\paper%20may%2023\Gain%201q-%20mutation%20burden%20and%20sig-%20EI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'APOBEC enr in del 17p EI'!$O$2:$O$948</cx:f>
        <cx:lvl ptCount="947" formatCode="General">
          <cx:pt idx="0">0.59649122799999998</cx:pt>
          <cx:pt idx="1">0.94266137800000005</cx:pt>
          <cx:pt idx="2">0.93617021300000003</cx:pt>
          <cx:pt idx="3">1.50242915</cx:pt>
          <cx:pt idx="4">0.45401382200000001</cx:pt>
          <cx:pt idx="5">0.89254658399999998</cx:pt>
        </cx:lvl>
      </cx:numDim>
    </cx:data>
    <cx:data id="1">
      <cx:numDim type="val">
        <cx:f>'APOBEC enr in del 17p EI'!$P$2:$P$948</cx:f>
        <cx:lvl ptCount="947" formatCode="General">
          <cx:pt idx="0">1.523232323</cx:pt>
          <cx:pt idx="1">1.7136363640000001</cx:pt>
          <cx:pt idx="2">0.27186512099999999</cx:pt>
          <cx:pt idx="3">0.86438152000000001</cx:pt>
          <cx:pt idx="4">1.222365591</cx:pt>
          <cx:pt idx="5">1.966643868</cx:pt>
          <cx:pt idx="6">3.583085106</cx:pt>
          <cx:pt idx="7">1.46399653</cx:pt>
          <cx:pt idx="8">1.656869446</cx:pt>
          <cx:pt idx="9">0.74956622299999998</cx:pt>
          <cx:pt idx="10">1.2380952380000001</cx:pt>
          <cx:pt idx="11">1.193576389</cx:pt>
          <cx:pt idx="12">0.98144918299999995</cx:pt>
          <cx:pt idx="13">0.78262025000000002</cx:pt>
          <cx:pt idx="14">2.4011718750000002</cx:pt>
          <cx:pt idx="15">2.020979021</cx:pt>
          <cx:pt idx="16">0.81930749800000002</cx:pt>
          <cx:pt idx="17">1.5699270700000001</cx:pt>
          <cx:pt idx="18">1.491863591</cx:pt>
          <cx:pt idx="19">1.008241758</cx:pt>
          <cx:pt idx="20">1.9356586069999999</cx:pt>
          <cx:pt idx="21">1.7623285129999999</cx:pt>
          <cx:pt idx="22">1.0685057469999999</cx:pt>
          <cx:pt idx="23">0.51898734199999996</cx:pt>
          <cx:pt idx="24">0.93991677699999998</cx:pt>
          <cx:pt idx="25">2.5222478119999998</cx:pt>
          <cx:pt idx="26">4.0072232449999996</cx:pt>
          <cx:pt idx="27">0.65412541300000004</cx:pt>
          <cx:pt idx="28">1.633247009</cx:pt>
          <cx:pt idx="29">1.6875</cx:pt>
          <cx:pt idx="30">0.85932768000000004</cx:pt>
          <cx:pt idx="31">0.48925886099999999</cx:pt>
          <cx:pt idx="32">1.298181818</cx:pt>
          <cx:pt idx="33">1.871341463</cx:pt>
          <cx:pt idx="34">1.5304531429999999</cx:pt>
          <cx:pt idx="35">0.48983451500000003</cx:pt>
          <cx:pt idx="36">1.220421754</cx:pt>
        </cx:lvl>
      </cx:numDim>
    </cx:data>
    <cx:data id="2">
      <cx:numDim type="val">
        <cx:f>'APOBEC enr in del 17p EI'!$Q$2:$Q$948</cx:f>
        <cx:lvl ptCount="947" formatCode="General">
          <cx:pt idx="0">1.0423076920000001</cx:pt>
          <cx:pt idx="1">2.13375</cx:pt>
          <cx:pt idx="2">0.94964705900000002</cx:pt>
          <cx:pt idx="3">1.8167701860000001</cx:pt>
          <cx:pt idx="4">1.3069120080000001</cx:pt>
          <cx:pt idx="5">1.20133599</cx:pt>
          <cx:pt idx="6">2.4926770710000001</cx:pt>
          <cx:pt idx="7">2.381642512</cx:pt>
          <cx:pt idx="8">1.5916666669999999</cx:pt>
          <cx:pt idx="9">2.0900594730000002</cx:pt>
        </cx:lvl>
      </cx:numDim>
    </cx:data>
  </cx:chartData>
  <cx:chart>
    <cx:title pos="t" align="ctr" overlay="0">
      <cx:tx>
        <cx:rich>
          <a:bodyPr spcFirstLastPara="1" vertOverflow="ellipsis" horzOverflow="overflow" wrap="square" lIns="0" tIns="0" rIns="0" bIns="0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/>
            </a:pPr>
            <a:r>
              <a:rPr lang="en-US" sz="2400" b="1" i="0" u="none" strike="noStrike" baseline="0">
                <a:solidFill>
                  <a:sysClr val="windowText" lastClr="000000">
                    <a:lumMod val="65000"/>
                    <a:lumOff val="35000"/>
                  </a:sysClr>
                </a:solidFill>
                <a:effectLst/>
                <a:latin typeface="Calibri" panose="020F0502020204030204"/>
                <a:ea typeface="Calibri" panose="020F0502020204030204" pitchFamily="34" charset="0"/>
                <a:cs typeface="Calibri" panose="020F0502020204030204" pitchFamily="34" charset="0"/>
              </a:rPr>
              <a:t>APOBEC mutation enrichment score</a:t>
            </a:r>
            <a:endParaRPr lang="en-CA" sz="2400">
              <a:effectLst/>
            </a:endParaRPr>
          </a:p>
        </cx:rich>
      </cx:tx>
    </cx:title>
    <cx:plotArea>
      <cx:plotAreaRegion>
        <cx:series layoutId="boxWhisker" uniqueId="{722DBBB7-2204-4293-8817-22BC79C0481E}">
          <cx:tx>
            <cx:txData>
              <cx:f>'APOBEC enr in del 17p EI'!$O$1</cx:f>
              <cx:v>Del(17p)/EIscore low</cx:v>
            </cx:txData>
          </cx:tx>
          <cx:spPr>
            <a:solidFill>
              <a:srgbClr val="0D2DA3"/>
            </a:solidFill>
            <a:ln>
              <a:solidFill>
                <a:srgbClr val="0F4DB1"/>
              </a:solidFill>
            </a:ln>
          </cx:spPr>
          <cx:dataId val="0"/>
          <cx:layoutPr>
            <cx:visibility meanLine="0" meanMarker="1" nonoutliers="0" outliers="1"/>
            <cx:statistics quartileMethod="exclusive"/>
          </cx:layoutPr>
        </cx:series>
        <cx:series layoutId="boxWhisker" uniqueId="{425E4D26-67EF-4B50-9E6C-B8BA2EF1727C}">
          <cx:tx>
            <cx:txData>
              <cx:f>'APOBEC enr in del 17p EI'!$P$1</cx:f>
              <cx:v>Del(17p)/EIscore intermediate</cx:v>
            </cx:txData>
          </cx:tx>
          <cx:spPr>
            <a:solidFill>
              <a:srgbClr val="6C0BC5"/>
            </a:solidFill>
            <a:ln>
              <a:solidFill>
                <a:srgbClr val="8F45C7"/>
              </a:solidFill>
            </a:ln>
          </cx:spPr>
          <cx:dataId val="1"/>
          <cx:layoutPr>
            <cx:visibility meanLine="0" meanMarker="1" nonoutliers="0" outliers="1"/>
            <cx:statistics quartileMethod="exclusive"/>
          </cx:layoutPr>
        </cx:series>
        <cx:series layoutId="boxWhisker" uniqueId="{C812F89D-4504-4A47-B5C6-C23AE2CB408B}">
          <cx:tx>
            <cx:txData>
              <cx:f>'APOBEC enr in del 17p EI'!$Q$1</cx:f>
              <cx:v>Del(17p)/EIscore high</cx:v>
            </cx:txData>
          </cx:tx>
          <cx:spPr>
            <a:solidFill>
              <a:srgbClr val="FF0000"/>
            </a:solidFill>
            <a:ln>
              <a:solidFill>
                <a:srgbClr val="C00000"/>
              </a:solidFill>
            </a:ln>
          </cx:spPr>
          <cx:dataId val="2"/>
          <cx:layoutPr>
            <cx:visibility meanLine="0" meanMarker="1" nonoutliers="0" outliers="1"/>
            <cx:statistics quartileMethod="exclusive"/>
          </cx:layoutPr>
        </cx:series>
      </cx:plotAreaRegion>
      <cx:axis id="0" hidden="1">
        <cx:catScaling gapWidth="1"/>
        <cx:tickLabels/>
      </cx:axis>
      <cx:axis id="1">
        <cx:valScaling/>
        <cx:majorGridlines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200"/>
            </a:pPr>
            <a:endParaRPr lang="en-US" sz="1200" b="0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endParaRPr>
          </a:p>
        </cx:txPr>
      </cx:axis>
    </cx:plotArea>
    <cx:legend pos="t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 sz="1800"/>
          </a:pPr>
          <a:endParaRPr lang="en-US" sz="1800" b="0" i="0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Calibri" panose="020F0502020204030204"/>
          </a:endParaRPr>
        </a:p>
      </cx:txPr>
    </cx:legend>
  </cx:chart>
</cx:chartSpace>
</file>

<file path=word/charts/chartEx2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numDim type="val">
        <cx:f>Sheet2!$U$2:$U$155</cx:f>
        <cx:lvl ptCount="154" formatCode="General">
          <cx:pt idx="0">1.258252427</cx:pt>
          <cx:pt idx="1">1.652923538</cx:pt>
          <cx:pt idx="2">1.0387096769999999</cx:pt>
          <cx:pt idx="3">0.70578947400000003</cx:pt>
          <cx:pt idx="4">1.803176404</cx:pt>
          <cx:pt idx="5">0.78823529400000003</cx:pt>
          <cx:pt idx="6">1.103878548</cx:pt>
          <cx:pt idx="7">1.5437665780000001</cx:pt>
          <cx:pt idx="8">1.1495312499999999</cx:pt>
          <cx:pt idx="9">0.56135973800000005</cx:pt>
          <cx:pt idx="10">1.922685835</cx:pt>
          <cx:pt idx="11">0.648858669</cx:pt>
          <cx:pt idx="12">4.2123759879999998</cx:pt>
          <cx:pt idx="13">1.184210526</cx:pt>
          <cx:pt idx="14">1.6081471350000001</cx:pt>
          <cx:pt idx="15">1.305153445</cx:pt>
          <cx:pt idx="16">0.81113801500000005</cx:pt>
          <cx:pt idx="17">1.3602053919999999</cx:pt>
          <cx:pt idx="18">2.7685039370000002</cx:pt>
          <cx:pt idx="19">0.91333333299999997</cx:pt>
          <cx:pt idx="20">1.551198257</cx:pt>
          <cx:pt idx="21">0.718088324</cx:pt>
          <cx:pt idx="22">1.061443932</cx:pt>
          <cx:pt idx="23">1.7765175010000001</cx:pt>
          <cx:pt idx="24">1.173443129</cx:pt>
          <cx:pt idx="25">2.0766691119999998</cx:pt>
          <cx:pt idx="26">1.861602982</cx:pt>
          <cx:pt idx="27">1.0540915399999999</cx:pt>
          <cx:pt idx="28">1.0909886259999999</cx:pt>
          <cx:pt idx="29">1.0198675500000001</cx:pt>
          <cx:pt idx="30">1.3581500280000001</cx:pt>
          <cx:pt idx="31">0.97068370900000001</cx:pt>
          <cx:pt idx="32">0.55902777800000003</cx:pt>
          <cx:pt idx="33">1.7708333329999999</cx:pt>
          <cx:pt idx="34">4.1791668</cx:pt>
          <cx:pt idx="35">1.2777777779999999</cx:pt>
          <cx:pt idx="36">1.1559497409999999</cx:pt>
          <cx:pt idx="37">1.3924242419999999</cx:pt>
          <cx:pt idx="38">1.066666667</cx:pt>
          <cx:pt idx="39">1.1227678569999999</cx:pt>
          <cx:pt idx="40">1.2773613189999999</cx:pt>
          <cx:pt idx="41">0.33711949099999999</cx:pt>
          <cx:pt idx="42">1.5127840910000001</cx:pt>
          <cx:pt idx="43">0.91358024699999996</cx:pt>
          <cx:pt idx="44">2.5470085469999999</cx:pt>
          <cx:pt idx="45">1.230434783</cx:pt>
          <cx:pt idx="46">0.97326203200000005</cx:pt>
          <cx:pt idx="47">4.1591789139999999</cx:pt>
          <cx:pt idx="48">0.92823529400000004</cx:pt>
          <cx:pt idx="49">2.1825000000000001</cx:pt>
          <cx:pt idx="50">0.55291350900000003</cx:pt>
          <cx:pt idx="51">1.13999088</cx:pt>
          <cx:pt idx="52">1.222365591</cx:pt>
          <cx:pt idx="53">1.966643868</cx:pt>
          <cx:pt idx="54">2.7453629030000002</cx:pt>
          <cx:pt idx="55">4.0848496839999999</cx:pt>
          <cx:pt idx="56">1.5575284730000001</cx:pt>
          <cx:pt idx="57">3.583085106</cx:pt>
          <cx:pt idx="58">1.399503722</cx:pt>
          <cx:pt idx="59">0.82199546499999998</cx:pt>
          <cx:pt idx="60">1.5162393160000001</cx:pt>
          <cx:pt idx="61">0.884621565</cx:pt>
          <cx:pt idx="62">1.227067669</cx:pt>
          <cx:pt idx="63">1.897993311</cx:pt>
          <cx:pt idx="64">1.1565789470000001</cx:pt>
          <cx:pt idx="65">1.5891679350000001</cx:pt>
          <cx:pt idx="66">1.421794872</cx:pt>
          <cx:pt idx="67">0.98144918299999995</cx:pt>
          <cx:pt idx="68">0.94543650800000001</cx:pt>
          <cx:pt idx="69">1.7478813559999999</cx:pt>
          <cx:pt idx="70">0.44321329599999998</cx:pt>
          <cx:pt idx="71">0.66595059099999998</cx:pt>
          <cx:pt idx="72">0.81930749800000002</cx:pt>
          <cx:pt idx="73">1.491863591</cx:pt>
          <cx:pt idx="74">1.5851239669999999</cx:pt>
          <cx:pt idx="75">1.48496732</cx:pt>
          <cx:pt idx="76">0.95212766000000004</cx:pt>
          <cx:pt idx="77">1.1181115589999999</cx:pt>
          <cx:pt idx="78">1.146304676</cx:pt>
          <cx:pt idx="79">1.3035294120000001</cx:pt>
          <cx:pt idx="80">3.0419685990000001</cx:pt>
          <cx:pt idx="81">2.1630802710000001</cx:pt>
          <cx:pt idx="82">0.77702702700000004</cx:pt>
          <cx:pt idx="83">4.1363488669999997</cx:pt>
          <cx:pt idx="84">1.3649425289999999</cx:pt>
          <cx:pt idx="85">1.26811053</cx:pt>
          <cx:pt idx="86">1.4666666669999999</cx:pt>
          <cx:pt idx="87">2.0391639989999999</cx:pt>
          <cx:pt idx="88">1.1893988360000001</cx:pt>
          <cx:pt idx="89">2.524038462</cx:pt>
          <cx:pt idx="90">4.1319179210000003</cx:pt>
          <cx:pt idx="91">1.809017595</cx:pt>
          <cx:pt idx="92">1.886754702</cx:pt>
          <cx:pt idx="93">1.457698816</cx:pt>
          <cx:pt idx="94">1.2741367159999999</cx:pt>
          <cx:pt idx="95">0.98493975899999997</cx:pt>
          <cx:pt idx="96">1.8630420919999999</cx:pt>
          <cx:pt idx="97">3.685304758</cx:pt>
          <cx:pt idx="98">1.5971242539999999</cx:pt>
          <cx:pt idx="99">1.0062021750000001</cx:pt>
          <cx:pt idx="100">1.579822616</cx:pt>
          <cx:pt idx="101">1.5849673200000001</cx:pt>
          <cx:pt idx="102">1.032870535</cx:pt>
          <cx:pt idx="103">1.9721426710000001</cx:pt>
          <cx:pt idx="104">1.460752845</cx:pt>
          <cx:pt idx="105">1.139455782</cx:pt>
          <cx:pt idx="106">1.477318548</cx:pt>
          <cx:pt idx="107">1.626047711</cx:pt>
          <cx:pt idx="108">1.6200000000000001</cx:pt>
          <cx:pt idx="109">0.94526143799999995</cx:pt>
          <cx:pt idx="110">1.3917253519999999</cx:pt>
          <cx:pt idx="111">1.6240913809999999</cx:pt>
          <cx:pt idx="112">0.69047619000000005</cx:pt>
          <cx:pt idx="113">1.6875</cx:pt>
          <cx:pt idx="114">1.7104377099999999</cx:pt>
          <cx:pt idx="115">1.66961326</cx:pt>
          <cx:pt idx="116">2.0248138959999999</cx:pt>
          <cx:pt idx="117">1.6677631580000001</cx:pt>
          <cx:pt idx="118">0.48925886099999999</cx:pt>
          <cx:pt idx="119">1.583586626</cx:pt>
          <cx:pt idx="120">1.389665653</cx:pt>
          <cx:pt idx="121">1.318509615</cx:pt>
          <cx:pt idx="122">1.2329268289999999</cx:pt>
          <cx:pt idx="123">1.501936774</cx:pt>
          <cx:pt idx="124">1.155063291</cx:pt>
          <cx:pt idx="125">1.9276018100000001</cx:pt>
          <cx:pt idx="126">1.220421754</cx:pt>
        </cx:lvl>
      </cx:numDim>
    </cx:data>
    <cx:data id="1">
      <cx:numDim type="val">
        <cx:f>Sheet2!$V$2:$V$155</cx:f>
        <cx:lvl ptCount="154" formatCode="General">
          <cx:pt idx="0">3.993837085</cx:pt>
          <cx:pt idx="1">2.13375</cx:pt>
          <cx:pt idx="2">1.3886371559999999</cx:pt>
          <cx:pt idx="3">0.70402298900000004</cx:pt>
          <cx:pt idx="4">0.94964705900000002</cx:pt>
          <cx:pt idx="5">1.8167701860000001</cx:pt>
          <cx:pt idx="6">1.3069120080000001</cx:pt>
          <cx:pt idx="7">3.9536829920000001</cx:pt>
          <cx:pt idx="8">1.168976244</cx:pt>
          <cx:pt idx="9">1.133110603</cx:pt>
          <cx:pt idx="10">3.0793209880000001</cx:pt>
          <cx:pt idx="11">0.60560747699999995</cx:pt>
          <cx:pt idx="12">0.83176691700000005</cx:pt>
          <cx:pt idx="13">1.20133599</cx:pt>
          <cx:pt idx="14">1.5</cx:pt>
          <cx:pt idx="15">1.437110187</cx:pt>
          <cx:pt idx="16">4.028360749</cx:pt>
          <cx:pt idx="17">3.4020050130000001</cx:pt>
          <cx:pt idx="18">0.52618867899999999</cx:pt>
          <cx:pt idx="19">1.2927827380000001</cx:pt>
          <cx:pt idx="20">1.6667716539999999</cx:pt>
          <cx:pt idx="21">1.5916666669999999</cx:pt>
          <cx:pt idx="22">4.192109919</cx:pt>
          <cx:pt idx="23">3.2516129029999998</cx:pt>
          <cx:pt idx="24">4.0726697280000002</cx:pt>
          <cx:pt idx="25">2.283364486</cx:pt>
          <cx:pt idx="26">1.2888888890000001</cx:pt>
        </cx:lvl>
      </cx:numDim>
    </cx:data>
  </cx:chartData>
  <cx:chart>
    <cx:title pos="t" align="ctr" overlay="0">
      <cx:tx>
        <cx:rich>
          <a:bodyPr spcFirstLastPara="1" vertOverflow="ellipsis" horzOverflow="overflow" wrap="square" lIns="0" tIns="0" rIns="0" bIns="0" anchor="ctr" anchorCtr="1"/>
          <a:lstStyle/>
          <a:p>
            <a:pPr rtl="0" eaLnBrk="1" fontAlgn="auto" latinLnBrk="0" hangingPunct="1"/>
            <a:r>
              <a:rPr lang="en-US" sz="2400" b="1" i="0" u="none" strike="noStrike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Calibri" panose="020F0502020204030204"/>
                <a:cs typeface="Calibri" panose="020F0502020204030204" pitchFamily="34" charset="0"/>
              </a:rPr>
              <a:t>APOBEC mutation enrichment score</a:t>
            </a:r>
            <a:endParaRPr lang="en-CA" sz="2400" b="1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  <a:cs typeface="Calibri" panose="020F0502020204030204" pitchFamily="34" charset="0"/>
            </a:endParaRPr>
          </a:p>
        </cx:rich>
      </cx:tx>
    </cx:title>
    <cx:plotArea>
      <cx:plotAreaRegion>
        <cx:series layoutId="boxWhisker" uniqueId="{2E6ECE93-94C4-4B36-AB83-1CA4480EEB6E}">
          <cx:tx>
            <cx:txData>
              <cx:f>Sheet2!$U$1</cx:f>
              <cx:v>gain(1q)/ EIscore low and intermediate</cx:v>
            </cx:txData>
          </cx:tx>
          <cx:spPr>
            <a:solidFill>
              <a:srgbClr val="6C27F5"/>
            </a:solidFill>
            <a:ln>
              <a:solidFill>
                <a:srgbClr val="540BE7"/>
              </a:solidFill>
            </a:ln>
          </cx:spPr>
          <cx:dataId val="0"/>
          <cx:layoutPr>
            <cx:visibility meanLine="0" meanMarker="1" nonoutliers="0" outliers="1"/>
            <cx:statistics quartileMethod="exclusive"/>
          </cx:layoutPr>
        </cx:series>
        <cx:series layoutId="boxWhisker" uniqueId="{CC0A140F-DFA1-445C-9372-EEAA779E5C95}">
          <cx:tx>
            <cx:txData>
              <cx:f>Sheet2!$V$1</cx:f>
              <cx:v>gain(1q)/ Eiscore high</cx:v>
            </cx:txData>
          </cx:tx>
          <cx:spPr>
            <a:solidFill>
              <a:srgbClr val="FF0000"/>
            </a:solidFill>
            <a:ln>
              <a:solidFill>
                <a:srgbClr val="C00000"/>
              </a:solidFill>
            </a:ln>
          </cx:spPr>
          <cx:dataId val="1"/>
          <cx:layoutPr>
            <cx:visibility meanLine="0" meanMarker="1" nonoutliers="0" outliers="1"/>
            <cx:statistics quartileMethod="exclusive"/>
          </cx:layoutPr>
        </cx:series>
      </cx:plotAreaRegion>
      <cx:axis id="0" hidden="1">
        <cx:catScaling gapWidth="1"/>
        <cx:tickLabels/>
      </cx:axis>
      <cx:axis id="1">
        <cx:valScaling/>
        <cx:majorGridlines/>
        <cx:tickLabels/>
        <cx:txPr>
          <a:bodyPr spcFirstLastPara="1" vertOverflow="ellipsis" horzOverflow="overflow" wrap="square" lIns="0" tIns="0" rIns="0" bIns="0" anchor="ctr" anchorCtr="1"/>
          <a:lstStyle/>
          <a:p>
            <a:pPr algn="ctr" rtl="0">
              <a:defRPr sz="1000" b="1"/>
            </a:pPr>
            <a:endParaRPr lang="en-US" sz="1000" b="1" i="0" u="none" strike="noStrike" baseline="0">
              <a:solidFill>
                <a:sysClr val="windowText" lastClr="000000">
                  <a:lumMod val="65000"/>
                  <a:lumOff val="35000"/>
                </a:sysClr>
              </a:solidFill>
              <a:latin typeface="Calibri" panose="020F0502020204030204"/>
            </a:endParaRPr>
          </a:p>
        </cx:txPr>
      </cx:axis>
    </cx:plotArea>
    <cx:legend pos="t" align="ctr" overlay="0">
      <cx:txPr>
        <a:bodyPr spcFirstLastPara="1" vertOverflow="ellipsis" horzOverflow="overflow" wrap="square" lIns="0" tIns="0" rIns="0" bIns="0" anchor="ctr" anchorCtr="1"/>
        <a:lstStyle/>
        <a:p>
          <a:pPr algn="ctr" rtl="0">
            <a:defRPr sz="1400" b="1"/>
          </a:pPr>
          <a:endParaRPr lang="en-US" sz="1400" b="1" i="0" u="none" strike="noStrike" baseline="0">
            <a:solidFill>
              <a:sysClr val="windowText" lastClr="000000">
                <a:lumMod val="65000"/>
                <a:lumOff val="35000"/>
              </a:sysClr>
            </a:solidFill>
            <a:latin typeface="Calibri" panose="020F0502020204030204"/>
          </a:endParaRPr>
        </a:p>
      </cx:txPr>
    </cx:legend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z49bRAcwXLSSFT+gI8RKIYMwhQ==">AMUW2mWuy2coaBJU7Id2ttsESyI5E2nLSy04Z+JaRSMyaeN41DXqDomgNyd1kQshTLJrGprLNxOR3ZtYLrmoyikaMcoEUKUCnp2vIWoXRV925Q8R3fmn930=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amsh1988@student.ubc.ca</dc:creator>
  <cp:lastModifiedBy>amsh1988@student.ubc.ca</cp:lastModifiedBy>
  <cp:revision>10</cp:revision>
  <dcterms:created xsi:type="dcterms:W3CDTF">2021-12-21T20:51:00Z</dcterms:created>
  <dcterms:modified xsi:type="dcterms:W3CDTF">2022-01-02T04:02:00Z</dcterms:modified>
</cp:coreProperties>
</file>