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A298" w14:textId="0AE31E85" w:rsidR="00617C3D" w:rsidRPr="000304E2" w:rsidRDefault="00617C3D">
      <w:pPr>
        <w:rPr>
          <w:rFonts w:ascii="Times New Roman" w:hAnsi="Times New Roman" w:cs="Times New Roman"/>
          <w:b/>
          <w:bCs/>
        </w:rPr>
      </w:pPr>
      <w:r w:rsidRPr="000304E2">
        <w:rPr>
          <w:rFonts w:ascii="Times New Roman" w:hAnsi="Times New Roman" w:cs="Times New Roman"/>
          <w:b/>
          <w:bCs/>
        </w:rPr>
        <w:t>Table S1. Description of national indicators of policy, regulation and engagement, their relevance</w:t>
      </w:r>
      <w:r w:rsidR="00DE70F9">
        <w:rPr>
          <w:rFonts w:ascii="Times New Roman" w:hAnsi="Times New Roman" w:cs="Times New Roman"/>
          <w:b/>
          <w:bCs/>
        </w:rPr>
        <w:t xml:space="preserve"> to coastal wetland conservation</w:t>
      </w:r>
      <w:r w:rsidRPr="000304E2">
        <w:rPr>
          <w:rFonts w:ascii="Times New Roman" w:hAnsi="Times New Roman" w:cs="Times New Roman"/>
          <w:b/>
          <w:bCs/>
        </w:rPr>
        <w:t>, the temporal range of the underlying data, source information, and the percentage of missing indicator values.</w:t>
      </w: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60"/>
        <w:gridCol w:w="4819"/>
        <w:gridCol w:w="3260"/>
        <w:gridCol w:w="1276"/>
        <w:gridCol w:w="2126"/>
        <w:gridCol w:w="993"/>
      </w:tblGrid>
      <w:tr w:rsidR="00617C3D" w:rsidRPr="000304E2" w14:paraId="6730DA0D" w14:textId="77777777" w:rsidTr="00DE70F9">
        <w:trPr>
          <w:trHeight w:val="300"/>
        </w:trPr>
        <w:tc>
          <w:tcPr>
            <w:tcW w:w="1418" w:type="dxa"/>
            <w:shd w:val="clear" w:color="auto" w:fill="auto"/>
            <w:vAlign w:val="center"/>
            <w:hideMark/>
          </w:tcPr>
          <w:p w14:paraId="430384A0" w14:textId="77777777" w:rsidR="00617C3D" w:rsidRPr="000304E2" w:rsidRDefault="00617C3D" w:rsidP="00DE70F9">
            <w:pPr>
              <w:spacing w:after="0" w:line="240" w:lineRule="auto"/>
              <w:rPr>
                <w:rFonts w:ascii="Times New Roman" w:eastAsia="Times New Roman" w:hAnsi="Times New Roman" w:cs="Times New Roman"/>
                <w:b/>
                <w:bCs/>
                <w:color w:val="000000"/>
                <w:lang w:eastAsia="en-AU"/>
              </w:rPr>
            </w:pPr>
            <w:r w:rsidRPr="000304E2">
              <w:rPr>
                <w:rFonts w:ascii="Times New Roman" w:eastAsia="Times New Roman" w:hAnsi="Times New Roman" w:cs="Times New Roman"/>
                <w:b/>
                <w:bCs/>
                <w:color w:val="000000"/>
                <w:lang w:eastAsia="en-AU"/>
              </w:rPr>
              <w:t>Category</w:t>
            </w:r>
          </w:p>
        </w:tc>
        <w:tc>
          <w:tcPr>
            <w:tcW w:w="1560" w:type="dxa"/>
            <w:shd w:val="clear" w:color="auto" w:fill="auto"/>
            <w:vAlign w:val="center"/>
            <w:hideMark/>
          </w:tcPr>
          <w:p w14:paraId="7903D91F" w14:textId="77777777" w:rsidR="00617C3D" w:rsidRPr="000304E2" w:rsidRDefault="00617C3D" w:rsidP="00DE70F9">
            <w:pPr>
              <w:spacing w:after="0" w:line="240" w:lineRule="auto"/>
              <w:rPr>
                <w:rFonts w:ascii="Times New Roman" w:eastAsia="Times New Roman" w:hAnsi="Times New Roman" w:cs="Times New Roman"/>
                <w:b/>
                <w:bCs/>
                <w:color w:val="000000"/>
                <w:lang w:eastAsia="en-AU"/>
              </w:rPr>
            </w:pPr>
            <w:r w:rsidRPr="000304E2">
              <w:rPr>
                <w:rFonts w:ascii="Times New Roman" w:eastAsia="Times New Roman" w:hAnsi="Times New Roman" w:cs="Times New Roman"/>
                <w:b/>
                <w:bCs/>
                <w:color w:val="000000"/>
                <w:lang w:eastAsia="en-AU"/>
              </w:rPr>
              <w:t>Indicator</w:t>
            </w:r>
          </w:p>
        </w:tc>
        <w:tc>
          <w:tcPr>
            <w:tcW w:w="4819" w:type="dxa"/>
            <w:shd w:val="clear" w:color="auto" w:fill="auto"/>
            <w:vAlign w:val="center"/>
            <w:hideMark/>
          </w:tcPr>
          <w:p w14:paraId="23AD62CA" w14:textId="77777777" w:rsidR="00617C3D" w:rsidRPr="000304E2" w:rsidRDefault="00617C3D" w:rsidP="000F3F19">
            <w:pPr>
              <w:spacing w:after="0" w:line="240" w:lineRule="auto"/>
              <w:rPr>
                <w:rFonts w:ascii="Times New Roman" w:eastAsia="Times New Roman" w:hAnsi="Times New Roman" w:cs="Times New Roman"/>
                <w:b/>
                <w:bCs/>
                <w:color w:val="000000"/>
                <w:lang w:eastAsia="en-AU"/>
              </w:rPr>
            </w:pPr>
            <w:r w:rsidRPr="000304E2">
              <w:rPr>
                <w:rFonts w:ascii="Times New Roman" w:eastAsia="Times New Roman" w:hAnsi="Times New Roman" w:cs="Times New Roman"/>
                <w:b/>
                <w:bCs/>
                <w:color w:val="000000"/>
                <w:lang w:eastAsia="en-AU"/>
              </w:rPr>
              <w:t>Description</w:t>
            </w:r>
          </w:p>
        </w:tc>
        <w:tc>
          <w:tcPr>
            <w:tcW w:w="3260" w:type="dxa"/>
            <w:vAlign w:val="center"/>
          </w:tcPr>
          <w:p w14:paraId="4DB3A1D8" w14:textId="77777777" w:rsidR="00617C3D" w:rsidRPr="000304E2" w:rsidRDefault="00617C3D" w:rsidP="000F3F19">
            <w:pPr>
              <w:spacing w:after="0" w:line="240" w:lineRule="auto"/>
              <w:rPr>
                <w:rFonts w:ascii="Times New Roman" w:eastAsia="Times New Roman" w:hAnsi="Times New Roman" w:cs="Times New Roman"/>
                <w:b/>
                <w:bCs/>
                <w:color w:val="000000"/>
                <w:lang w:eastAsia="en-AU"/>
              </w:rPr>
            </w:pPr>
            <w:r w:rsidRPr="000304E2">
              <w:rPr>
                <w:rFonts w:ascii="Times New Roman" w:eastAsia="Times New Roman" w:hAnsi="Times New Roman" w:cs="Times New Roman"/>
                <w:b/>
                <w:bCs/>
                <w:color w:val="000000"/>
                <w:lang w:eastAsia="en-AU"/>
              </w:rPr>
              <w:t>Relevance</w:t>
            </w:r>
          </w:p>
        </w:tc>
        <w:tc>
          <w:tcPr>
            <w:tcW w:w="1276" w:type="dxa"/>
            <w:vAlign w:val="center"/>
          </w:tcPr>
          <w:p w14:paraId="7F54B9BA" w14:textId="77777777" w:rsidR="00617C3D" w:rsidRPr="000304E2" w:rsidRDefault="00617C3D" w:rsidP="000F3F19">
            <w:pPr>
              <w:spacing w:after="0" w:line="240" w:lineRule="auto"/>
              <w:rPr>
                <w:rFonts w:ascii="Times New Roman" w:eastAsia="Times New Roman" w:hAnsi="Times New Roman" w:cs="Times New Roman"/>
                <w:b/>
                <w:bCs/>
                <w:color w:val="000000"/>
                <w:lang w:eastAsia="en-AU"/>
              </w:rPr>
            </w:pPr>
            <w:r w:rsidRPr="000304E2">
              <w:rPr>
                <w:rFonts w:ascii="Times New Roman" w:eastAsia="Times New Roman" w:hAnsi="Times New Roman" w:cs="Times New Roman"/>
                <w:b/>
                <w:bCs/>
                <w:color w:val="000000"/>
                <w:lang w:eastAsia="en-AU"/>
              </w:rPr>
              <w:t>Temporal range (years)</w:t>
            </w:r>
          </w:p>
        </w:tc>
        <w:tc>
          <w:tcPr>
            <w:tcW w:w="2126" w:type="dxa"/>
            <w:shd w:val="clear" w:color="auto" w:fill="auto"/>
            <w:vAlign w:val="center"/>
            <w:hideMark/>
          </w:tcPr>
          <w:p w14:paraId="706601BD" w14:textId="77777777" w:rsidR="00617C3D" w:rsidRPr="000304E2" w:rsidRDefault="00617C3D" w:rsidP="000F3F19">
            <w:pPr>
              <w:spacing w:after="0" w:line="240" w:lineRule="auto"/>
              <w:rPr>
                <w:rFonts w:ascii="Times New Roman" w:eastAsia="Times New Roman" w:hAnsi="Times New Roman" w:cs="Times New Roman"/>
                <w:b/>
                <w:bCs/>
                <w:color w:val="000000"/>
                <w:lang w:eastAsia="en-AU"/>
              </w:rPr>
            </w:pPr>
            <w:r w:rsidRPr="000304E2">
              <w:rPr>
                <w:rFonts w:ascii="Times New Roman" w:eastAsia="Times New Roman" w:hAnsi="Times New Roman" w:cs="Times New Roman"/>
                <w:b/>
                <w:bCs/>
                <w:color w:val="000000"/>
                <w:lang w:eastAsia="en-AU"/>
              </w:rPr>
              <w:t>Source</w:t>
            </w:r>
          </w:p>
        </w:tc>
        <w:tc>
          <w:tcPr>
            <w:tcW w:w="993" w:type="dxa"/>
          </w:tcPr>
          <w:p w14:paraId="145DA287" w14:textId="77777777" w:rsidR="00617C3D" w:rsidRPr="000304E2" w:rsidRDefault="00617C3D" w:rsidP="000F3F19">
            <w:pPr>
              <w:spacing w:after="0" w:line="240" w:lineRule="auto"/>
              <w:rPr>
                <w:rFonts w:ascii="Times New Roman" w:eastAsia="Times New Roman" w:hAnsi="Times New Roman" w:cs="Times New Roman"/>
                <w:b/>
                <w:bCs/>
                <w:color w:val="000000"/>
                <w:lang w:eastAsia="en-AU"/>
              </w:rPr>
            </w:pPr>
            <w:r w:rsidRPr="000304E2">
              <w:rPr>
                <w:rFonts w:ascii="Times New Roman" w:eastAsia="Times New Roman" w:hAnsi="Times New Roman" w:cs="Times New Roman"/>
                <w:b/>
                <w:bCs/>
                <w:color w:val="000000"/>
                <w:lang w:eastAsia="en-AU"/>
              </w:rPr>
              <w:t xml:space="preserve">% </w:t>
            </w:r>
            <w:proofErr w:type="gramStart"/>
            <w:r w:rsidRPr="000304E2">
              <w:rPr>
                <w:rFonts w:ascii="Times New Roman" w:eastAsia="Times New Roman" w:hAnsi="Times New Roman" w:cs="Times New Roman"/>
                <w:b/>
                <w:bCs/>
                <w:color w:val="000000"/>
                <w:lang w:eastAsia="en-AU"/>
              </w:rPr>
              <w:t>missing</w:t>
            </w:r>
            <w:proofErr w:type="gramEnd"/>
            <w:r w:rsidRPr="000304E2">
              <w:rPr>
                <w:rFonts w:ascii="Times New Roman" w:eastAsia="Times New Roman" w:hAnsi="Times New Roman" w:cs="Times New Roman"/>
                <w:b/>
                <w:bCs/>
                <w:color w:val="000000"/>
                <w:lang w:eastAsia="en-AU"/>
              </w:rPr>
              <w:t xml:space="preserve"> values</w:t>
            </w:r>
          </w:p>
        </w:tc>
      </w:tr>
      <w:tr w:rsidR="00617C3D" w:rsidRPr="000304E2" w14:paraId="165C74F7" w14:textId="77777777" w:rsidTr="00DE70F9">
        <w:trPr>
          <w:trHeight w:val="2262"/>
        </w:trPr>
        <w:tc>
          <w:tcPr>
            <w:tcW w:w="1418" w:type="dxa"/>
            <w:shd w:val="clear" w:color="auto" w:fill="auto"/>
            <w:vAlign w:val="center"/>
            <w:hideMark/>
          </w:tcPr>
          <w:p w14:paraId="582A09BA"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Policy</w:t>
            </w:r>
          </w:p>
        </w:tc>
        <w:tc>
          <w:tcPr>
            <w:tcW w:w="1560" w:type="dxa"/>
            <w:shd w:val="clear" w:color="auto" w:fill="auto"/>
            <w:vAlign w:val="center"/>
            <w:hideMark/>
          </w:tcPr>
          <w:p w14:paraId="5FC3F8B7"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color w:val="000000"/>
                <w:lang w:eastAsia="en-GB"/>
              </w:rPr>
              <w:t>Nationally Determined Contribution (NDC) commitment</w:t>
            </w:r>
          </w:p>
        </w:tc>
        <w:tc>
          <w:tcPr>
            <w:tcW w:w="4819" w:type="dxa"/>
            <w:shd w:val="clear" w:color="auto" w:fill="auto"/>
            <w:vAlign w:val="center"/>
            <w:hideMark/>
          </w:tcPr>
          <w:p w14:paraId="7C295DA4" w14:textId="77777777" w:rsidR="00617C3D" w:rsidRPr="000304E2" w:rsidRDefault="00617C3D" w:rsidP="000F3F19">
            <w:pPr>
              <w:spacing w:after="0" w:line="240" w:lineRule="auto"/>
              <w:rPr>
                <w:rFonts w:ascii="Times New Roman" w:hAnsi="Times New Roman" w:cs="Times New Roman"/>
                <w:b/>
                <w:bCs/>
                <w:color w:val="000000"/>
                <w:lang w:eastAsia="en-GB"/>
              </w:rPr>
            </w:pPr>
            <w:r w:rsidRPr="000304E2">
              <w:rPr>
                <w:rFonts w:ascii="Times New Roman" w:hAnsi="Times New Roman" w:cs="Times New Roman"/>
                <w:color w:val="000000"/>
                <w:lang w:eastAsia="en-GB"/>
              </w:rPr>
              <w:t>The commitment of a country to reducing green-house gas emissions, pledged as Nationally Determined Contributions (NDC). Source data scored countries as: Sufficient = 3, Partially Sufficient = 2, Partially Insufficient = 1, and Insufficient = 0 (Watson et al. 2019). The original NDC commitment score was converted to a binary score where 1 = 'Sufficient' and 'Partially sufficient', and 0 = 'Partially Insufficient' and 'Insufficient'. Countries without a commitment score do not have an NDC strategy, and so were grouped with 'Insufficient' countries.</w:t>
            </w:r>
          </w:p>
        </w:tc>
        <w:tc>
          <w:tcPr>
            <w:tcW w:w="3260" w:type="dxa"/>
            <w:vAlign w:val="center"/>
          </w:tcPr>
          <w:p w14:paraId="59FA62A0"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rPr>
              <w:t xml:space="preserve">Indicates whether policy commitment will sufficiently contribute to halving global emissions by 2030 </w:t>
            </w:r>
            <w:sdt>
              <w:sdtPr>
                <w:rPr>
                  <w:rFonts w:ascii="Times New Roman" w:hAnsi="Times New Roman" w:cs="Times New Roman"/>
                  <w:color w:val="000000"/>
                </w:rPr>
                <w:tag w:val="MENDELEY_CITATION_v3_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"/>
                <w:id w:val="286241340"/>
                <w:placeholder>
                  <w:docPart w:val="9168ADF46F7C75479F74145949A46017"/>
                </w:placeholder>
              </w:sdtPr>
              <w:sdtContent>
                <w:r w:rsidRPr="000304E2">
                  <w:rPr>
                    <w:rFonts w:ascii="Times New Roman" w:hAnsi="Times New Roman" w:cs="Times New Roman"/>
                    <w:color w:val="000000"/>
                  </w:rPr>
                  <w:t>(Watson et al., 2019)</w:t>
                </w:r>
              </w:sdtContent>
            </w:sdt>
            <w:r w:rsidRPr="000304E2">
              <w:rPr>
                <w:rFonts w:ascii="Times New Roman" w:hAnsi="Times New Roman" w:cs="Times New Roman"/>
                <w:color w:val="000000"/>
              </w:rPr>
              <w:t>.</w:t>
            </w:r>
          </w:p>
        </w:tc>
        <w:tc>
          <w:tcPr>
            <w:tcW w:w="1276" w:type="dxa"/>
            <w:vAlign w:val="center"/>
          </w:tcPr>
          <w:p w14:paraId="75A66C50"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 xml:space="preserve">2015 – 2019 </w:t>
            </w:r>
          </w:p>
        </w:tc>
        <w:tc>
          <w:tcPr>
            <w:tcW w:w="2126" w:type="dxa"/>
            <w:shd w:val="clear" w:color="auto" w:fill="auto"/>
            <w:vAlign w:val="center"/>
            <w:hideMark/>
          </w:tcPr>
          <w:p w14:paraId="0C963140"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 xml:space="preserve">Watson, R., McCarthy, J.J., </w:t>
            </w:r>
            <w:proofErr w:type="spellStart"/>
            <w:r w:rsidRPr="000304E2">
              <w:rPr>
                <w:rFonts w:ascii="Times New Roman" w:eastAsia="Times New Roman" w:hAnsi="Times New Roman" w:cs="Times New Roman"/>
                <w:color w:val="000000"/>
                <w:lang w:eastAsia="en-AU"/>
              </w:rPr>
              <w:t>Canziani</w:t>
            </w:r>
            <w:proofErr w:type="spellEnd"/>
            <w:r w:rsidRPr="000304E2">
              <w:rPr>
                <w:rFonts w:ascii="Times New Roman" w:eastAsia="Times New Roman" w:hAnsi="Times New Roman" w:cs="Times New Roman"/>
                <w:color w:val="000000"/>
                <w:lang w:eastAsia="en-AU"/>
              </w:rPr>
              <w:t xml:space="preserve"> P., </w:t>
            </w:r>
            <w:proofErr w:type="spellStart"/>
            <w:r w:rsidRPr="000304E2">
              <w:rPr>
                <w:rFonts w:ascii="Times New Roman" w:eastAsia="Times New Roman" w:hAnsi="Times New Roman" w:cs="Times New Roman"/>
                <w:color w:val="000000"/>
                <w:lang w:eastAsia="en-AU"/>
              </w:rPr>
              <w:t>Nakicenovic</w:t>
            </w:r>
            <w:proofErr w:type="spellEnd"/>
            <w:r w:rsidRPr="000304E2">
              <w:rPr>
                <w:rFonts w:ascii="Times New Roman" w:eastAsia="Times New Roman" w:hAnsi="Times New Roman" w:cs="Times New Roman"/>
                <w:color w:val="000000"/>
                <w:lang w:eastAsia="en-AU"/>
              </w:rPr>
              <w:t xml:space="preserve">, N., </w:t>
            </w:r>
            <w:proofErr w:type="spellStart"/>
            <w:r w:rsidRPr="000304E2">
              <w:rPr>
                <w:rFonts w:ascii="Times New Roman" w:eastAsia="Times New Roman" w:hAnsi="Times New Roman" w:cs="Times New Roman"/>
                <w:color w:val="000000"/>
                <w:lang w:eastAsia="en-AU"/>
              </w:rPr>
              <w:t>Hisas</w:t>
            </w:r>
            <w:proofErr w:type="spellEnd"/>
            <w:r w:rsidRPr="000304E2">
              <w:rPr>
                <w:rFonts w:ascii="Times New Roman" w:eastAsia="Times New Roman" w:hAnsi="Times New Roman" w:cs="Times New Roman"/>
                <w:color w:val="000000"/>
                <w:lang w:eastAsia="en-AU"/>
              </w:rPr>
              <w:t>, L. 2019. The truth behind the climate pledges. The Universal Ecological Fund (FEU-US)</w:t>
            </w:r>
          </w:p>
        </w:tc>
        <w:tc>
          <w:tcPr>
            <w:tcW w:w="993" w:type="dxa"/>
          </w:tcPr>
          <w:p w14:paraId="78EC2536"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0</w:t>
            </w:r>
          </w:p>
        </w:tc>
      </w:tr>
      <w:tr w:rsidR="00617C3D" w:rsidRPr="000304E2" w14:paraId="6DB8699E" w14:textId="77777777" w:rsidTr="00DE70F9">
        <w:trPr>
          <w:trHeight w:val="765"/>
        </w:trPr>
        <w:tc>
          <w:tcPr>
            <w:tcW w:w="1418" w:type="dxa"/>
            <w:shd w:val="clear" w:color="auto" w:fill="auto"/>
            <w:vAlign w:val="center"/>
            <w:hideMark/>
          </w:tcPr>
          <w:p w14:paraId="73FFF461"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Policy</w:t>
            </w:r>
          </w:p>
        </w:tc>
        <w:tc>
          <w:tcPr>
            <w:tcW w:w="1560" w:type="dxa"/>
            <w:shd w:val="clear" w:color="auto" w:fill="auto"/>
            <w:vAlign w:val="center"/>
            <w:hideMark/>
          </w:tcPr>
          <w:p w14:paraId="3D4F2679"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color w:val="000000"/>
                <w:lang w:eastAsia="en-GB"/>
              </w:rPr>
              <w:t>Nationally Determined Contribution (NDC) mitigation</w:t>
            </w:r>
          </w:p>
        </w:tc>
        <w:tc>
          <w:tcPr>
            <w:tcW w:w="4819" w:type="dxa"/>
            <w:shd w:val="clear" w:color="auto" w:fill="auto"/>
            <w:vAlign w:val="center"/>
            <w:hideMark/>
          </w:tcPr>
          <w:p w14:paraId="2083C5E7"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color w:val="000000"/>
                <w:lang w:eastAsia="en-GB"/>
              </w:rPr>
              <w:t>Whether coastal wetlands are included in a country’s Nationally Determined Contribution (NDC) mitigation strategy (1 = yes, 0 = no).</w:t>
            </w:r>
          </w:p>
        </w:tc>
        <w:tc>
          <w:tcPr>
            <w:tcW w:w="3260" w:type="dxa"/>
            <w:vAlign w:val="center"/>
          </w:tcPr>
          <w:p w14:paraId="7A4BEF81"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rPr>
              <w:t xml:space="preserve">Represents policy commitment to consider coastal wetland conservation for the purpose of mitigating climate change </w:t>
            </w:r>
            <w:sdt>
              <w:sdtPr>
                <w:rPr>
                  <w:rFonts w:ascii="Times New Roman" w:hAnsi="Times New Roman" w:cs="Times New Roman"/>
                  <w:noProof/>
                </w:rPr>
                <w:tag w:val="MENDELEY_CITATION_v3_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"/>
                <w:id w:val="-1016837298"/>
                <w:placeholder>
                  <w:docPart w:val="6580BDEC67CC9B44A80F4A90B41B2671"/>
                </w:placeholder>
              </w:sdtPr>
              <w:sdtContent>
                <w:r w:rsidRPr="000304E2">
                  <w:rPr>
                    <w:rFonts w:ascii="Times New Roman" w:eastAsia="Times New Roman" w:hAnsi="Times New Roman" w:cs="Times New Roman"/>
                  </w:rPr>
                  <w:t>(Herr &amp; Landis, 2016)</w:t>
                </w:r>
              </w:sdtContent>
            </w:sdt>
            <w:r w:rsidRPr="000304E2">
              <w:rPr>
                <w:rFonts w:ascii="Times New Roman" w:hAnsi="Times New Roman" w:cs="Times New Roman"/>
                <w:noProof/>
              </w:rPr>
              <w:t>.</w:t>
            </w:r>
          </w:p>
        </w:tc>
        <w:tc>
          <w:tcPr>
            <w:tcW w:w="1276" w:type="dxa"/>
            <w:vAlign w:val="center"/>
          </w:tcPr>
          <w:p w14:paraId="4E3017BB"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lang w:val="en-GB"/>
              </w:rPr>
              <w:t>2015</w:t>
            </w:r>
          </w:p>
        </w:tc>
        <w:tc>
          <w:tcPr>
            <w:tcW w:w="2126" w:type="dxa"/>
            <w:shd w:val="clear" w:color="auto" w:fill="auto"/>
            <w:vAlign w:val="center"/>
            <w:hideMark/>
          </w:tcPr>
          <w:p w14:paraId="260B421E" w14:textId="77777777" w:rsidR="00617C3D" w:rsidRPr="000304E2" w:rsidRDefault="00617C3D" w:rsidP="000F3F19">
            <w:pPr>
              <w:spacing w:after="0" w:line="240" w:lineRule="auto"/>
              <w:rPr>
                <w:rFonts w:ascii="Times New Roman" w:eastAsia="Times New Roman" w:hAnsi="Times New Roman" w:cs="Times New Roman"/>
                <w:color w:val="0563C1"/>
                <w:u w:val="single"/>
                <w:lang w:eastAsia="en-AU"/>
              </w:rPr>
            </w:pPr>
            <w:r w:rsidRPr="000304E2">
              <w:rPr>
                <w:rFonts w:ascii="Times New Roman" w:hAnsi="Times New Roman" w:cs="Times New Roman"/>
                <w:lang w:val="en-GB"/>
              </w:rPr>
              <w:t xml:space="preserve">Herr, D., &amp; Landis, E. 2016. Coastal blue carbon ecosystems Opportunities for Nationally Determined Contributions. Policy brief. </w:t>
            </w:r>
            <w:r w:rsidRPr="000304E2">
              <w:rPr>
                <w:rFonts w:ascii="Times New Roman" w:hAnsi="Times New Roman" w:cs="Times New Roman"/>
                <w:i/>
                <w:iCs/>
                <w:lang w:val="en-GB"/>
              </w:rPr>
              <w:t>Gland, Switzerland: IUCN and Washington, DC, USA: TNC</w:t>
            </w:r>
            <w:r w:rsidRPr="000304E2">
              <w:rPr>
                <w:rFonts w:ascii="Times New Roman" w:hAnsi="Times New Roman" w:cs="Times New Roman"/>
                <w:lang w:val="en-GB"/>
              </w:rPr>
              <w:t>. Retrieved from www.bluecsolutions.org</w:t>
            </w:r>
          </w:p>
        </w:tc>
        <w:tc>
          <w:tcPr>
            <w:tcW w:w="993" w:type="dxa"/>
          </w:tcPr>
          <w:p w14:paraId="18F442EE"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lang w:val="en-GB"/>
              </w:rPr>
              <w:t>0</w:t>
            </w:r>
          </w:p>
        </w:tc>
      </w:tr>
      <w:tr w:rsidR="00617C3D" w:rsidRPr="000304E2" w14:paraId="0769EAF6" w14:textId="77777777" w:rsidTr="00DE70F9">
        <w:trPr>
          <w:trHeight w:val="765"/>
        </w:trPr>
        <w:tc>
          <w:tcPr>
            <w:tcW w:w="1418" w:type="dxa"/>
            <w:shd w:val="clear" w:color="auto" w:fill="auto"/>
            <w:vAlign w:val="center"/>
            <w:hideMark/>
          </w:tcPr>
          <w:p w14:paraId="56B8C556"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Policy</w:t>
            </w:r>
          </w:p>
        </w:tc>
        <w:tc>
          <w:tcPr>
            <w:tcW w:w="1560" w:type="dxa"/>
            <w:shd w:val="clear" w:color="auto" w:fill="auto"/>
            <w:vAlign w:val="center"/>
            <w:hideMark/>
          </w:tcPr>
          <w:p w14:paraId="097766A9"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color w:val="000000"/>
                <w:lang w:eastAsia="en-GB"/>
              </w:rPr>
              <w:t>Nationally Determined Contribution (NDC) adaptation</w:t>
            </w:r>
          </w:p>
        </w:tc>
        <w:tc>
          <w:tcPr>
            <w:tcW w:w="4819" w:type="dxa"/>
            <w:shd w:val="clear" w:color="auto" w:fill="auto"/>
            <w:vAlign w:val="center"/>
            <w:hideMark/>
          </w:tcPr>
          <w:p w14:paraId="44AA22E2"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color w:val="000000"/>
                <w:lang w:eastAsia="en-GB"/>
              </w:rPr>
              <w:t>Whether coastal wetlands are included in a country's Nationally Determined Contribution (NDC) adaptation strategy (1 = yes, 0 = no).</w:t>
            </w:r>
          </w:p>
        </w:tc>
        <w:tc>
          <w:tcPr>
            <w:tcW w:w="3260" w:type="dxa"/>
            <w:vAlign w:val="center"/>
          </w:tcPr>
          <w:p w14:paraId="4E090880"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rPr>
              <w:t xml:space="preserve">Represents policy commitment to consider coastal wetlands for climate change adaptation </w:t>
            </w:r>
            <w:sdt>
              <w:sdtPr>
                <w:rPr>
                  <w:rFonts w:ascii="Times New Roman" w:hAnsi="Times New Roman" w:cs="Times New Roman"/>
                </w:rPr>
                <w:tag w:val="MENDELEY_CITATION_v3_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"/>
                <w:id w:val="462707158"/>
                <w:placeholder>
                  <w:docPart w:val="9D6DCD739DB95042B96C812F88AD6F6E"/>
                </w:placeholder>
              </w:sdtPr>
              <w:sdtContent>
                <w:r w:rsidRPr="000304E2">
                  <w:rPr>
                    <w:rFonts w:ascii="Times New Roman" w:eastAsia="Times New Roman" w:hAnsi="Times New Roman" w:cs="Times New Roman"/>
                  </w:rPr>
                  <w:t>(Herr &amp; Landis, 2016)</w:t>
                </w:r>
              </w:sdtContent>
            </w:sdt>
            <w:r w:rsidRPr="000304E2">
              <w:rPr>
                <w:rFonts w:ascii="Times New Roman" w:hAnsi="Times New Roman" w:cs="Times New Roman"/>
              </w:rPr>
              <w:t>.</w:t>
            </w:r>
          </w:p>
        </w:tc>
        <w:tc>
          <w:tcPr>
            <w:tcW w:w="1276" w:type="dxa"/>
            <w:vAlign w:val="center"/>
          </w:tcPr>
          <w:p w14:paraId="4B97EC84"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lang w:val="en-GB"/>
              </w:rPr>
              <w:t>2015</w:t>
            </w:r>
          </w:p>
        </w:tc>
        <w:tc>
          <w:tcPr>
            <w:tcW w:w="2126" w:type="dxa"/>
            <w:shd w:val="clear" w:color="auto" w:fill="auto"/>
            <w:vAlign w:val="center"/>
            <w:hideMark/>
          </w:tcPr>
          <w:p w14:paraId="1E5971E0" w14:textId="77777777" w:rsidR="00617C3D" w:rsidRPr="000304E2" w:rsidRDefault="00617C3D" w:rsidP="000F3F19">
            <w:pPr>
              <w:spacing w:after="0" w:line="240" w:lineRule="auto"/>
              <w:rPr>
                <w:rFonts w:ascii="Times New Roman" w:eastAsia="Times New Roman" w:hAnsi="Times New Roman" w:cs="Times New Roman"/>
                <w:color w:val="0563C1"/>
                <w:u w:val="single"/>
                <w:lang w:eastAsia="en-AU"/>
              </w:rPr>
            </w:pPr>
            <w:r w:rsidRPr="000304E2">
              <w:rPr>
                <w:rFonts w:ascii="Times New Roman" w:hAnsi="Times New Roman" w:cs="Times New Roman"/>
                <w:lang w:val="en-GB"/>
              </w:rPr>
              <w:t xml:space="preserve">Herr, D., &amp; Landis, E. 2016. Coastal blue carbon ecosystems Opportunities for Nationally Determined Contributions. Policy brief. </w:t>
            </w:r>
            <w:r w:rsidRPr="000304E2">
              <w:rPr>
                <w:rFonts w:ascii="Times New Roman" w:hAnsi="Times New Roman" w:cs="Times New Roman"/>
                <w:i/>
                <w:iCs/>
                <w:lang w:val="en-GB"/>
              </w:rPr>
              <w:t xml:space="preserve">Gland, Switzerland: IUCN </w:t>
            </w:r>
            <w:r w:rsidRPr="000304E2">
              <w:rPr>
                <w:rFonts w:ascii="Times New Roman" w:hAnsi="Times New Roman" w:cs="Times New Roman"/>
                <w:i/>
                <w:iCs/>
                <w:lang w:val="en-GB"/>
              </w:rPr>
              <w:lastRenderedPageBreak/>
              <w:t>and Washington, DC, USA: TNC</w:t>
            </w:r>
            <w:r w:rsidRPr="000304E2">
              <w:rPr>
                <w:rFonts w:ascii="Times New Roman" w:hAnsi="Times New Roman" w:cs="Times New Roman"/>
                <w:lang w:val="en-GB"/>
              </w:rPr>
              <w:t>. Retrieved from www.bluecsolutions.org</w:t>
            </w:r>
          </w:p>
        </w:tc>
        <w:tc>
          <w:tcPr>
            <w:tcW w:w="993" w:type="dxa"/>
          </w:tcPr>
          <w:p w14:paraId="687263C2"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lang w:val="en-GB"/>
              </w:rPr>
              <w:lastRenderedPageBreak/>
              <w:t>0</w:t>
            </w:r>
          </w:p>
        </w:tc>
      </w:tr>
      <w:tr w:rsidR="00617C3D" w:rsidRPr="000304E2" w14:paraId="07DD507C" w14:textId="77777777" w:rsidTr="00DE70F9">
        <w:trPr>
          <w:trHeight w:val="558"/>
        </w:trPr>
        <w:tc>
          <w:tcPr>
            <w:tcW w:w="1418" w:type="dxa"/>
            <w:shd w:val="clear" w:color="auto" w:fill="auto"/>
            <w:vAlign w:val="center"/>
            <w:hideMark/>
          </w:tcPr>
          <w:p w14:paraId="05679EE9"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Policy</w:t>
            </w:r>
          </w:p>
        </w:tc>
        <w:tc>
          <w:tcPr>
            <w:tcW w:w="1560" w:type="dxa"/>
            <w:shd w:val="clear" w:color="auto" w:fill="auto"/>
            <w:vAlign w:val="center"/>
            <w:hideMark/>
          </w:tcPr>
          <w:p w14:paraId="73480551"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color w:val="000000"/>
                <w:lang w:eastAsia="en-GB"/>
              </w:rPr>
              <w:t>Multilateral environmental agreements (MEAs)</w:t>
            </w:r>
          </w:p>
        </w:tc>
        <w:tc>
          <w:tcPr>
            <w:tcW w:w="4819" w:type="dxa"/>
            <w:shd w:val="clear" w:color="auto" w:fill="auto"/>
            <w:vAlign w:val="center"/>
            <w:hideMark/>
          </w:tcPr>
          <w:p w14:paraId="2D00E8DE"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Cumulative count of a country's multilateral environmental agreements (MEAs) since the year of its first MEA membership until 2019.</w:t>
            </w:r>
          </w:p>
        </w:tc>
        <w:tc>
          <w:tcPr>
            <w:tcW w:w="3260" w:type="dxa"/>
            <w:vAlign w:val="center"/>
          </w:tcPr>
          <w:p w14:paraId="16F24A9E"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color w:val="000000"/>
                <w:lang w:eastAsia="en-GB"/>
              </w:rPr>
              <w:t xml:space="preserve">Represents commitment to cooperate internationally to prevent or manage human impacts </w:t>
            </w:r>
            <w:sdt>
              <w:sdtPr>
                <w:rPr>
                  <w:rFonts w:ascii="Times New Roman" w:hAnsi="Times New Roman" w:cs="Times New Roman"/>
                  <w:color w:val="000000"/>
                  <w:lang w:eastAsia="en-GB"/>
                </w:rPr>
                <w:tag w:val="MENDELEY_CITATION_v3_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"/>
                <w:id w:val="16278635"/>
                <w:placeholder>
                  <w:docPart w:val="E5349711032D804293BF84FC573085A0"/>
                </w:placeholder>
              </w:sdtPr>
              <w:sdtContent>
                <w:r w:rsidRPr="000304E2">
                  <w:rPr>
                    <w:rFonts w:ascii="Times New Roman" w:hAnsi="Times New Roman" w:cs="Times New Roman"/>
                    <w:color w:val="000000"/>
                    <w:lang w:eastAsia="en-GB"/>
                  </w:rPr>
                  <w:t>(Mitchell et al., 2020).</w:t>
                </w:r>
              </w:sdtContent>
            </w:sdt>
          </w:p>
        </w:tc>
        <w:tc>
          <w:tcPr>
            <w:tcW w:w="1276" w:type="dxa"/>
            <w:vAlign w:val="center"/>
          </w:tcPr>
          <w:p w14:paraId="68254B30"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 xml:space="preserve">1850 – 2019 </w:t>
            </w:r>
          </w:p>
        </w:tc>
        <w:tc>
          <w:tcPr>
            <w:tcW w:w="2126" w:type="dxa"/>
            <w:shd w:val="clear" w:color="auto" w:fill="auto"/>
            <w:vAlign w:val="center"/>
            <w:hideMark/>
          </w:tcPr>
          <w:p w14:paraId="79C26EB0"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Ronald B. Mitchell. 2020. IEA Membership Count Dataset from the International Environmental Agreements Database Project (Version 20200214). Eugene: IEADB Project. Dataset generated on: 14 February 2020</w:t>
            </w:r>
          </w:p>
        </w:tc>
        <w:tc>
          <w:tcPr>
            <w:tcW w:w="993" w:type="dxa"/>
          </w:tcPr>
          <w:p w14:paraId="331D589D"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1</w:t>
            </w:r>
          </w:p>
        </w:tc>
      </w:tr>
      <w:tr w:rsidR="00617C3D" w:rsidRPr="000304E2" w14:paraId="00781FF2" w14:textId="77777777" w:rsidTr="00DE70F9">
        <w:trPr>
          <w:trHeight w:val="1020"/>
        </w:trPr>
        <w:tc>
          <w:tcPr>
            <w:tcW w:w="1418" w:type="dxa"/>
            <w:shd w:val="clear" w:color="auto" w:fill="auto"/>
            <w:vAlign w:val="center"/>
            <w:hideMark/>
          </w:tcPr>
          <w:p w14:paraId="50656988"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Policy</w:t>
            </w:r>
          </w:p>
        </w:tc>
        <w:tc>
          <w:tcPr>
            <w:tcW w:w="1560" w:type="dxa"/>
            <w:shd w:val="clear" w:color="auto" w:fill="auto"/>
            <w:vAlign w:val="center"/>
            <w:hideMark/>
          </w:tcPr>
          <w:p w14:paraId="5D8E60FE"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color w:val="000000"/>
                <w:lang w:eastAsia="en-GB"/>
              </w:rPr>
              <w:t>Bilateral environmental agreements (BEAs)</w:t>
            </w:r>
          </w:p>
        </w:tc>
        <w:tc>
          <w:tcPr>
            <w:tcW w:w="4819" w:type="dxa"/>
            <w:shd w:val="clear" w:color="auto" w:fill="auto"/>
            <w:vAlign w:val="center"/>
            <w:hideMark/>
          </w:tcPr>
          <w:p w14:paraId="3A2BE144"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Cumulative count of a country's bilateral environmental agreements (BEAs) since the year of its first BEA membership until 2019.</w:t>
            </w:r>
          </w:p>
        </w:tc>
        <w:tc>
          <w:tcPr>
            <w:tcW w:w="3260" w:type="dxa"/>
            <w:vAlign w:val="center"/>
          </w:tcPr>
          <w:p w14:paraId="406DC43F"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color w:val="000000"/>
                <w:lang w:eastAsia="en-GB"/>
              </w:rPr>
              <w:t xml:space="preserve">Represents commitment to cooperate internationally to prevent or manage human impacts </w:t>
            </w:r>
            <w:sdt>
              <w:sdtPr>
                <w:rPr>
                  <w:rFonts w:ascii="Times New Roman" w:hAnsi="Times New Roman" w:cs="Times New Roman"/>
                  <w:color w:val="000000"/>
                  <w:lang w:eastAsia="en-GB"/>
                </w:rPr>
                <w:tag w:val="MENDELEY_CITATION_v3_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"/>
                <w:id w:val="-539741799"/>
                <w:placeholder>
                  <w:docPart w:val="F6EA0D9C170B214395315D0030F83A87"/>
                </w:placeholder>
              </w:sdtPr>
              <w:sdtContent>
                <w:r w:rsidRPr="000304E2">
                  <w:rPr>
                    <w:rFonts w:ascii="Times New Roman" w:hAnsi="Times New Roman" w:cs="Times New Roman"/>
                    <w:color w:val="000000"/>
                    <w:lang w:eastAsia="en-GB"/>
                  </w:rPr>
                  <w:t>(Mitchell et al., 2020).</w:t>
                </w:r>
              </w:sdtContent>
            </w:sdt>
          </w:p>
        </w:tc>
        <w:tc>
          <w:tcPr>
            <w:tcW w:w="1276" w:type="dxa"/>
            <w:vAlign w:val="center"/>
          </w:tcPr>
          <w:p w14:paraId="4E0E76DC"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 xml:space="preserve">1850 – 2019 </w:t>
            </w:r>
          </w:p>
        </w:tc>
        <w:tc>
          <w:tcPr>
            <w:tcW w:w="2126" w:type="dxa"/>
            <w:shd w:val="clear" w:color="auto" w:fill="auto"/>
            <w:vAlign w:val="center"/>
            <w:hideMark/>
          </w:tcPr>
          <w:p w14:paraId="1BF2A4D3"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Ronald B. Mitchell. 2020. IEA Membership Count Dataset from the International Environmental Agreements Database Project (Version 20200214). Eugene: IEADB Project. Dataset generated on: 14 February 2020</w:t>
            </w:r>
          </w:p>
        </w:tc>
        <w:tc>
          <w:tcPr>
            <w:tcW w:w="993" w:type="dxa"/>
          </w:tcPr>
          <w:p w14:paraId="46A9F065"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1</w:t>
            </w:r>
          </w:p>
        </w:tc>
      </w:tr>
      <w:tr w:rsidR="00617C3D" w:rsidRPr="000304E2" w14:paraId="0227219E" w14:textId="77777777" w:rsidTr="00DE70F9">
        <w:trPr>
          <w:trHeight w:val="1020"/>
        </w:trPr>
        <w:tc>
          <w:tcPr>
            <w:tcW w:w="1418" w:type="dxa"/>
            <w:shd w:val="clear" w:color="auto" w:fill="auto"/>
            <w:vAlign w:val="center"/>
            <w:hideMark/>
          </w:tcPr>
          <w:p w14:paraId="1B6E44CF"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Policy</w:t>
            </w:r>
          </w:p>
        </w:tc>
        <w:tc>
          <w:tcPr>
            <w:tcW w:w="1560" w:type="dxa"/>
            <w:shd w:val="clear" w:color="auto" w:fill="auto"/>
            <w:vAlign w:val="center"/>
            <w:hideMark/>
          </w:tcPr>
          <w:p w14:paraId="70526E06"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Governance effectiveness</w:t>
            </w:r>
          </w:p>
        </w:tc>
        <w:tc>
          <w:tcPr>
            <w:tcW w:w="4819" w:type="dxa"/>
            <w:shd w:val="clear" w:color="auto" w:fill="auto"/>
            <w:vAlign w:val="center"/>
            <w:hideMark/>
          </w:tcPr>
          <w:p w14:paraId="2553C3B2"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Several indicators of perceptions of the quality of a country's public services, civil service, degree of its independence from political pressures, quality of policy formulation and implementation, and credibility of its government’s commitment to such policies were aggregated into a single standard-normal score ranging from -2.5 to 2.5 using an unobserved components model.</w:t>
            </w:r>
          </w:p>
        </w:tc>
        <w:tc>
          <w:tcPr>
            <w:tcW w:w="3260" w:type="dxa"/>
            <w:vAlign w:val="center"/>
          </w:tcPr>
          <w:p w14:paraId="198747ED"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rPr>
              <w:t xml:space="preserve">Represents likelihood that policy commitments will effectively enable conservation </w:t>
            </w:r>
            <w:r w:rsidRPr="000304E2">
              <w:rPr>
                <w:rFonts w:ascii="Times New Roman" w:hAnsi="Times New Roman" w:cs="Times New Roman"/>
                <w:noProof/>
              </w:rPr>
              <w:t xml:space="preserve">(e.g., </w:t>
            </w:r>
            <w:sdt>
              <w:sdtPr>
                <w:rPr>
                  <w:rFonts w:ascii="Times New Roman" w:hAnsi="Times New Roman" w:cs="Times New Roman"/>
                  <w:noProof/>
                  <w:color w:val="000000"/>
                </w:rPr>
                <w:tag w:val="MENDELEY_CITATION_v3_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"/>
                <w:id w:val="1012111550"/>
                <w:placeholder>
                  <w:docPart w:val="3BDB7A862842464B887151F4F05DEAB7"/>
                </w:placeholder>
              </w:sdtPr>
              <w:sdtContent>
                <w:r w:rsidRPr="000304E2">
                  <w:rPr>
                    <w:rFonts w:ascii="Times New Roman" w:hAnsi="Times New Roman" w:cs="Times New Roman"/>
                    <w:noProof/>
                    <w:color w:val="000000"/>
                  </w:rPr>
                  <w:t>Amano et al., 2018)</w:t>
                </w:r>
              </w:sdtContent>
            </w:sdt>
            <w:r w:rsidRPr="000304E2">
              <w:rPr>
                <w:rFonts w:ascii="Times New Roman" w:hAnsi="Times New Roman" w:cs="Times New Roman"/>
                <w:noProof/>
                <w:color w:val="000000"/>
              </w:rPr>
              <w:t>.</w:t>
            </w:r>
          </w:p>
        </w:tc>
        <w:tc>
          <w:tcPr>
            <w:tcW w:w="1276" w:type="dxa"/>
            <w:vAlign w:val="center"/>
          </w:tcPr>
          <w:p w14:paraId="75DF14C7"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2019</w:t>
            </w:r>
          </w:p>
        </w:tc>
        <w:tc>
          <w:tcPr>
            <w:tcW w:w="2126" w:type="dxa"/>
            <w:shd w:val="clear" w:color="auto" w:fill="auto"/>
            <w:vAlign w:val="center"/>
            <w:hideMark/>
          </w:tcPr>
          <w:p w14:paraId="0A2D13A7"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Worldwide Governance Indicators, The World Bank. 2019. www.govindicators.org, accessed on [24/11/2020]</w:t>
            </w:r>
          </w:p>
        </w:tc>
        <w:tc>
          <w:tcPr>
            <w:tcW w:w="993" w:type="dxa"/>
          </w:tcPr>
          <w:p w14:paraId="7E579CCB"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0</w:t>
            </w:r>
          </w:p>
        </w:tc>
      </w:tr>
      <w:tr w:rsidR="00617C3D" w:rsidRPr="000304E2" w14:paraId="35C2C713" w14:textId="77777777" w:rsidTr="00DE70F9">
        <w:trPr>
          <w:trHeight w:val="71"/>
        </w:trPr>
        <w:tc>
          <w:tcPr>
            <w:tcW w:w="1418" w:type="dxa"/>
            <w:shd w:val="clear" w:color="auto" w:fill="auto"/>
            <w:vAlign w:val="center"/>
          </w:tcPr>
          <w:p w14:paraId="32416644"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lastRenderedPageBreak/>
              <w:t>Policy</w:t>
            </w:r>
          </w:p>
        </w:tc>
        <w:tc>
          <w:tcPr>
            <w:tcW w:w="1560" w:type="dxa"/>
            <w:shd w:val="clear" w:color="auto" w:fill="auto"/>
            <w:vAlign w:val="center"/>
          </w:tcPr>
          <w:p w14:paraId="11FD1D91"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color w:val="000000"/>
                <w:lang w:eastAsia="en-GB"/>
              </w:rPr>
              <w:t>Marine protected areas (</w:t>
            </w:r>
            <w:r w:rsidRPr="000304E2">
              <w:rPr>
                <w:rFonts w:ascii="Times New Roman" w:hAnsi="Times New Roman" w:cs="Times New Roman"/>
                <w:color w:val="000000" w:themeColor="text1"/>
                <w:lang w:eastAsia="en-GB"/>
              </w:rPr>
              <w:t>MPA) target</w:t>
            </w:r>
          </w:p>
        </w:tc>
        <w:tc>
          <w:tcPr>
            <w:tcW w:w="4819" w:type="dxa"/>
            <w:shd w:val="clear" w:color="auto" w:fill="auto"/>
            <w:vAlign w:val="center"/>
          </w:tcPr>
          <w:p w14:paraId="36640C82" w14:textId="77777777" w:rsidR="00617C3D" w:rsidRPr="000304E2" w:rsidRDefault="00617C3D" w:rsidP="000F3F19">
            <w:pPr>
              <w:rPr>
                <w:rFonts w:ascii="Times New Roman" w:hAnsi="Times New Roman" w:cs="Times New Roman"/>
              </w:rPr>
            </w:pPr>
            <w:r w:rsidRPr="000304E2">
              <w:rPr>
                <w:rFonts w:ascii="Times New Roman" w:eastAsia="Times New Roman" w:hAnsi="Times New Roman" w:cs="Times New Roman"/>
                <w:color w:val="000000" w:themeColor="text1"/>
                <w:lang w:eastAsia="en-AU"/>
              </w:rPr>
              <w:t>The percent of a country’s Economic Exclusion Zone (EEZ) set aside as a marine protected area, r</w:t>
            </w:r>
            <w:r w:rsidRPr="000304E2">
              <w:rPr>
                <w:rFonts w:ascii="Times New Roman" w:hAnsi="Times New Roman" w:cs="Times New Roman"/>
              </w:rPr>
              <w:t xml:space="preserve">e-scaled as a performance indicator so that 10% = best, 0% = worst. </w:t>
            </w:r>
          </w:p>
        </w:tc>
        <w:tc>
          <w:tcPr>
            <w:tcW w:w="3260" w:type="dxa"/>
            <w:vAlign w:val="center"/>
          </w:tcPr>
          <w:p w14:paraId="37409FFC"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rPr>
              <w:t xml:space="preserve">Represents degree to which marine and coastal areas are protected </w:t>
            </w:r>
            <w:sdt>
              <w:sdtPr>
                <w:rPr>
                  <w:rFonts w:ascii="Times New Roman" w:hAnsi="Times New Roman" w:cs="Times New Roman"/>
                  <w:color w:val="000000"/>
                </w:rPr>
                <w:tag w:val="MENDELEY_CITATION_v3_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"/>
                <w:id w:val="-1887331400"/>
                <w:placeholder>
                  <w:docPart w:val="881D8F167B32B845BACC20C957195E6B"/>
                </w:placeholder>
              </w:sdtPr>
              <w:sdtContent>
                <w:r w:rsidRPr="000304E2">
                  <w:rPr>
                    <w:rFonts w:ascii="Times New Roman" w:hAnsi="Times New Roman" w:cs="Times New Roman"/>
                    <w:color w:val="000000"/>
                  </w:rPr>
                  <w:t>(Wendling et al., 2020).</w:t>
                </w:r>
              </w:sdtContent>
            </w:sdt>
          </w:p>
        </w:tc>
        <w:tc>
          <w:tcPr>
            <w:tcW w:w="1276" w:type="dxa"/>
            <w:vAlign w:val="center"/>
          </w:tcPr>
          <w:p w14:paraId="45464855"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lang w:val="en-GB"/>
              </w:rPr>
              <w:t xml:space="preserve">1990 – 2020 </w:t>
            </w:r>
          </w:p>
        </w:tc>
        <w:tc>
          <w:tcPr>
            <w:tcW w:w="2126" w:type="dxa"/>
            <w:shd w:val="clear" w:color="auto" w:fill="auto"/>
            <w:vAlign w:val="center"/>
          </w:tcPr>
          <w:p w14:paraId="3451D127"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lang w:val="en-GB"/>
              </w:rPr>
              <w:t xml:space="preserve">Wendling, Z., Emerson, J., de </w:t>
            </w:r>
            <w:proofErr w:type="spellStart"/>
            <w:r w:rsidRPr="000304E2">
              <w:rPr>
                <w:rFonts w:ascii="Times New Roman" w:hAnsi="Times New Roman" w:cs="Times New Roman"/>
                <w:lang w:val="en-GB"/>
              </w:rPr>
              <w:t>Sherbinin</w:t>
            </w:r>
            <w:proofErr w:type="spellEnd"/>
            <w:r w:rsidRPr="000304E2">
              <w:rPr>
                <w:rFonts w:ascii="Times New Roman" w:hAnsi="Times New Roman" w:cs="Times New Roman"/>
                <w:lang w:val="en-GB"/>
              </w:rPr>
              <w:t xml:space="preserve">, A., and Esty, D. 2020. Environmental Performance Index 2020. New Haven, CT: Yale </w:t>
            </w:r>
            <w:proofErr w:type="spellStart"/>
            <w:r w:rsidRPr="000304E2">
              <w:rPr>
                <w:rFonts w:ascii="Times New Roman" w:hAnsi="Times New Roman" w:cs="Times New Roman"/>
                <w:lang w:val="en-GB"/>
              </w:rPr>
              <w:t>Center</w:t>
            </w:r>
            <w:proofErr w:type="spellEnd"/>
            <w:r w:rsidRPr="000304E2">
              <w:rPr>
                <w:rFonts w:ascii="Times New Roman" w:hAnsi="Times New Roman" w:cs="Times New Roman"/>
                <w:lang w:val="en-GB"/>
              </w:rPr>
              <w:t xml:space="preserve"> for Environmental Law &amp; Policy. Retrieved from epi.yale.edu</w:t>
            </w:r>
          </w:p>
        </w:tc>
        <w:tc>
          <w:tcPr>
            <w:tcW w:w="993" w:type="dxa"/>
          </w:tcPr>
          <w:p w14:paraId="41D18AB4"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2</w:t>
            </w:r>
          </w:p>
          <w:p w14:paraId="1EC2E473" w14:textId="77777777" w:rsidR="00617C3D" w:rsidRPr="000304E2" w:rsidRDefault="00617C3D" w:rsidP="000F3F19">
            <w:pPr>
              <w:spacing w:after="0" w:line="240" w:lineRule="auto"/>
              <w:rPr>
                <w:rFonts w:ascii="Times New Roman" w:hAnsi="Times New Roman" w:cs="Times New Roman"/>
                <w:lang w:val="en-GB"/>
              </w:rPr>
            </w:pPr>
          </w:p>
        </w:tc>
      </w:tr>
      <w:tr w:rsidR="00617C3D" w:rsidRPr="000304E2" w14:paraId="2D613012" w14:textId="77777777" w:rsidTr="00DE70F9">
        <w:trPr>
          <w:trHeight w:val="71"/>
        </w:trPr>
        <w:tc>
          <w:tcPr>
            <w:tcW w:w="1418" w:type="dxa"/>
            <w:shd w:val="clear" w:color="auto" w:fill="auto"/>
            <w:vAlign w:val="center"/>
          </w:tcPr>
          <w:p w14:paraId="0C5BFFB1"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Policy</w:t>
            </w:r>
          </w:p>
        </w:tc>
        <w:tc>
          <w:tcPr>
            <w:tcW w:w="1560" w:type="dxa"/>
            <w:shd w:val="clear" w:color="auto" w:fill="auto"/>
            <w:vAlign w:val="center"/>
          </w:tcPr>
          <w:p w14:paraId="406CF055"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Ramsar protection</w:t>
            </w:r>
          </w:p>
        </w:tc>
        <w:tc>
          <w:tcPr>
            <w:tcW w:w="4819" w:type="dxa"/>
            <w:shd w:val="clear" w:color="auto" w:fill="auto"/>
            <w:vAlign w:val="center"/>
          </w:tcPr>
          <w:p w14:paraId="2E4CCE36" w14:textId="77777777" w:rsidR="00617C3D" w:rsidRPr="000304E2" w:rsidRDefault="00617C3D" w:rsidP="000F3F19">
            <w:pPr>
              <w:rPr>
                <w:rFonts w:ascii="Times New Roman" w:hAnsi="Times New Roman" w:cs="Times New Roman"/>
                <w:color w:val="000000" w:themeColor="text1"/>
                <w:lang w:eastAsia="en-GB"/>
              </w:rPr>
            </w:pPr>
            <w:r w:rsidRPr="000304E2">
              <w:rPr>
                <w:rFonts w:ascii="Times New Roman" w:hAnsi="Times New Roman" w:cs="Times New Roman"/>
                <w:color w:val="000000"/>
                <w:lang w:eastAsia="en-GB"/>
              </w:rPr>
              <w:t>The area of coastal wetlands under Ramsar jurisdiction in a country standardised by coastline length. Ramsar sites with coastal wetlands were selected according to the Ramsar definition of intertidal marshes, intertidal forested wetlands, and marine subtidal aquatic beds.</w:t>
            </w:r>
          </w:p>
        </w:tc>
        <w:tc>
          <w:tcPr>
            <w:tcW w:w="3260" w:type="dxa"/>
            <w:vAlign w:val="center"/>
          </w:tcPr>
          <w:p w14:paraId="538FC595"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color w:val="000000"/>
                <w:lang w:eastAsia="en-GB"/>
              </w:rPr>
              <w:t xml:space="preserve">Represents degree to which </w:t>
            </w:r>
            <w:proofErr w:type="gramStart"/>
            <w:r w:rsidRPr="000304E2">
              <w:rPr>
                <w:rFonts w:ascii="Times New Roman" w:hAnsi="Times New Roman" w:cs="Times New Roman"/>
                <w:color w:val="000000"/>
                <w:lang w:eastAsia="en-GB"/>
              </w:rPr>
              <w:t>internationally-important</w:t>
            </w:r>
            <w:proofErr w:type="gramEnd"/>
            <w:r w:rsidRPr="000304E2">
              <w:rPr>
                <w:rFonts w:ascii="Times New Roman" w:hAnsi="Times New Roman" w:cs="Times New Roman"/>
                <w:color w:val="000000"/>
                <w:lang w:eastAsia="en-GB"/>
              </w:rPr>
              <w:t xml:space="preserve"> coastal wetlands are protected </w:t>
            </w:r>
            <w:sdt>
              <w:sdtPr>
                <w:rPr>
                  <w:rFonts w:ascii="Times New Roman" w:hAnsi="Times New Roman" w:cs="Times New Roman"/>
                  <w:color w:val="000000"/>
                  <w:lang w:eastAsia="en-GB"/>
                </w:rPr>
                <w:tag w:val="MENDELEY_CITATION_v3_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"/>
                <w:id w:val="1246916442"/>
                <w:placeholder>
                  <w:docPart w:val="D790BB07E3D6D949914FC20ACE1B8771"/>
                </w:placeholder>
              </w:sdtPr>
              <w:sdtContent>
                <w:r w:rsidRPr="000304E2">
                  <w:rPr>
                    <w:rFonts w:ascii="Times New Roman" w:hAnsi="Times New Roman" w:cs="Times New Roman"/>
                    <w:color w:val="000000"/>
                    <w:lang w:eastAsia="en-GB"/>
                  </w:rPr>
                  <w:t>(Finlayson et al., 2011)</w:t>
                </w:r>
              </w:sdtContent>
            </w:sdt>
            <w:r w:rsidRPr="000304E2">
              <w:rPr>
                <w:rFonts w:ascii="Times New Roman" w:hAnsi="Times New Roman" w:cs="Times New Roman"/>
                <w:color w:val="000000"/>
                <w:lang w:eastAsia="en-GB"/>
              </w:rPr>
              <w:t>.</w:t>
            </w:r>
          </w:p>
        </w:tc>
        <w:tc>
          <w:tcPr>
            <w:tcW w:w="1276" w:type="dxa"/>
            <w:vAlign w:val="center"/>
          </w:tcPr>
          <w:p w14:paraId="4D9BC869"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 xml:space="preserve">1974 – 2021 </w:t>
            </w:r>
          </w:p>
        </w:tc>
        <w:tc>
          <w:tcPr>
            <w:tcW w:w="2126" w:type="dxa"/>
            <w:shd w:val="clear" w:color="auto" w:fill="auto"/>
            <w:vAlign w:val="center"/>
          </w:tcPr>
          <w:p w14:paraId="6C643178"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rPr>
              <w:t xml:space="preserve">The Ramsar Convention Secretariat. 2014. </w:t>
            </w:r>
            <w:hyperlink r:id="rId4" w:history="1">
              <w:r w:rsidRPr="000304E2">
                <w:rPr>
                  <w:rStyle w:val="Hyperlink"/>
                  <w:rFonts w:ascii="Times New Roman" w:hAnsi="Times New Roman" w:cs="Times New Roman"/>
                </w:rPr>
                <w:t>https://rsis.ramsar.org/</w:t>
              </w:r>
            </w:hyperlink>
            <w:r w:rsidRPr="000304E2">
              <w:rPr>
                <w:rStyle w:val="Hyperlink"/>
                <w:rFonts w:ascii="Times New Roman" w:hAnsi="Times New Roman" w:cs="Times New Roman"/>
              </w:rPr>
              <w:t>, accessed on [04/04/2021]</w:t>
            </w:r>
          </w:p>
        </w:tc>
        <w:tc>
          <w:tcPr>
            <w:tcW w:w="993" w:type="dxa"/>
          </w:tcPr>
          <w:p w14:paraId="5ACAB3D1"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0</w:t>
            </w:r>
          </w:p>
        </w:tc>
      </w:tr>
      <w:tr w:rsidR="00617C3D" w:rsidRPr="000304E2" w14:paraId="4CA194C0" w14:textId="77777777" w:rsidTr="00DE70F9">
        <w:trPr>
          <w:trHeight w:val="71"/>
        </w:trPr>
        <w:tc>
          <w:tcPr>
            <w:tcW w:w="1418" w:type="dxa"/>
            <w:shd w:val="clear" w:color="auto" w:fill="auto"/>
            <w:vAlign w:val="center"/>
          </w:tcPr>
          <w:p w14:paraId="047DDF89"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color w:val="000000"/>
                <w:lang w:eastAsia="en-GB"/>
              </w:rPr>
              <w:t>Regulation</w:t>
            </w:r>
          </w:p>
        </w:tc>
        <w:tc>
          <w:tcPr>
            <w:tcW w:w="1560" w:type="dxa"/>
            <w:shd w:val="clear" w:color="auto" w:fill="auto"/>
            <w:vAlign w:val="center"/>
          </w:tcPr>
          <w:p w14:paraId="6BF538B3"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color w:val="000000"/>
                <w:lang w:eastAsia="en-GB"/>
              </w:rPr>
              <w:t>Ramsar management</w:t>
            </w:r>
          </w:p>
        </w:tc>
        <w:tc>
          <w:tcPr>
            <w:tcW w:w="4819" w:type="dxa"/>
            <w:shd w:val="clear" w:color="auto" w:fill="auto"/>
            <w:vAlign w:val="center"/>
          </w:tcPr>
          <w:p w14:paraId="398D1221" w14:textId="77777777" w:rsidR="00617C3D" w:rsidRPr="000304E2" w:rsidRDefault="00617C3D" w:rsidP="000F3F19">
            <w:pPr>
              <w:rPr>
                <w:rFonts w:ascii="Times New Roman" w:hAnsi="Times New Roman" w:cs="Times New Roman"/>
                <w:color w:val="000000"/>
                <w:lang w:eastAsia="en-GB"/>
              </w:rPr>
            </w:pPr>
            <w:r w:rsidRPr="000304E2">
              <w:rPr>
                <w:rFonts w:ascii="Times New Roman" w:hAnsi="Times New Roman" w:cs="Times New Roman"/>
              </w:rPr>
              <w:t>Whether a country has Ramsar-listed coastal wetland sites (i.e., intertidal marshes, intertidal forested wetlands, and marine subtidal aquatic beds) with management plans implemented (0 = no, 1 = yes). If a country did not have any Ramsar-listed coastal wetlands the value was NA.</w:t>
            </w:r>
          </w:p>
        </w:tc>
        <w:tc>
          <w:tcPr>
            <w:tcW w:w="3260" w:type="dxa"/>
            <w:vAlign w:val="center"/>
          </w:tcPr>
          <w:p w14:paraId="73FD536D"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 xml:space="preserve">Represents whether action has been taken towards regulating impacts on protected coastal wetlands </w:t>
            </w:r>
            <w:sdt>
              <w:sdtPr>
                <w:rPr>
                  <w:rFonts w:ascii="Times New Roman" w:hAnsi="Times New Roman" w:cs="Times New Roman"/>
                  <w:color w:val="000000"/>
                </w:rPr>
                <w:tag w:val="MENDELEY_CITATION_v3_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"/>
                <w:id w:val="1222718825"/>
                <w:placeholder>
                  <w:docPart w:val="EBD142610B330E469EFBA0228E9089BE"/>
                </w:placeholder>
              </w:sdtPr>
              <w:sdtContent>
                <w:r w:rsidRPr="000304E2">
                  <w:rPr>
                    <w:rFonts w:ascii="Times New Roman" w:hAnsi="Times New Roman" w:cs="Times New Roman"/>
                    <w:color w:val="000000"/>
                  </w:rPr>
                  <w:t>(</w:t>
                </w:r>
                <w:proofErr w:type="spellStart"/>
                <w:r w:rsidRPr="000304E2">
                  <w:rPr>
                    <w:rFonts w:ascii="Times New Roman" w:hAnsi="Times New Roman" w:cs="Times New Roman"/>
                    <w:color w:val="000000"/>
                  </w:rPr>
                  <w:t>Mauerhofer</w:t>
                </w:r>
                <w:proofErr w:type="spellEnd"/>
                <w:r w:rsidRPr="000304E2">
                  <w:rPr>
                    <w:rFonts w:ascii="Times New Roman" w:hAnsi="Times New Roman" w:cs="Times New Roman"/>
                    <w:color w:val="000000"/>
                  </w:rPr>
                  <w:t xml:space="preserve"> et al., 2015).</w:t>
                </w:r>
              </w:sdtContent>
            </w:sdt>
          </w:p>
        </w:tc>
        <w:tc>
          <w:tcPr>
            <w:tcW w:w="1276" w:type="dxa"/>
            <w:vAlign w:val="center"/>
          </w:tcPr>
          <w:p w14:paraId="58767BD3"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 xml:space="preserve">1974 – 2021 </w:t>
            </w:r>
          </w:p>
        </w:tc>
        <w:tc>
          <w:tcPr>
            <w:tcW w:w="2126" w:type="dxa"/>
            <w:shd w:val="clear" w:color="auto" w:fill="auto"/>
            <w:vAlign w:val="center"/>
          </w:tcPr>
          <w:p w14:paraId="547937FA"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rPr>
              <w:t xml:space="preserve">The Ramsar Convention Secretariat. 2014. </w:t>
            </w:r>
            <w:hyperlink r:id="rId5" w:history="1">
              <w:r w:rsidRPr="000304E2">
                <w:rPr>
                  <w:rStyle w:val="Hyperlink"/>
                  <w:rFonts w:ascii="Times New Roman" w:hAnsi="Times New Roman" w:cs="Times New Roman"/>
                </w:rPr>
                <w:t>https://rsis.ramsar.org/</w:t>
              </w:r>
            </w:hyperlink>
            <w:r w:rsidRPr="000304E2">
              <w:rPr>
                <w:rStyle w:val="Hyperlink"/>
                <w:rFonts w:ascii="Times New Roman" w:hAnsi="Times New Roman" w:cs="Times New Roman"/>
              </w:rPr>
              <w:t>, accessed on [04/04/2021]</w:t>
            </w:r>
          </w:p>
        </w:tc>
        <w:tc>
          <w:tcPr>
            <w:tcW w:w="993" w:type="dxa"/>
          </w:tcPr>
          <w:p w14:paraId="496541FE"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27</w:t>
            </w:r>
          </w:p>
        </w:tc>
      </w:tr>
      <w:tr w:rsidR="00617C3D" w:rsidRPr="000304E2" w14:paraId="0027D7C7" w14:textId="77777777" w:rsidTr="00DE70F9">
        <w:trPr>
          <w:trHeight w:val="765"/>
        </w:trPr>
        <w:tc>
          <w:tcPr>
            <w:tcW w:w="1418" w:type="dxa"/>
            <w:shd w:val="clear" w:color="auto" w:fill="auto"/>
            <w:vAlign w:val="center"/>
            <w:hideMark/>
          </w:tcPr>
          <w:p w14:paraId="6DD45DAB"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Regulation</w:t>
            </w:r>
          </w:p>
        </w:tc>
        <w:tc>
          <w:tcPr>
            <w:tcW w:w="1560" w:type="dxa"/>
            <w:shd w:val="clear" w:color="auto" w:fill="auto"/>
            <w:vAlign w:val="center"/>
            <w:hideMark/>
          </w:tcPr>
          <w:p w14:paraId="071A53BF"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Regulatory quality</w:t>
            </w:r>
          </w:p>
        </w:tc>
        <w:tc>
          <w:tcPr>
            <w:tcW w:w="4819" w:type="dxa"/>
            <w:shd w:val="clear" w:color="auto" w:fill="auto"/>
            <w:vAlign w:val="center"/>
            <w:hideMark/>
          </w:tcPr>
          <w:p w14:paraId="180B8C26"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Several indicators of regulatory quality that represent the ability of a country's government to formulate and implement sound policies and regulations that permit and promote private sector development were aggregated into a single standard-normal score ranging from -2.5 to 2.5 using an unobserved components model.</w:t>
            </w:r>
          </w:p>
        </w:tc>
        <w:tc>
          <w:tcPr>
            <w:tcW w:w="3260" w:type="dxa"/>
            <w:vAlign w:val="center"/>
          </w:tcPr>
          <w:p w14:paraId="0E0C4568"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rPr>
              <w:t xml:space="preserve">Represents capacity to regulate and manage impacts to the environment </w:t>
            </w:r>
            <w:sdt>
              <w:sdtPr>
                <w:rPr>
                  <w:rFonts w:ascii="Times New Roman" w:hAnsi="Times New Roman" w:cs="Times New Roman"/>
                  <w:color w:val="000000"/>
                </w:rPr>
                <w:tag w:val="MENDELEY_CITATION_v3_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"/>
                <w:id w:val="-854878270"/>
                <w:placeholder>
                  <w:docPart w:val="A32FB8B43215DC4AAB26DFF0237BDDF9"/>
                </w:placeholder>
              </w:sdtPr>
              <w:sdtContent>
                <w:r w:rsidRPr="000304E2">
                  <w:rPr>
                    <w:rFonts w:ascii="Times New Roman" w:hAnsi="Times New Roman" w:cs="Times New Roman"/>
                    <w:color w:val="000000"/>
                  </w:rPr>
                  <w:t>(Kaufmann et al., 2010)</w:t>
                </w:r>
              </w:sdtContent>
            </w:sdt>
            <w:r w:rsidRPr="000304E2">
              <w:rPr>
                <w:rFonts w:ascii="Times New Roman" w:hAnsi="Times New Roman" w:cs="Times New Roman"/>
                <w:color w:val="000000"/>
              </w:rPr>
              <w:t>.</w:t>
            </w:r>
          </w:p>
        </w:tc>
        <w:tc>
          <w:tcPr>
            <w:tcW w:w="1276" w:type="dxa"/>
            <w:vAlign w:val="center"/>
          </w:tcPr>
          <w:p w14:paraId="07CF51B8"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2019</w:t>
            </w:r>
          </w:p>
        </w:tc>
        <w:tc>
          <w:tcPr>
            <w:tcW w:w="2126" w:type="dxa"/>
            <w:shd w:val="clear" w:color="auto" w:fill="auto"/>
            <w:vAlign w:val="center"/>
            <w:hideMark/>
          </w:tcPr>
          <w:p w14:paraId="377EB664"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Worldwide Governance Indicators, The World Bank. 2019. www.govindicators.org, accessed on [24/11/2020]</w:t>
            </w:r>
          </w:p>
        </w:tc>
        <w:tc>
          <w:tcPr>
            <w:tcW w:w="993" w:type="dxa"/>
          </w:tcPr>
          <w:p w14:paraId="1327FD29"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0</w:t>
            </w:r>
          </w:p>
        </w:tc>
      </w:tr>
      <w:tr w:rsidR="00617C3D" w:rsidRPr="000304E2" w14:paraId="7DFBC1DF" w14:textId="77777777" w:rsidTr="00DE70F9">
        <w:trPr>
          <w:trHeight w:val="1020"/>
        </w:trPr>
        <w:tc>
          <w:tcPr>
            <w:tcW w:w="1418" w:type="dxa"/>
            <w:shd w:val="clear" w:color="auto" w:fill="auto"/>
            <w:vAlign w:val="center"/>
            <w:hideMark/>
          </w:tcPr>
          <w:p w14:paraId="138DA485"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Regulation</w:t>
            </w:r>
          </w:p>
        </w:tc>
        <w:tc>
          <w:tcPr>
            <w:tcW w:w="1560" w:type="dxa"/>
            <w:shd w:val="clear" w:color="auto" w:fill="auto"/>
            <w:vAlign w:val="center"/>
            <w:hideMark/>
          </w:tcPr>
          <w:p w14:paraId="3BED30C6"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Wastewater treatment</w:t>
            </w:r>
          </w:p>
        </w:tc>
        <w:tc>
          <w:tcPr>
            <w:tcW w:w="4819" w:type="dxa"/>
            <w:shd w:val="clear" w:color="auto" w:fill="auto"/>
            <w:vAlign w:val="center"/>
            <w:hideMark/>
          </w:tcPr>
          <w:p w14:paraId="1574F574" w14:textId="77777777" w:rsidR="00617C3D" w:rsidRPr="000304E2" w:rsidRDefault="00617C3D" w:rsidP="000F3F19">
            <w:pPr>
              <w:rPr>
                <w:rFonts w:ascii="Times New Roman" w:hAnsi="Times New Roman" w:cs="Times New Roman"/>
              </w:rPr>
            </w:pPr>
            <w:r w:rsidRPr="000304E2">
              <w:rPr>
                <w:rFonts w:ascii="Times New Roman" w:hAnsi="Times New Roman" w:cs="Times New Roman"/>
              </w:rPr>
              <w:t xml:space="preserve">The percentage of wastewater that undergoes at least primary treatment in each country, normalised by the proportion of the population connected to a municipal wastewater collection system. </w:t>
            </w:r>
          </w:p>
        </w:tc>
        <w:tc>
          <w:tcPr>
            <w:tcW w:w="3260" w:type="dxa"/>
            <w:vAlign w:val="center"/>
          </w:tcPr>
          <w:p w14:paraId="42F920CF"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color w:val="000000"/>
                <w:lang w:eastAsia="en-GB"/>
              </w:rPr>
              <w:t xml:space="preserve">Represents capacity to manage wastewater pollutants that may degrade water quality </w:t>
            </w:r>
            <w:sdt>
              <w:sdtPr>
                <w:rPr>
                  <w:rFonts w:ascii="Times New Roman" w:hAnsi="Times New Roman" w:cs="Times New Roman"/>
                  <w:color w:val="000000"/>
                  <w:lang w:eastAsia="en-GB"/>
                </w:rPr>
                <w:tag w:val="MENDELEY_CITATION_v3_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"/>
                <w:id w:val="-1978368151"/>
                <w:placeholder>
                  <w:docPart w:val="FCE25E896B99B54C94CF6DEB9F0AEA0D"/>
                </w:placeholder>
              </w:sdtPr>
              <w:sdtContent>
                <w:r w:rsidRPr="000304E2">
                  <w:rPr>
                    <w:rFonts w:ascii="Times New Roman" w:hAnsi="Times New Roman" w:cs="Times New Roman"/>
                    <w:color w:val="000000"/>
                    <w:lang w:eastAsia="en-GB"/>
                  </w:rPr>
                  <w:t xml:space="preserve">(Wendling et al., 2020) </w:t>
                </w:r>
              </w:sdtContent>
            </w:sdt>
            <w:r w:rsidRPr="000304E2">
              <w:rPr>
                <w:rFonts w:ascii="Times New Roman" w:hAnsi="Times New Roman" w:cs="Times New Roman"/>
                <w:color w:val="000000"/>
                <w:lang w:eastAsia="en-GB"/>
              </w:rPr>
              <w:t>and negatively impact coastal wetlands.</w:t>
            </w:r>
          </w:p>
        </w:tc>
        <w:tc>
          <w:tcPr>
            <w:tcW w:w="1276" w:type="dxa"/>
            <w:vAlign w:val="center"/>
          </w:tcPr>
          <w:p w14:paraId="6A6C6B7B"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lang w:val="en-GB"/>
              </w:rPr>
              <w:t>2018</w:t>
            </w:r>
          </w:p>
        </w:tc>
        <w:tc>
          <w:tcPr>
            <w:tcW w:w="2126" w:type="dxa"/>
            <w:shd w:val="clear" w:color="auto" w:fill="auto"/>
            <w:vAlign w:val="center"/>
            <w:hideMark/>
          </w:tcPr>
          <w:p w14:paraId="5C64360F"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lang w:val="en-GB"/>
              </w:rPr>
              <w:t xml:space="preserve">Wendling, Z., Emerson, J., de </w:t>
            </w:r>
            <w:proofErr w:type="spellStart"/>
            <w:r w:rsidRPr="000304E2">
              <w:rPr>
                <w:rFonts w:ascii="Times New Roman" w:hAnsi="Times New Roman" w:cs="Times New Roman"/>
                <w:lang w:val="en-GB"/>
              </w:rPr>
              <w:t>Sherbinin</w:t>
            </w:r>
            <w:proofErr w:type="spellEnd"/>
            <w:r w:rsidRPr="000304E2">
              <w:rPr>
                <w:rFonts w:ascii="Times New Roman" w:hAnsi="Times New Roman" w:cs="Times New Roman"/>
                <w:lang w:val="en-GB"/>
              </w:rPr>
              <w:t xml:space="preserve">, A., &amp; Esty, D. 2020. Environmental Performance Index 2020. New Haven, CT: Yale </w:t>
            </w:r>
            <w:proofErr w:type="spellStart"/>
            <w:r w:rsidRPr="000304E2">
              <w:rPr>
                <w:rFonts w:ascii="Times New Roman" w:hAnsi="Times New Roman" w:cs="Times New Roman"/>
                <w:lang w:val="en-GB"/>
              </w:rPr>
              <w:t>Center</w:t>
            </w:r>
            <w:proofErr w:type="spellEnd"/>
            <w:r w:rsidRPr="000304E2">
              <w:rPr>
                <w:rFonts w:ascii="Times New Roman" w:hAnsi="Times New Roman" w:cs="Times New Roman"/>
                <w:lang w:val="en-GB"/>
              </w:rPr>
              <w:t xml:space="preserve"> for </w:t>
            </w:r>
            <w:r w:rsidRPr="000304E2">
              <w:rPr>
                <w:rFonts w:ascii="Times New Roman" w:hAnsi="Times New Roman" w:cs="Times New Roman"/>
                <w:lang w:val="en-GB"/>
              </w:rPr>
              <w:lastRenderedPageBreak/>
              <w:t>Environmental Law &amp; Policy. Retrieved from epi.yale.edu</w:t>
            </w:r>
          </w:p>
        </w:tc>
        <w:tc>
          <w:tcPr>
            <w:tcW w:w="993" w:type="dxa"/>
          </w:tcPr>
          <w:p w14:paraId="0B7AB844"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eastAsia="Times New Roman" w:hAnsi="Times New Roman" w:cs="Times New Roman"/>
                <w:color w:val="000000"/>
                <w:lang w:eastAsia="en-AU"/>
              </w:rPr>
              <w:lastRenderedPageBreak/>
              <w:t>1</w:t>
            </w:r>
          </w:p>
        </w:tc>
      </w:tr>
      <w:tr w:rsidR="00617C3D" w:rsidRPr="000304E2" w14:paraId="3FE1862B" w14:textId="77777777" w:rsidTr="00DE70F9">
        <w:trPr>
          <w:trHeight w:val="1260"/>
        </w:trPr>
        <w:tc>
          <w:tcPr>
            <w:tcW w:w="1418" w:type="dxa"/>
            <w:shd w:val="clear" w:color="auto" w:fill="auto"/>
            <w:vAlign w:val="center"/>
            <w:hideMark/>
          </w:tcPr>
          <w:p w14:paraId="3E49788E"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Regulation</w:t>
            </w:r>
          </w:p>
        </w:tc>
        <w:tc>
          <w:tcPr>
            <w:tcW w:w="1560" w:type="dxa"/>
            <w:shd w:val="clear" w:color="auto" w:fill="auto"/>
            <w:vAlign w:val="center"/>
            <w:hideMark/>
          </w:tcPr>
          <w:p w14:paraId="23A2B2D5"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Sustainable nitrogen use</w:t>
            </w:r>
          </w:p>
        </w:tc>
        <w:tc>
          <w:tcPr>
            <w:tcW w:w="4819" w:type="dxa"/>
            <w:shd w:val="clear" w:color="auto" w:fill="auto"/>
            <w:vAlign w:val="center"/>
            <w:hideMark/>
          </w:tcPr>
          <w:p w14:paraId="33B367A7" w14:textId="77777777" w:rsidR="00617C3D" w:rsidRPr="000304E2" w:rsidRDefault="00617C3D" w:rsidP="000F3F19">
            <w:pPr>
              <w:autoSpaceDE w:val="0"/>
              <w:autoSpaceDN w:val="0"/>
              <w:adjustRightInd w:val="0"/>
              <w:spacing w:after="0" w:line="240" w:lineRule="auto"/>
              <w:rPr>
                <w:rFonts w:ascii="Times New Roman" w:hAnsi="Times New Roman" w:cs="Times New Roman"/>
                <w:lang w:val="en-GB"/>
              </w:rPr>
            </w:pPr>
            <w:r w:rsidRPr="000304E2">
              <w:rPr>
                <w:rFonts w:ascii="Times New Roman" w:hAnsi="Times New Roman" w:cs="Times New Roman"/>
                <w:color w:val="000000"/>
                <w:lang w:eastAsia="en-GB"/>
              </w:rPr>
              <w:t xml:space="preserve">How far a country is from achieving sustainable nitrogen use for crop fertilisation. </w:t>
            </w:r>
            <w:r w:rsidRPr="000304E2">
              <w:rPr>
                <w:rFonts w:ascii="Times New Roman" w:hAnsi="Times New Roman" w:cs="Times New Roman"/>
                <w:lang w:val="en-GB"/>
              </w:rPr>
              <w:t>The Euclidean distance from an ideal point with optimal nitrogen use efficiency (NUE) and crop yield is measured and rescaled as a performance indicator so that 0 = best performance, 99</w:t>
            </w:r>
            <w:r w:rsidRPr="000304E2">
              <w:rPr>
                <w:rFonts w:ascii="Times New Roman" w:hAnsi="Times New Roman" w:cs="Times New Roman"/>
                <w:vertAlign w:val="superscript"/>
                <w:lang w:val="en-GB"/>
              </w:rPr>
              <w:t>th</w:t>
            </w:r>
            <w:r w:rsidRPr="000304E2">
              <w:rPr>
                <w:rFonts w:ascii="Times New Roman" w:hAnsi="Times New Roman" w:cs="Times New Roman"/>
                <w:lang w:val="en-GB"/>
              </w:rPr>
              <w:t xml:space="preserve"> percentile = worst performance.</w:t>
            </w:r>
          </w:p>
        </w:tc>
        <w:tc>
          <w:tcPr>
            <w:tcW w:w="3260" w:type="dxa"/>
            <w:vAlign w:val="center"/>
          </w:tcPr>
          <w:p w14:paraId="049C3615"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color w:val="000000"/>
                <w:lang w:eastAsia="en-GB"/>
              </w:rPr>
              <w:t xml:space="preserve">Represents capacity to manage negative impacts of nutrient pollution to coastal wetlands </w:t>
            </w:r>
            <w:sdt>
              <w:sdtPr>
                <w:rPr>
                  <w:rFonts w:ascii="Times New Roman" w:hAnsi="Times New Roman" w:cs="Times New Roman"/>
                  <w:color w:val="000000"/>
                  <w:lang w:eastAsia="en-GB"/>
                </w:rPr>
                <w:tag w:val="MENDELEY_CITATION_v3_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"/>
                <w:id w:val="1989364066"/>
                <w:placeholder>
                  <w:docPart w:val="81593B0246EAAC43B7BACF12C7CD5979"/>
                </w:placeholder>
              </w:sdtPr>
              <w:sdtContent>
                <w:r w:rsidRPr="000304E2">
                  <w:rPr>
                    <w:rFonts w:ascii="Times New Roman" w:hAnsi="Times New Roman" w:cs="Times New Roman"/>
                    <w:color w:val="000000"/>
                    <w:lang w:eastAsia="en-GB"/>
                  </w:rPr>
                  <w:t>(</w:t>
                </w:r>
                <w:proofErr w:type="spellStart"/>
                <w:r w:rsidRPr="000304E2">
                  <w:rPr>
                    <w:rFonts w:ascii="Times New Roman" w:hAnsi="Times New Roman" w:cs="Times New Roman"/>
                    <w:color w:val="000000"/>
                    <w:lang w:eastAsia="en-GB"/>
                  </w:rPr>
                  <w:t>Schaffelke</w:t>
                </w:r>
                <w:proofErr w:type="spellEnd"/>
                <w:r w:rsidRPr="000304E2">
                  <w:rPr>
                    <w:rFonts w:ascii="Times New Roman" w:hAnsi="Times New Roman" w:cs="Times New Roman"/>
                    <w:color w:val="000000"/>
                    <w:lang w:eastAsia="en-GB"/>
                  </w:rPr>
                  <w:t xml:space="preserve"> et al., 2005).</w:t>
                </w:r>
              </w:sdtContent>
            </w:sdt>
          </w:p>
        </w:tc>
        <w:tc>
          <w:tcPr>
            <w:tcW w:w="1276" w:type="dxa"/>
            <w:vAlign w:val="center"/>
          </w:tcPr>
          <w:p w14:paraId="77D370E2"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lang w:val="en-GB"/>
              </w:rPr>
              <w:t xml:space="preserve">1961 –s 2015 </w:t>
            </w:r>
          </w:p>
        </w:tc>
        <w:tc>
          <w:tcPr>
            <w:tcW w:w="2126" w:type="dxa"/>
            <w:shd w:val="clear" w:color="auto" w:fill="auto"/>
            <w:vAlign w:val="center"/>
            <w:hideMark/>
          </w:tcPr>
          <w:p w14:paraId="059E8338"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lang w:val="en-GB"/>
              </w:rPr>
              <w:t xml:space="preserve">Wendling, Z., Emerson, J., de </w:t>
            </w:r>
            <w:proofErr w:type="spellStart"/>
            <w:r w:rsidRPr="000304E2">
              <w:rPr>
                <w:rFonts w:ascii="Times New Roman" w:hAnsi="Times New Roman" w:cs="Times New Roman"/>
                <w:lang w:val="en-GB"/>
              </w:rPr>
              <w:t>Sherbinin</w:t>
            </w:r>
            <w:proofErr w:type="spellEnd"/>
            <w:r w:rsidRPr="000304E2">
              <w:rPr>
                <w:rFonts w:ascii="Times New Roman" w:hAnsi="Times New Roman" w:cs="Times New Roman"/>
                <w:lang w:val="en-GB"/>
              </w:rPr>
              <w:t xml:space="preserve">, A., &amp; Esty, D. 2020. Environmental Performance Index 2020. New Haven, CT: Yale </w:t>
            </w:r>
            <w:proofErr w:type="spellStart"/>
            <w:r w:rsidRPr="000304E2">
              <w:rPr>
                <w:rFonts w:ascii="Times New Roman" w:hAnsi="Times New Roman" w:cs="Times New Roman"/>
                <w:lang w:val="en-GB"/>
              </w:rPr>
              <w:t>Center</w:t>
            </w:r>
            <w:proofErr w:type="spellEnd"/>
            <w:r w:rsidRPr="000304E2">
              <w:rPr>
                <w:rFonts w:ascii="Times New Roman" w:hAnsi="Times New Roman" w:cs="Times New Roman"/>
                <w:lang w:val="en-GB"/>
              </w:rPr>
              <w:t xml:space="preserve"> for Environmental Law &amp; Policy. Retrieved from epi.yale.edu</w:t>
            </w:r>
          </w:p>
        </w:tc>
        <w:tc>
          <w:tcPr>
            <w:tcW w:w="993" w:type="dxa"/>
          </w:tcPr>
          <w:p w14:paraId="2D1CAB39"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eastAsia="Times New Roman" w:hAnsi="Times New Roman" w:cs="Times New Roman"/>
                <w:color w:val="000000"/>
                <w:lang w:eastAsia="en-AU"/>
              </w:rPr>
              <w:t>1</w:t>
            </w:r>
          </w:p>
        </w:tc>
      </w:tr>
      <w:tr w:rsidR="00617C3D" w:rsidRPr="000304E2" w14:paraId="6CDFC1A2" w14:textId="77777777" w:rsidTr="00DE70F9">
        <w:trPr>
          <w:trHeight w:val="1429"/>
        </w:trPr>
        <w:tc>
          <w:tcPr>
            <w:tcW w:w="1418" w:type="dxa"/>
            <w:shd w:val="clear" w:color="auto" w:fill="auto"/>
            <w:vAlign w:val="center"/>
            <w:hideMark/>
          </w:tcPr>
          <w:p w14:paraId="49E4FF01"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Regulation</w:t>
            </w:r>
          </w:p>
        </w:tc>
        <w:tc>
          <w:tcPr>
            <w:tcW w:w="1560" w:type="dxa"/>
            <w:shd w:val="clear" w:color="auto" w:fill="auto"/>
            <w:vAlign w:val="center"/>
            <w:hideMark/>
          </w:tcPr>
          <w:p w14:paraId="7117ABF7"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Sulphur dioxide (SO</w:t>
            </w:r>
            <w:r w:rsidRPr="000304E2">
              <w:rPr>
                <w:rFonts w:ascii="Times New Roman" w:eastAsia="Times New Roman" w:hAnsi="Times New Roman" w:cs="Times New Roman"/>
                <w:color w:val="000000"/>
                <w:vertAlign w:val="subscript"/>
                <w:lang w:eastAsia="en-AU"/>
              </w:rPr>
              <w:t>2</w:t>
            </w:r>
            <w:r w:rsidRPr="000304E2">
              <w:rPr>
                <w:rFonts w:ascii="Times New Roman" w:eastAsia="Times New Roman" w:hAnsi="Times New Roman" w:cs="Times New Roman"/>
                <w:color w:val="000000"/>
                <w:lang w:eastAsia="en-AU"/>
              </w:rPr>
              <w:t>) emission reduction</w:t>
            </w:r>
          </w:p>
        </w:tc>
        <w:tc>
          <w:tcPr>
            <w:tcW w:w="4819" w:type="dxa"/>
            <w:shd w:val="clear" w:color="auto" w:fill="auto"/>
            <w:vAlign w:val="center"/>
            <w:hideMark/>
          </w:tcPr>
          <w:p w14:paraId="342D246F" w14:textId="77777777" w:rsidR="00617C3D" w:rsidRPr="000304E2" w:rsidRDefault="00617C3D" w:rsidP="000F3F19">
            <w:pPr>
              <w:rPr>
                <w:rFonts w:ascii="Times New Roman" w:hAnsi="Times New Roman" w:cs="Times New Roman"/>
              </w:rPr>
            </w:pPr>
            <w:r w:rsidRPr="000304E2">
              <w:rPr>
                <w:rFonts w:ascii="Times New Roman" w:eastAsia="Times New Roman" w:hAnsi="Times New Roman" w:cs="Times New Roman"/>
                <w:color w:val="000000"/>
                <w:lang w:eastAsia="en-AU"/>
              </w:rPr>
              <w:t xml:space="preserve">The </w:t>
            </w:r>
            <w:r w:rsidRPr="000304E2">
              <w:rPr>
                <w:rFonts w:ascii="Times New Roman" w:hAnsi="Times New Roman" w:cs="Times New Roman"/>
              </w:rPr>
              <w:t xml:space="preserve">average annual rate of increase or decrease in </w:t>
            </w:r>
            <w:r w:rsidRPr="000304E2">
              <w:rPr>
                <w:rFonts w:ascii="Times New Roman" w:eastAsia="Times New Roman" w:hAnsi="Times New Roman" w:cs="Times New Roman"/>
                <w:color w:val="000000"/>
                <w:lang w:eastAsia="en-AU"/>
              </w:rPr>
              <w:t>SO</w:t>
            </w:r>
            <w:r w:rsidRPr="000304E2">
              <w:rPr>
                <w:rFonts w:ascii="Times New Roman" w:eastAsia="Times New Roman" w:hAnsi="Times New Roman" w:cs="Times New Roman"/>
                <w:color w:val="000000"/>
                <w:vertAlign w:val="subscript"/>
                <w:lang w:eastAsia="en-AU"/>
              </w:rPr>
              <w:t>2</w:t>
            </w:r>
            <w:r w:rsidRPr="000304E2">
              <w:rPr>
                <w:rFonts w:ascii="Times New Roman" w:eastAsia="Times New Roman" w:hAnsi="Times New Roman" w:cs="Times New Roman"/>
                <w:color w:val="000000"/>
                <w:lang w:eastAsia="en-AU"/>
              </w:rPr>
              <w:t xml:space="preserve"> </w:t>
            </w:r>
            <w:r w:rsidRPr="000304E2">
              <w:rPr>
                <w:rFonts w:ascii="Times New Roman" w:hAnsi="Times New Roman" w:cs="Times New Roman"/>
              </w:rPr>
              <w:t xml:space="preserve">adjusted for economic trends to isolate change due to policy rather than economic fluctuation </w:t>
            </w:r>
            <w:r w:rsidRPr="000304E2">
              <w:rPr>
                <w:rFonts w:ascii="Times New Roman" w:eastAsia="Times New Roman" w:hAnsi="Times New Roman" w:cs="Times New Roman"/>
                <w:color w:val="000000"/>
                <w:lang w:eastAsia="en-AU"/>
              </w:rPr>
              <w:t>and rescaled as a performance indicator so that the most negative trend = best performance, and the trends in the top 95</w:t>
            </w:r>
            <w:r w:rsidRPr="000304E2">
              <w:rPr>
                <w:rFonts w:ascii="Times New Roman" w:eastAsia="Times New Roman" w:hAnsi="Times New Roman" w:cs="Times New Roman"/>
                <w:color w:val="000000"/>
                <w:vertAlign w:val="superscript"/>
                <w:lang w:eastAsia="en-AU"/>
              </w:rPr>
              <w:t>th</w:t>
            </w:r>
            <w:r w:rsidRPr="000304E2">
              <w:rPr>
                <w:rFonts w:ascii="Times New Roman" w:eastAsia="Times New Roman" w:hAnsi="Times New Roman" w:cs="Times New Roman"/>
                <w:color w:val="000000"/>
                <w:lang w:eastAsia="en-AU"/>
              </w:rPr>
              <w:t xml:space="preserve"> percentile = worst.</w:t>
            </w:r>
          </w:p>
        </w:tc>
        <w:tc>
          <w:tcPr>
            <w:tcW w:w="3260" w:type="dxa"/>
            <w:vAlign w:val="center"/>
          </w:tcPr>
          <w:p w14:paraId="42DB79FC"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rPr>
              <w:t xml:space="preserve">Represents capacity to manage negative impacts of air pollution (e.g., acidification and poor water quality </w:t>
            </w:r>
            <w:sdt>
              <w:sdtPr>
                <w:rPr>
                  <w:rFonts w:ascii="Times New Roman" w:hAnsi="Times New Roman" w:cs="Times New Roman"/>
                  <w:color w:val="000000"/>
                </w:rPr>
                <w:tag w:val="MENDELEY_CITATION_v3_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"/>
                <w:id w:val="622579600"/>
                <w:placeholder>
                  <w:docPart w:val="EDA5F15C6E01C44FB33363DE6E342A74"/>
                </w:placeholder>
              </w:sdtPr>
              <w:sdtContent>
                <w:r w:rsidRPr="000304E2">
                  <w:rPr>
                    <w:rFonts w:ascii="Times New Roman" w:hAnsi="Times New Roman" w:cs="Times New Roman"/>
                    <w:color w:val="000000"/>
                  </w:rPr>
                  <w:t>(Wendling et al., 2018)</w:t>
                </w:r>
              </w:sdtContent>
            </w:sdt>
            <w:r w:rsidRPr="000304E2">
              <w:rPr>
                <w:rFonts w:ascii="Times New Roman" w:hAnsi="Times New Roman" w:cs="Times New Roman"/>
                <w:color w:val="000000"/>
              </w:rPr>
              <w:t xml:space="preserve">) </w:t>
            </w:r>
            <w:r w:rsidRPr="000304E2">
              <w:rPr>
                <w:rFonts w:ascii="Times New Roman" w:hAnsi="Times New Roman" w:cs="Times New Roman"/>
              </w:rPr>
              <w:t xml:space="preserve">that may degrade coastal wetlands.  </w:t>
            </w:r>
          </w:p>
        </w:tc>
        <w:tc>
          <w:tcPr>
            <w:tcW w:w="1276" w:type="dxa"/>
            <w:vAlign w:val="center"/>
          </w:tcPr>
          <w:p w14:paraId="78E39335"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lang w:val="en-GB"/>
              </w:rPr>
              <w:t xml:space="preserve">2005 – 2014 </w:t>
            </w:r>
          </w:p>
        </w:tc>
        <w:tc>
          <w:tcPr>
            <w:tcW w:w="2126" w:type="dxa"/>
            <w:shd w:val="clear" w:color="auto" w:fill="auto"/>
            <w:vAlign w:val="center"/>
            <w:hideMark/>
          </w:tcPr>
          <w:p w14:paraId="4D935037"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lang w:val="en-GB"/>
              </w:rPr>
              <w:t xml:space="preserve">Wendling, Z., Emerson, J., de </w:t>
            </w:r>
            <w:proofErr w:type="spellStart"/>
            <w:r w:rsidRPr="000304E2">
              <w:rPr>
                <w:rFonts w:ascii="Times New Roman" w:hAnsi="Times New Roman" w:cs="Times New Roman"/>
                <w:lang w:val="en-GB"/>
              </w:rPr>
              <w:t>Sherbinin</w:t>
            </w:r>
            <w:proofErr w:type="spellEnd"/>
            <w:r w:rsidRPr="000304E2">
              <w:rPr>
                <w:rFonts w:ascii="Times New Roman" w:hAnsi="Times New Roman" w:cs="Times New Roman"/>
                <w:lang w:val="en-GB"/>
              </w:rPr>
              <w:t xml:space="preserve">, A., &amp; Esty, D. 2020. Environmental Performance Index 2020. New Haven, CT: Yale </w:t>
            </w:r>
            <w:proofErr w:type="spellStart"/>
            <w:r w:rsidRPr="000304E2">
              <w:rPr>
                <w:rFonts w:ascii="Times New Roman" w:hAnsi="Times New Roman" w:cs="Times New Roman"/>
                <w:lang w:val="en-GB"/>
              </w:rPr>
              <w:t>Center</w:t>
            </w:r>
            <w:proofErr w:type="spellEnd"/>
            <w:r w:rsidRPr="000304E2">
              <w:rPr>
                <w:rFonts w:ascii="Times New Roman" w:hAnsi="Times New Roman" w:cs="Times New Roman"/>
                <w:lang w:val="en-GB"/>
              </w:rPr>
              <w:t xml:space="preserve"> for Environmental Law &amp; Policy. Retrieved from epi.yale.edu</w:t>
            </w:r>
          </w:p>
        </w:tc>
        <w:tc>
          <w:tcPr>
            <w:tcW w:w="993" w:type="dxa"/>
          </w:tcPr>
          <w:p w14:paraId="2779207A"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eastAsia="Times New Roman" w:hAnsi="Times New Roman" w:cs="Times New Roman"/>
                <w:color w:val="000000"/>
                <w:lang w:eastAsia="en-AU"/>
              </w:rPr>
              <w:t>3</w:t>
            </w:r>
          </w:p>
        </w:tc>
      </w:tr>
      <w:tr w:rsidR="00617C3D" w:rsidRPr="000304E2" w14:paraId="7A61EFC7" w14:textId="77777777" w:rsidTr="00DE70F9">
        <w:trPr>
          <w:trHeight w:val="1429"/>
        </w:trPr>
        <w:tc>
          <w:tcPr>
            <w:tcW w:w="1418" w:type="dxa"/>
            <w:shd w:val="clear" w:color="auto" w:fill="auto"/>
            <w:vAlign w:val="center"/>
            <w:hideMark/>
          </w:tcPr>
          <w:p w14:paraId="5F145178"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Regulation</w:t>
            </w:r>
          </w:p>
        </w:tc>
        <w:tc>
          <w:tcPr>
            <w:tcW w:w="1560" w:type="dxa"/>
            <w:shd w:val="clear" w:color="auto" w:fill="auto"/>
            <w:vAlign w:val="center"/>
            <w:hideMark/>
          </w:tcPr>
          <w:p w14:paraId="29865EE8"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Nitrous oxide (N</w:t>
            </w:r>
            <w:r w:rsidRPr="000304E2">
              <w:rPr>
                <w:rFonts w:ascii="Times New Roman" w:eastAsia="Times New Roman" w:hAnsi="Times New Roman" w:cs="Times New Roman"/>
                <w:color w:val="000000"/>
                <w:vertAlign w:val="subscript"/>
                <w:lang w:eastAsia="en-AU"/>
              </w:rPr>
              <w:t>2</w:t>
            </w:r>
            <w:r w:rsidRPr="000304E2">
              <w:rPr>
                <w:rFonts w:ascii="Times New Roman" w:eastAsia="Times New Roman" w:hAnsi="Times New Roman" w:cs="Times New Roman"/>
                <w:color w:val="000000"/>
                <w:lang w:eastAsia="en-AU"/>
              </w:rPr>
              <w:t>O) emission reduction</w:t>
            </w:r>
          </w:p>
        </w:tc>
        <w:tc>
          <w:tcPr>
            <w:tcW w:w="4819" w:type="dxa"/>
            <w:shd w:val="clear" w:color="auto" w:fill="auto"/>
            <w:vAlign w:val="center"/>
            <w:hideMark/>
          </w:tcPr>
          <w:p w14:paraId="22F3BCDB"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 xml:space="preserve">The </w:t>
            </w:r>
            <w:r w:rsidRPr="000304E2">
              <w:rPr>
                <w:rFonts w:ascii="Times New Roman" w:hAnsi="Times New Roman" w:cs="Times New Roman"/>
              </w:rPr>
              <w:t xml:space="preserve">average annual rate of increase or decrease in </w:t>
            </w:r>
            <w:r w:rsidRPr="000304E2">
              <w:rPr>
                <w:rFonts w:ascii="Times New Roman" w:eastAsia="Times New Roman" w:hAnsi="Times New Roman" w:cs="Times New Roman"/>
                <w:color w:val="000000"/>
                <w:lang w:eastAsia="en-AU"/>
              </w:rPr>
              <w:t>N</w:t>
            </w:r>
            <w:r w:rsidRPr="000304E2">
              <w:rPr>
                <w:rFonts w:ascii="Times New Roman" w:eastAsia="Times New Roman" w:hAnsi="Times New Roman" w:cs="Times New Roman"/>
                <w:color w:val="000000"/>
                <w:vertAlign w:val="subscript"/>
                <w:lang w:eastAsia="en-AU"/>
              </w:rPr>
              <w:t>2</w:t>
            </w:r>
            <w:r w:rsidRPr="000304E2">
              <w:rPr>
                <w:rFonts w:ascii="Times New Roman" w:eastAsia="Times New Roman" w:hAnsi="Times New Roman" w:cs="Times New Roman"/>
                <w:color w:val="000000"/>
                <w:lang w:eastAsia="en-AU"/>
              </w:rPr>
              <w:t xml:space="preserve">O </w:t>
            </w:r>
            <w:r w:rsidRPr="000304E2">
              <w:rPr>
                <w:rFonts w:ascii="Times New Roman" w:hAnsi="Times New Roman" w:cs="Times New Roman"/>
              </w:rPr>
              <w:t xml:space="preserve">adjusted for economic trends to isolate change due to policy rather than economic fluctuation </w:t>
            </w:r>
            <w:r w:rsidRPr="000304E2">
              <w:rPr>
                <w:rFonts w:ascii="Times New Roman" w:eastAsia="Times New Roman" w:hAnsi="Times New Roman" w:cs="Times New Roman"/>
                <w:color w:val="000000"/>
                <w:lang w:eastAsia="en-AU"/>
              </w:rPr>
              <w:t>and rescaled as a performance indicator so that the most negative trend = best performance, and the trends in the top 95</w:t>
            </w:r>
            <w:r w:rsidRPr="000304E2">
              <w:rPr>
                <w:rFonts w:ascii="Times New Roman" w:eastAsia="Times New Roman" w:hAnsi="Times New Roman" w:cs="Times New Roman"/>
                <w:color w:val="000000"/>
                <w:vertAlign w:val="superscript"/>
                <w:lang w:eastAsia="en-AU"/>
              </w:rPr>
              <w:t>th</w:t>
            </w:r>
            <w:r w:rsidRPr="000304E2">
              <w:rPr>
                <w:rFonts w:ascii="Times New Roman" w:eastAsia="Times New Roman" w:hAnsi="Times New Roman" w:cs="Times New Roman"/>
                <w:color w:val="000000"/>
                <w:lang w:eastAsia="en-AU"/>
              </w:rPr>
              <w:t xml:space="preserve"> percentile = worst. </w:t>
            </w:r>
          </w:p>
        </w:tc>
        <w:tc>
          <w:tcPr>
            <w:tcW w:w="3260" w:type="dxa"/>
            <w:vAlign w:val="center"/>
          </w:tcPr>
          <w:p w14:paraId="7BA0D77A"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rPr>
              <w:t xml:space="preserve">Represents capacity to manage negative impacts of air pollution (e.g., </w:t>
            </w:r>
            <w:r w:rsidRPr="000304E2">
              <w:rPr>
                <w:rFonts w:ascii="Times New Roman" w:hAnsi="Times New Roman" w:cs="Times New Roman"/>
                <w:lang w:val="en-GB"/>
              </w:rPr>
              <w:t xml:space="preserve">acidification and poor water quality degradation </w:t>
            </w:r>
            <w:sdt>
              <w:sdtPr>
                <w:rPr>
                  <w:rFonts w:ascii="Times New Roman" w:hAnsi="Times New Roman" w:cs="Times New Roman"/>
                  <w:color w:val="000000"/>
                  <w:lang w:val="en-GB"/>
                </w:rPr>
                <w:tag w:val="MENDELEY_CITATION_v3_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"/>
                <w:id w:val="-572576128"/>
                <w:placeholder>
                  <w:docPart w:val="84CC71572527A1488CDE727DD878FFB7"/>
                </w:placeholder>
              </w:sdtPr>
              <w:sdtContent>
                <w:r w:rsidRPr="000304E2">
                  <w:rPr>
                    <w:rFonts w:ascii="Times New Roman" w:hAnsi="Times New Roman" w:cs="Times New Roman"/>
                    <w:color w:val="000000"/>
                    <w:lang w:val="en-GB"/>
                  </w:rPr>
                  <w:t>(Wendling et al., 2018))</w:t>
                </w:r>
              </w:sdtContent>
            </w:sdt>
            <w:r w:rsidRPr="000304E2">
              <w:rPr>
                <w:rFonts w:ascii="Times New Roman" w:hAnsi="Times New Roman" w:cs="Times New Roman"/>
                <w:color w:val="000000"/>
                <w:lang w:val="en-GB"/>
              </w:rPr>
              <w:t xml:space="preserve"> </w:t>
            </w:r>
            <w:r w:rsidRPr="000304E2">
              <w:rPr>
                <w:rFonts w:ascii="Times New Roman" w:hAnsi="Times New Roman" w:cs="Times New Roman"/>
                <w:lang w:val="en-GB"/>
              </w:rPr>
              <w:t>that may degrade coastal wetlands.</w:t>
            </w:r>
          </w:p>
        </w:tc>
        <w:tc>
          <w:tcPr>
            <w:tcW w:w="1276" w:type="dxa"/>
            <w:vAlign w:val="center"/>
          </w:tcPr>
          <w:p w14:paraId="64774CD1"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hAnsi="Times New Roman" w:cs="Times New Roman"/>
                <w:lang w:val="en-GB"/>
              </w:rPr>
              <w:t xml:space="preserve">2005 – 2014 </w:t>
            </w:r>
          </w:p>
        </w:tc>
        <w:tc>
          <w:tcPr>
            <w:tcW w:w="2126" w:type="dxa"/>
            <w:shd w:val="clear" w:color="auto" w:fill="auto"/>
            <w:vAlign w:val="center"/>
            <w:hideMark/>
          </w:tcPr>
          <w:p w14:paraId="4FCAE489"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hAnsi="Times New Roman" w:cs="Times New Roman"/>
                <w:lang w:val="en-GB"/>
              </w:rPr>
              <w:t xml:space="preserve">Wendling, Z., Emerson, J., de </w:t>
            </w:r>
            <w:proofErr w:type="spellStart"/>
            <w:r w:rsidRPr="000304E2">
              <w:rPr>
                <w:rFonts w:ascii="Times New Roman" w:hAnsi="Times New Roman" w:cs="Times New Roman"/>
                <w:lang w:val="en-GB"/>
              </w:rPr>
              <w:t>Sherbinin</w:t>
            </w:r>
            <w:proofErr w:type="spellEnd"/>
            <w:r w:rsidRPr="000304E2">
              <w:rPr>
                <w:rFonts w:ascii="Times New Roman" w:hAnsi="Times New Roman" w:cs="Times New Roman"/>
                <w:lang w:val="en-GB"/>
              </w:rPr>
              <w:t xml:space="preserve">, A., &amp; Esty, D. 2020. Environmental Performance Index 2020. New Haven, CT: Yale </w:t>
            </w:r>
            <w:proofErr w:type="spellStart"/>
            <w:r w:rsidRPr="000304E2">
              <w:rPr>
                <w:rFonts w:ascii="Times New Roman" w:hAnsi="Times New Roman" w:cs="Times New Roman"/>
                <w:lang w:val="en-GB"/>
              </w:rPr>
              <w:t>Center</w:t>
            </w:r>
            <w:proofErr w:type="spellEnd"/>
            <w:r w:rsidRPr="000304E2">
              <w:rPr>
                <w:rFonts w:ascii="Times New Roman" w:hAnsi="Times New Roman" w:cs="Times New Roman"/>
                <w:lang w:val="en-GB"/>
              </w:rPr>
              <w:t xml:space="preserve"> for Environmental Law &amp; Policy. Retrieved from epi.yale.edu</w:t>
            </w:r>
          </w:p>
        </w:tc>
        <w:tc>
          <w:tcPr>
            <w:tcW w:w="993" w:type="dxa"/>
          </w:tcPr>
          <w:p w14:paraId="35AE4A37" w14:textId="77777777" w:rsidR="00617C3D" w:rsidRPr="000304E2" w:rsidRDefault="00617C3D" w:rsidP="000F3F19">
            <w:pPr>
              <w:spacing w:after="0" w:line="240" w:lineRule="auto"/>
              <w:rPr>
                <w:rFonts w:ascii="Times New Roman" w:hAnsi="Times New Roman" w:cs="Times New Roman"/>
                <w:lang w:val="en-GB"/>
              </w:rPr>
            </w:pPr>
            <w:r w:rsidRPr="000304E2">
              <w:rPr>
                <w:rFonts w:ascii="Times New Roman" w:eastAsia="Times New Roman" w:hAnsi="Times New Roman" w:cs="Times New Roman"/>
                <w:color w:val="000000"/>
                <w:lang w:eastAsia="en-AU"/>
              </w:rPr>
              <w:t>3</w:t>
            </w:r>
          </w:p>
        </w:tc>
      </w:tr>
      <w:tr w:rsidR="00617C3D" w:rsidRPr="000304E2" w14:paraId="17D3C8BD" w14:textId="77777777" w:rsidTr="00DE70F9">
        <w:trPr>
          <w:trHeight w:val="1530"/>
        </w:trPr>
        <w:tc>
          <w:tcPr>
            <w:tcW w:w="1418" w:type="dxa"/>
            <w:shd w:val="clear" w:color="auto" w:fill="auto"/>
            <w:vAlign w:val="center"/>
            <w:hideMark/>
          </w:tcPr>
          <w:p w14:paraId="1A38904B"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lastRenderedPageBreak/>
              <w:t>Regulation</w:t>
            </w:r>
          </w:p>
        </w:tc>
        <w:tc>
          <w:tcPr>
            <w:tcW w:w="1560" w:type="dxa"/>
            <w:shd w:val="clear" w:color="auto" w:fill="auto"/>
            <w:vAlign w:val="center"/>
            <w:hideMark/>
          </w:tcPr>
          <w:p w14:paraId="07044F69"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Environmental taxes</w:t>
            </w:r>
          </w:p>
        </w:tc>
        <w:tc>
          <w:tcPr>
            <w:tcW w:w="4819" w:type="dxa"/>
            <w:shd w:val="clear" w:color="auto" w:fill="auto"/>
            <w:vAlign w:val="center"/>
            <w:hideMark/>
          </w:tcPr>
          <w:p w14:paraId="4B673188"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A measure of the number of taxes, charges, or fees for the following categories: 1) environmental management, 2) air pollution, 3) energy, 4) noise pollution, 5) fossil fuels, 6) transport management, 7) waste management, and 8) water management. A final 'environmental fee' score for each country was calculated as the sum of the number of taxes, fees, or charges (rescaled between 0 and 1) across all eight categories.</w:t>
            </w:r>
          </w:p>
        </w:tc>
        <w:tc>
          <w:tcPr>
            <w:tcW w:w="3260" w:type="dxa"/>
            <w:vAlign w:val="center"/>
          </w:tcPr>
          <w:p w14:paraId="50E405B2"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 xml:space="preserve">Represents the implementation of pricing instruments that can improve environmental quality </w:t>
            </w:r>
            <w:sdt>
              <w:sdtPr>
                <w:rPr>
                  <w:rFonts w:ascii="Times New Roman" w:hAnsi="Times New Roman" w:cs="Times New Roman"/>
                  <w:color w:val="000000"/>
                </w:rPr>
                <w:tag w:val="MENDELEY_CITATION_v3_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"/>
                <w:id w:val="1611626347"/>
                <w:placeholder>
                  <w:docPart w:val="DE1D3F53A0CFCC48B7E3930A868E61B5"/>
                </w:placeholder>
              </w:sdtPr>
              <w:sdtContent>
                <w:r w:rsidRPr="000304E2">
                  <w:rPr>
                    <w:rFonts w:ascii="Times New Roman" w:hAnsi="Times New Roman" w:cs="Times New Roman"/>
                    <w:color w:val="000000"/>
                  </w:rPr>
                  <w:t>(Bashir et al., 2020)</w:t>
                </w:r>
              </w:sdtContent>
            </w:sdt>
            <w:r w:rsidRPr="000304E2">
              <w:rPr>
                <w:rFonts w:ascii="Times New Roman" w:hAnsi="Times New Roman" w:cs="Times New Roman"/>
                <w:color w:val="000000"/>
              </w:rPr>
              <w:t>.</w:t>
            </w:r>
          </w:p>
        </w:tc>
        <w:tc>
          <w:tcPr>
            <w:tcW w:w="1276" w:type="dxa"/>
            <w:vAlign w:val="center"/>
          </w:tcPr>
          <w:p w14:paraId="56BB6EF4"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 xml:space="preserve">1980 – 2020 </w:t>
            </w:r>
          </w:p>
        </w:tc>
        <w:tc>
          <w:tcPr>
            <w:tcW w:w="2126" w:type="dxa"/>
            <w:shd w:val="clear" w:color="auto" w:fill="auto"/>
            <w:vAlign w:val="center"/>
            <w:hideMark/>
          </w:tcPr>
          <w:p w14:paraId="6F9C790E" w14:textId="77777777" w:rsidR="00617C3D" w:rsidRPr="000304E2" w:rsidRDefault="00000000" w:rsidP="000F3F19">
            <w:pPr>
              <w:spacing w:after="0" w:line="240" w:lineRule="auto"/>
              <w:rPr>
                <w:rFonts w:ascii="Times New Roman" w:eastAsia="Times New Roman" w:hAnsi="Times New Roman" w:cs="Times New Roman"/>
                <w:color w:val="0563C1"/>
                <w:u w:val="single"/>
                <w:lang w:eastAsia="en-AU"/>
              </w:rPr>
            </w:pPr>
            <w:hyperlink r:id="rId6" w:history="1">
              <w:r w:rsidR="00617C3D" w:rsidRPr="000304E2">
                <w:rPr>
                  <w:rFonts w:ascii="Times New Roman" w:eastAsia="Times New Roman" w:hAnsi="Times New Roman" w:cs="Times New Roman"/>
                  <w:color w:val="0563C1"/>
                  <w:u w:val="single"/>
                  <w:lang w:eastAsia="en-AU"/>
                </w:rPr>
                <w:t>OECD, Policy Instruments for the Environment (PINE) Database, http://oe.cd/pine , accessed on [24/11/2020]</w:t>
              </w:r>
            </w:hyperlink>
          </w:p>
        </w:tc>
        <w:tc>
          <w:tcPr>
            <w:tcW w:w="993" w:type="dxa"/>
          </w:tcPr>
          <w:p w14:paraId="60DCF5EF"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40</w:t>
            </w:r>
          </w:p>
        </w:tc>
      </w:tr>
      <w:tr w:rsidR="00617C3D" w:rsidRPr="000304E2" w14:paraId="4ABAB764" w14:textId="77777777" w:rsidTr="00DE70F9">
        <w:trPr>
          <w:trHeight w:val="1530"/>
        </w:trPr>
        <w:tc>
          <w:tcPr>
            <w:tcW w:w="1418" w:type="dxa"/>
            <w:shd w:val="clear" w:color="auto" w:fill="auto"/>
            <w:vAlign w:val="center"/>
          </w:tcPr>
          <w:p w14:paraId="32C8B841"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Engagement</w:t>
            </w:r>
          </w:p>
        </w:tc>
        <w:tc>
          <w:tcPr>
            <w:tcW w:w="1560" w:type="dxa"/>
            <w:shd w:val="clear" w:color="auto" w:fill="auto"/>
            <w:vAlign w:val="center"/>
          </w:tcPr>
          <w:p w14:paraId="595154ED"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Conservation spending</w:t>
            </w:r>
          </w:p>
        </w:tc>
        <w:tc>
          <w:tcPr>
            <w:tcW w:w="4819" w:type="dxa"/>
            <w:shd w:val="clear" w:color="auto" w:fill="auto"/>
            <w:vAlign w:val="center"/>
          </w:tcPr>
          <w:p w14:paraId="2033F499"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Average annual conservation investment (</w:t>
            </w:r>
            <w:proofErr w:type="spellStart"/>
            <w:r w:rsidRPr="000304E2">
              <w:rPr>
                <w:rFonts w:ascii="Times New Roman" w:eastAsia="Times New Roman" w:hAnsi="Times New Roman" w:cs="Times New Roman"/>
                <w:color w:val="000000"/>
                <w:lang w:eastAsia="en-AU"/>
              </w:rPr>
              <w:t>I$m</w:t>
            </w:r>
            <w:proofErr w:type="spellEnd"/>
            <w:r w:rsidRPr="000304E2">
              <w:rPr>
                <w:rFonts w:ascii="Times New Roman" w:eastAsia="Times New Roman" w:hAnsi="Times New Roman" w:cs="Times New Roman"/>
                <w:color w:val="000000"/>
                <w:lang w:eastAsia="en-AU"/>
              </w:rPr>
              <w:t>) for countries that are signatories to the Convention on Biological Diversity (CBD) and Sustainable Development Goals (SDGs). Sources of investment include government, donors, trust funds and self-funding via user payments. For countries that were not signatories to the SDGs or CBDs, or data was insufficient to estimate average annual conservation investment, values were gap-filled (see methods).</w:t>
            </w:r>
          </w:p>
        </w:tc>
        <w:tc>
          <w:tcPr>
            <w:tcW w:w="3260" w:type="dxa"/>
            <w:vAlign w:val="center"/>
          </w:tcPr>
          <w:p w14:paraId="043B45A9"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 xml:space="preserve">Represents engagement in conservation through domestic financial investment </w:t>
            </w:r>
            <w:r w:rsidRPr="000304E2">
              <w:rPr>
                <w:rFonts w:ascii="Times New Roman" w:hAnsi="Times New Roman" w:cs="Times New Roman"/>
                <w:noProof/>
              </w:rPr>
              <w:t>(Waldron et al., 2017)</w:t>
            </w:r>
            <w:r w:rsidRPr="000304E2">
              <w:rPr>
                <w:rFonts w:ascii="Times New Roman" w:hAnsi="Times New Roman" w:cs="Times New Roman"/>
              </w:rPr>
              <w:t>.</w:t>
            </w:r>
          </w:p>
        </w:tc>
        <w:tc>
          <w:tcPr>
            <w:tcW w:w="1276" w:type="dxa"/>
            <w:vAlign w:val="center"/>
          </w:tcPr>
          <w:p w14:paraId="70EC2115"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 xml:space="preserve">1992 - 2003 </w:t>
            </w:r>
          </w:p>
        </w:tc>
        <w:tc>
          <w:tcPr>
            <w:tcW w:w="2126" w:type="dxa"/>
            <w:shd w:val="clear" w:color="auto" w:fill="auto"/>
            <w:vAlign w:val="center"/>
          </w:tcPr>
          <w:p w14:paraId="2DBE27C7"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 xml:space="preserve">Waldron, A., </w:t>
            </w:r>
            <w:proofErr w:type="spellStart"/>
            <w:r w:rsidRPr="000304E2">
              <w:rPr>
                <w:rFonts w:ascii="Times New Roman" w:hAnsi="Times New Roman" w:cs="Times New Roman"/>
              </w:rPr>
              <w:t>Mooers</w:t>
            </w:r>
            <w:proofErr w:type="spellEnd"/>
            <w:r w:rsidRPr="000304E2">
              <w:rPr>
                <w:rFonts w:ascii="Times New Roman" w:hAnsi="Times New Roman" w:cs="Times New Roman"/>
              </w:rPr>
              <w:t xml:space="preserve">, A. O., Miller, D. C., </w:t>
            </w:r>
            <w:proofErr w:type="spellStart"/>
            <w:r w:rsidRPr="000304E2">
              <w:rPr>
                <w:rFonts w:ascii="Times New Roman" w:hAnsi="Times New Roman" w:cs="Times New Roman"/>
              </w:rPr>
              <w:t>Nibbelink</w:t>
            </w:r>
            <w:proofErr w:type="spellEnd"/>
            <w:r w:rsidRPr="000304E2">
              <w:rPr>
                <w:rFonts w:ascii="Times New Roman" w:hAnsi="Times New Roman" w:cs="Times New Roman"/>
              </w:rPr>
              <w:t xml:space="preserve">, N., Redding, D., Kuhn, T. S., Timmons Roberts, J., &amp; </w:t>
            </w:r>
            <w:proofErr w:type="spellStart"/>
            <w:r w:rsidRPr="000304E2">
              <w:rPr>
                <w:rFonts w:ascii="Times New Roman" w:hAnsi="Times New Roman" w:cs="Times New Roman"/>
              </w:rPr>
              <w:t>Gittleman</w:t>
            </w:r>
            <w:proofErr w:type="spellEnd"/>
            <w:r w:rsidRPr="000304E2">
              <w:rPr>
                <w:rFonts w:ascii="Times New Roman" w:hAnsi="Times New Roman" w:cs="Times New Roman"/>
              </w:rPr>
              <w:t xml:space="preserve">, J. L. 2013. Targeting global conservation funding to limit immediate biodiversity declines. </w:t>
            </w:r>
            <w:hyperlink r:id="rId7" w:history="1">
              <w:r w:rsidRPr="000304E2">
                <w:rPr>
                  <w:rStyle w:val="Hyperlink"/>
                  <w:rFonts w:ascii="Times New Roman" w:hAnsi="Times New Roman" w:cs="Times New Roman"/>
                </w:rPr>
                <w:t>https://doi.org/10.5061/dryad.p69t1</w:t>
              </w:r>
            </w:hyperlink>
          </w:p>
          <w:p w14:paraId="7308CE96" w14:textId="77777777" w:rsidR="00617C3D" w:rsidRPr="000304E2" w:rsidRDefault="00617C3D" w:rsidP="000F3F19">
            <w:pPr>
              <w:spacing w:after="0" w:line="240" w:lineRule="auto"/>
              <w:rPr>
                <w:rFonts w:ascii="Times New Roman" w:hAnsi="Times New Roman" w:cs="Times New Roman"/>
              </w:rPr>
            </w:pPr>
          </w:p>
          <w:p w14:paraId="33EA53C5"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 xml:space="preserve">Waldron, A., Miller, D. C., Redding, D., </w:t>
            </w:r>
            <w:proofErr w:type="spellStart"/>
            <w:r w:rsidRPr="000304E2">
              <w:rPr>
                <w:rFonts w:ascii="Times New Roman" w:hAnsi="Times New Roman" w:cs="Times New Roman"/>
              </w:rPr>
              <w:t>Mooers</w:t>
            </w:r>
            <w:proofErr w:type="spellEnd"/>
            <w:r w:rsidRPr="000304E2">
              <w:rPr>
                <w:rFonts w:ascii="Times New Roman" w:hAnsi="Times New Roman" w:cs="Times New Roman"/>
              </w:rPr>
              <w:t xml:space="preserve">, A., Kuhn, T. S., </w:t>
            </w:r>
            <w:proofErr w:type="spellStart"/>
            <w:r w:rsidRPr="000304E2">
              <w:rPr>
                <w:rFonts w:ascii="Times New Roman" w:hAnsi="Times New Roman" w:cs="Times New Roman"/>
              </w:rPr>
              <w:t>Nibbelink</w:t>
            </w:r>
            <w:proofErr w:type="spellEnd"/>
            <w:r w:rsidRPr="000304E2">
              <w:rPr>
                <w:rFonts w:ascii="Times New Roman" w:hAnsi="Times New Roman" w:cs="Times New Roman"/>
              </w:rPr>
              <w:t xml:space="preserve">, N., Roberts, J. T., Tobias, J. A., &amp; </w:t>
            </w:r>
            <w:proofErr w:type="spellStart"/>
            <w:r w:rsidRPr="000304E2">
              <w:rPr>
                <w:rFonts w:ascii="Times New Roman" w:hAnsi="Times New Roman" w:cs="Times New Roman"/>
              </w:rPr>
              <w:t>Gittleman</w:t>
            </w:r>
            <w:proofErr w:type="spellEnd"/>
            <w:r w:rsidRPr="000304E2">
              <w:rPr>
                <w:rFonts w:ascii="Times New Roman" w:hAnsi="Times New Roman" w:cs="Times New Roman"/>
              </w:rPr>
              <w:t xml:space="preserve">, J. L. 2017. Reductions in global biodiversity loss predicted from conservation spending. Nature, 551, 364–367. </w:t>
            </w:r>
            <w:hyperlink r:id="rId8" w:history="1">
              <w:r w:rsidRPr="000304E2">
                <w:rPr>
                  <w:rStyle w:val="Hyperlink"/>
                  <w:rFonts w:ascii="Times New Roman" w:hAnsi="Times New Roman" w:cs="Times New Roman"/>
                </w:rPr>
                <w:t>https://doi.org/10.1038/nature24295</w:t>
              </w:r>
            </w:hyperlink>
          </w:p>
        </w:tc>
        <w:tc>
          <w:tcPr>
            <w:tcW w:w="993" w:type="dxa"/>
          </w:tcPr>
          <w:p w14:paraId="3F9C6909"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46</w:t>
            </w:r>
          </w:p>
          <w:p w14:paraId="6E764825" w14:textId="77777777" w:rsidR="00617C3D" w:rsidRPr="000304E2" w:rsidRDefault="00617C3D" w:rsidP="000F3F19">
            <w:pPr>
              <w:spacing w:after="0" w:line="240" w:lineRule="auto"/>
              <w:rPr>
                <w:rFonts w:ascii="Times New Roman" w:hAnsi="Times New Roman" w:cs="Times New Roman"/>
              </w:rPr>
            </w:pPr>
          </w:p>
        </w:tc>
      </w:tr>
      <w:tr w:rsidR="00617C3D" w:rsidRPr="000304E2" w14:paraId="719A8601" w14:textId="77777777" w:rsidTr="00DE70F9">
        <w:trPr>
          <w:trHeight w:val="1020"/>
        </w:trPr>
        <w:tc>
          <w:tcPr>
            <w:tcW w:w="1418" w:type="dxa"/>
            <w:shd w:val="clear" w:color="auto" w:fill="auto"/>
            <w:vAlign w:val="center"/>
            <w:hideMark/>
          </w:tcPr>
          <w:p w14:paraId="781A4C38"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lastRenderedPageBreak/>
              <w:t>Engagement</w:t>
            </w:r>
          </w:p>
        </w:tc>
        <w:tc>
          <w:tcPr>
            <w:tcW w:w="1560" w:type="dxa"/>
            <w:shd w:val="clear" w:color="auto" w:fill="auto"/>
            <w:vAlign w:val="center"/>
            <w:hideMark/>
          </w:tcPr>
          <w:p w14:paraId="23EAF8D5"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Biodiversity projects</w:t>
            </w:r>
          </w:p>
        </w:tc>
        <w:tc>
          <w:tcPr>
            <w:tcW w:w="4819" w:type="dxa"/>
            <w:shd w:val="clear" w:color="auto" w:fill="auto"/>
            <w:vAlign w:val="center"/>
            <w:hideMark/>
          </w:tcPr>
          <w:p w14:paraId="0858B9DB"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The number of biodiversity-related conservation projects in a developing country that are receiving funding from OECD (</w:t>
            </w:r>
            <w:r w:rsidRPr="000304E2">
              <w:rPr>
                <w:rFonts w:ascii="Times New Roman" w:hAnsi="Times New Roman" w:cs="Times New Roman"/>
                <w:color w:val="000000"/>
                <w:lang w:eastAsia="en-GB"/>
              </w:rPr>
              <w:t>Organisation for Economic Cooperation and Development)</w:t>
            </w:r>
            <w:r w:rsidRPr="000304E2">
              <w:rPr>
                <w:rFonts w:ascii="Times New Roman" w:eastAsia="Times New Roman" w:hAnsi="Times New Roman" w:cs="Times New Roman"/>
                <w:color w:val="000000"/>
                <w:lang w:eastAsia="en-AU"/>
              </w:rPr>
              <w:t xml:space="preserve"> countries, standardised by country area (km</w:t>
            </w:r>
            <w:r w:rsidRPr="000304E2">
              <w:rPr>
                <w:rFonts w:ascii="Times New Roman" w:eastAsia="Times New Roman" w:hAnsi="Times New Roman" w:cs="Times New Roman"/>
                <w:color w:val="000000"/>
                <w:vertAlign w:val="superscript"/>
                <w:lang w:eastAsia="en-AU"/>
              </w:rPr>
              <w:t>2</w:t>
            </w:r>
            <w:r w:rsidRPr="000304E2">
              <w:rPr>
                <w:rFonts w:ascii="Times New Roman" w:eastAsia="Times New Roman" w:hAnsi="Times New Roman" w:cs="Times New Roman"/>
                <w:color w:val="000000"/>
                <w:lang w:eastAsia="en-AU"/>
              </w:rPr>
              <w:t>). High income countries generally do not receive development assistance, although there are some exceptions (8 countries).</w:t>
            </w:r>
          </w:p>
        </w:tc>
        <w:tc>
          <w:tcPr>
            <w:tcW w:w="3260" w:type="dxa"/>
            <w:vAlign w:val="center"/>
          </w:tcPr>
          <w:p w14:paraId="4EDEBC0F"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 xml:space="preserve">Represents foreign investment in biodiversity conservation </w:t>
            </w:r>
            <w:r w:rsidRPr="000304E2">
              <w:rPr>
                <w:rFonts w:ascii="Times New Roman" w:hAnsi="Times New Roman" w:cs="Times New Roman"/>
                <w:noProof/>
              </w:rPr>
              <w:t xml:space="preserve">(e.g., </w:t>
            </w:r>
            <w:sdt>
              <w:sdtPr>
                <w:rPr>
                  <w:rFonts w:ascii="Times New Roman" w:hAnsi="Times New Roman" w:cs="Times New Roman"/>
                  <w:color w:val="000000"/>
                </w:rPr>
                <w:tag w:val="MENDELEY_CITATION_v3_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"/>
                <w:id w:val="-1173024229"/>
                <w:placeholder>
                  <w:docPart w:val="B85ED1F9906BE149A4B77F9F9D06B2B1"/>
                </w:placeholder>
              </w:sdtPr>
              <w:sdtContent>
                <w:r w:rsidRPr="000304E2">
                  <w:rPr>
                    <w:rFonts w:ascii="Times New Roman" w:hAnsi="Times New Roman" w:cs="Times New Roman"/>
                    <w:color w:val="000000"/>
                  </w:rPr>
                  <w:t>Miller, 2014).</w:t>
                </w:r>
              </w:sdtContent>
            </w:sdt>
          </w:p>
        </w:tc>
        <w:tc>
          <w:tcPr>
            <w:tcW w:w="1276" w:type="dxa"/>
            <w:vAlign w:val="center"/>
          </w:tcPr>
          <w:p w14:paraId="51E15973"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 xml:space="preserve">2002 – 2017 </w:t>
            </w:r>
          </w:p>
        </w:tc>
        <w:tc>
          <w:tcPr>
            <w:tcW w:w="2126" w:type="dxa"/>
            <w:shd w:val="clear" w:color="auto" w:fill="auto"/>
            <w:vAlign w:val="center"/>
            <w:hideMark/>
          </w:tcPr>
          <w:p w14:paraId="4D316DFD" w14:textId="77777777" w:rsidR="00617C3D" w:rsidRPr="000304E2" w:rsidRDefault="00000000" w:rsidP="000F3F19">
            <w:pPr>
              <w:spacing w:after="0" w:line="240" w:lineRule="auto"/>
              <w:rPr>
                <w:rFonts w:ascii="Times New Roman" w:eastAsia="Times New Roman" w:hAnsi="Times New Roman" w:cs="Times New Roman"/>
                <w:color w:val="0563C1"/>
                <w:u w:val="single"/>
                <w:lang w:eastAsia="en-AU"/>
              </w:rPr>
            </w:pPr>
            <w:hyperlink r:id="rId9" w:history="1">
              <w:r w:rsidR="00617C3D" w:rsidRPr="000304E2">
                <w:rPr>
                  <w:rFonts w:ascii="Times New Roman" w:eastAsia="Times New Roman" w:hAnsi="Times New Roman" w:cs="Times New Roman"/>
                  <w:color w:val="0563C1"/>
                  <w:u w:val="single"/>
                  <w:lang w:eastAsia="en-AU"/>
                </w:rPr>
                <w:t>http://www.oecd.org/dac/stats/biodiversity.htm, accessed on [24/11/2020]</w:t>
              </w:r>
            </w:hyperlink>
          </w:p>
        </w:tc>
        <w:tc>
          <w:tcPr>
            <w:tcW w:w="993" w:type="dxa"/>
          </w:tcPr>
          <w:p w14:paraId="7C555B3F"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0</w:t>
            </w:r>
          </w:p>
        </w:tc>
      </w:tr>
      <w:tr w:rsidR="00617C3D" w:rsidRPr="000304E2" w14:paraId="2326BEEC" w14:textId="77777777" w:rsidTr="00DE70F9">
        <w:trPr>
          <w:trHeight w:val="567"/>
        </w:trPr>
        <w:tc>
          <w:tcPr>
            <w:tcW w:w="1418" w:type="dxa"/>
            <w:shd w:val="clear" w:color="auto" w:fill="auto"/>
            <w:vAlign w:val="center"/>
            <w:hideMark/>
          </w:tcPr>
          <w:p w14:paraId="5013D9F6"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Engagement</w:t>
            </w:r>
          </w:p>
        </w:tc>
        <w:tc>
          <w:tcPr>
            <w:tcW w:w="1560" w:type="dxa"/>
            <w:shd w:val="clear" w:color="auto" w:fill="auto"/>
            <w:vAlign w:val="center"/>
            <w:hideMark/>
          </w:tcPr>
          <w:p w14:paraId="249D871D"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Environmental NGO projects</w:t>
            </w:r>
          </w:p>
        </w:tc>
        <w:tc>
          <w:tcPr>
            <w:tcW w:w="4819" w:type="dxa"/>
            <w:shd w:val="clear" w:color="auto" w:fill="auto"/>
            <w:vAlign w:val="center"/>
            <w:hideMark/>
          </w:tcPr>
          <w:p w14:paraId="4A5527B8"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The number of environmental NGO aid projects in a country standardised by country area (km</w:t>
            </w:r>
            <w:r w:rsidRPr="000304E2">
              <w:rPr>
                <w:rFonts w:ascii="Times New Roman" w:eastAsia="Times New Roman" w:hAnsi="Times New Roman" w:cs="Times New Roman"/>
                <w:color w:val="000000"/>
                <w:vertAlign w:val="superscript"/>
                <w:lang w:eastAsia="en-AU"/>
              </w:rPr>
              <w:t>2</w:t>
            </w:r>
            <w:r w:rsidRPr="000304E2">
              <w:rPr>
                <w:rFonts w:ascii="Times New Roman" w:eastAsia="Times New Roman" w:hAnsi="Times New Roman" w:cs="Times New Roman"/>
                <w:color w:val="000000"/>
                <w:lang w:eastAsia="en-AU"/>
              </w:rPr>
              <w:t>). Note that data is provided on a voluntary basis and so is not fully comprehensive.</w:t>
            </w:r>
          </w:p>
        </w:tc>
        <w:tc>
          <w:tcPr>
            <w:tcW w:w="3260" w:type="dxa"/>
            <w:vAlign w:val="center"/>
          </w:tcPr>
          <w:p w14:paraId="3FE1A2EC" w14:textId="77777777" w:rsidR="00617C3D" w:rsidRPr="000304E2" w:rsidRDefault="00617C3D" w:rsidP="000F3F19">
            <w:pPr>
              <w:spacing w:after="0" w:line="240" w:lineRule="auto"/>
              <w:rPr>
                <w:rFonts w:ascii="Times New Roman" w:hAnsi="Times New Roman" w:cs="Times New Roman"/>
              </w:rPr>
            </w:pPr>
            <w:r w:rsidRPr="000304E2">
              <w:rPr>
                <w:rFonts w:ascii="Times New Roman" w:eastAsia="Times New Roman" w:hAnsi="Times New Roman" w:cs="Times New Roman"/>
                <w:color w:val="000000"/>
                <w:lang w:eastAsia="en-AU"/>
              </w:rPr>
              <w:t xml:space="preserve">Represents capacity for NGO aid and advocacy to bolster conservation initiatives </w:t>
            </w:r>
            <w:r w:rsidRPr="000304E2">
              <w:rPr>
                <w:rFonts w:ascii="Times New Roman" w:eastAsia="Times New Roman" w:hAnsi="Times New Roman" w:cs="Times New Roman"/>
                <w:noProof/>
                <w:color w:val="000000"/>
                <w:lang w:eastAsia="en-AU"/>
              </w:rPr>
              <w:t xml:space="preserve">(e.g., </w:t>
            </w:r>
            <w:sdt>
              <w:sdtPr>
                <w:rPr>
                  <w:rFonts w:ascii="Times New Roman" w:eastAsia="Times New Roman" w:hAnsi="Times New Roman" w:cs="Times New Roman"/>
                  <w:color w:val="000000"/>
                  <w:lang w:eastAsia="en-AU"/>
                </w:rPr>
                <w:tag w:val="MENDELEY_CITATION_v3_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"/>
                <w:id w:val="1319777276"/>
                <w:placeholder>
                  <w:docPart w:val="31874E2C361AFF4892FC6E7342BA57A1"/>
                </w:placeholder>
              </w:sdtPr>
              <w:sdtContent>
                <w:r w:rsidRPr="000304E2">
                  <w:rPr>
                    <w:rFonts w:ascii="Times New Roman" w:eastAsia="Times New Roman" w:hAnsi="Times New Roman" w:cs="Times New Roman"/>
                  </w:rPr>
                  <w:t xml:space="preserve">Pacheco-Vega &amp; </w:t>
                </w:r>
                <w:proofErr w:type="spellStart"/>
                <w:r w:rsidRPr="000304E2">
                  <w:rPr>
                    <w:rFonts w:ascii="Times New Roman" w:eastAsia="Times New Roman" w:hAnsi="Times New Roman" w:cs="Times New Roman"/>
                  </w:rPr>
                  <w:t>Murdie</w:t>
                </w:r>
                <w:proofErr w:type="spellEnd"/>
                <w:r w:rsidRPr="000304E2">
                  <w:rPr>
                    <w:rFonts w:ascii="Times New Roman" w:eastAsia="Times New Roman" w:hAnsi="Times New Roman" w:cs="Times New Roman"/>
                  </w:rPr>
                  <w:t>, 2021).</w:t>
                </w:r>
              </w:sdtContent>
            </w:sdt>
          </w:p>
        </w:tc>
        <w:tc>
          <w:tcPr>
            <w:tcW w:w="1276" w:type="dxa"/>
            <w:vAlign w:val="center"/>
          </w:tcPr>
          <w:p w14:paraId="4E3412D9"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 xml:space="preserve">1970 – 2020 </w:t>
            </w:r>
          </w:p>
        </w:tc>
        <w:tc>
          <w:tcPr>
            <w:tcW w:w="2126" w:type="dxa"/>
            <w:shd w:val="clear" w:color="auto" w:fill="auto"/>
            <w:vAlign w:val="center"/>
            <w:hideMark/>
          </w:tcPr>
          <w:p w14:paraId="3EC3E3E0" w14:textId="77777777" w:rsidR="00617C3D" w:rsidRPr="000304E2" w:rsidRDefault="00000000" w:rsidP="000F3F19">
            <w:pPr>
              <w:spacing w:after="0" w:line="240" w:lineRule="auto"/>
              <w:rPr>
                <w:rFonts w:ascii="Times New Roman" w:eastAsia="Times New Roman" w:hAnsi="Times New Roman" w:cs="Times New Roman"/>
                <w:color w:val="0563C1"/>
                <w:u w:val="single"/>
                <w:lang w:eastAsia="en-AU"/>
              </w:rPr>
            </w:pPr>
            <w:hyperlink r:id="rId10" w:history="1">
              <w:r w:rsidR="00617C3D" w:rsidRPr="000304E2">
                <w:rPr>
                  <w:rFonts w:ascii="Times New Roman" w:eastAsia="Times New Roman" w:hAnsi="Times New Roman" w:cs="Times New Roman"/>
                  <w:color w:val="0563C1"/>
                  <w:u w:val="single"/>
                  <w:lang w:eastAsia="en-AU"/>
                </w:rPr>
                <w:t>https://ngoaidmap.org/, accessed on [24/11/2020]</w:t>
              </w:r>
            </w:hyperlink>
          </w:p>
        </w:tc>
        <w:tc>
          <w:tcPr>
            <w:tcW w:w="993" w:type="dxa"/>
          </w:tcPr>
          <w:p w14:paraId="7C09E86E"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0</w:t>
            </w:r>
          </w:p>
        </w:tc>
      </w:tr>
      <w:tr w:rsidR="00617C3D" w:rsidRPr="000304E2" w14:paraId="2FCB0A52" w14:textId="77777777" w:rsidTr="00DE70F9">
        <w:trPr>
          <w:trHeight w:val="765"/>
        </w:trPr>
        <w:tc>
          <w:tcPr>
            <w:tcW w:w="1418" w:type="dxa"/>
            <w:shd w:val="clear" w:color="auto" w:fill="auto"/>
            <w:vAlign w:val="center"/>
            <w:hideMark/>
          </w:tcPr>
          <w:p w14:paraId="20771A0F"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Engagement</w:t>
            </w:r>
          </w:p>
        </w:tc>
        <w:tc>
          <w:tcPr>
            <w:tcW w:w="1560" w:type="dxa"/>
            <w:shd w:val="clear" w:color="auto" w:fill="auto"/>
            <w:vAlign w:val="center"/>
            <w:hideMark/>
          </w:tcPr>
          <w:p w14:paraId="142F7F61" w14:textId="77777777" w:rsidR="00617C3D" w:rsidRPr="000304E2" w:rsidRDefault="00617C3D" w:rsidP="00DE70F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Biodiversity engagement</w:t>
            </w:r>
          </w:p>
        </w:tc>
        <w:tc>
          <w:tcPr>
            <w:tcW w:w="4819" w:type="dxa"/>
            <w:shd w:val="clear" w:color="auto" w:fill="auto"/>
            <w:vAlign w:val="center"/>
            <w:hideMark/>
          </w:tcPr>
          <w:p w14:paraId="7D365C1D" w14:textId="77777777" w:rsidR="00617C3D" w:rsidRPr="000304E2" w:rsidRDefault="00617C3D" w:rsidP="000F3F19">
            <w:pPr>
              <w:spacing w:after="0" w:line="240" w:lineRule="auto"/>
              <w:rPr>
                <w:rFonts w:ascii="Times New Roman" w:eastAsia="Times New Roman" w:hAnsi="Times New Roman" w:cs="Times New Roman"/>
                <w:color w:val="000000"/>
                <w:lang w:eastAsia="en-AU"/>
              </w:rPr>
            </w:pPr>
            <w:r w:rsidRPr="000304E2">
              <w:rPr>
                <w:rFonts w:ascii="Times New Roman" w:eastAsia="Times New Roman" w:hAnsi="Times New Roman" w:cs="Times New Roman"/>
                <w:color w:val="000000"/>
                <w:lang w:eastAsia="en-AU"/>
              </w:rPr>
              <w:t>A score based on the number of times biodiversity key words have been sourced from twitter, online newspapers and google in a country (per month). The percentage of tweets or online newsletters that contain a species or keyword in each country was calculated and then rescaled between 0 and 100. Google trends data (already rescaled between 0 and 100) for each keyword are averaged for a country. A final score was calculated by averaging across scores for tweets, online newsletters and google trends.</w:t>
            </w:r>
          </w:p>
        </w:tc>
        <w:tc>
          <w:tcPr>
            <w:tcW w:w="3260" w:type="dxa"/>
            <w:vAlign w:val="center"/>
          </w:tcPr>
          <w:p w14:paraId="2978C75D"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color w:val="000000"/>
              </w:rPr>
              <w:t xml:space="preserve">Represents public awareness of biodiversity topics </w:t>
            </w:r>
            <w:sdt>
              <w:sdtPr>
                <w:rPr>
                  <w:rFonts w:ascii="Times New Roman" w:hAnsi="Times New Roman" w:cs="Times New Roman"/>
                  <w:color w:val="000000"/>
                </w:rPr>
                <w:tag w:val="MENDELEY_CITATION_v3_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"/>
                <w:id w:val="-2076806071"/>
                <w:placeholder>
                  <w:docPart w:val="AD31723261124A41906E8EDA23E782FE"/>
                </w:placeholder>
              </w:sdtPr>
              <w:sdtContent>
                <w:r w:rsidRPr="000304E2">
                  <w:rPr>
                    <w:rFonts w:ascii="Times New Roman" w:hAnsi="Times New Roman" w:cs="Times New Roman"/>
                    <w:color w:val="000000"/>
                  </w:rPr>
                  <w:t>(Cooper et al., 2019)</w:t>
                </w:r>
              </w:sdtContent>
            </w:sdt>
            <w:r w:rsidRPr="000304E2">
              <w:rPr>
                <w:rFonts w:ascii="Times New Roman" w:hAnsi="Times New Roman" w:cs="Times New Roman"/>
                <w:color w:val="000000"/>
              </w:rPr>
              <w:t xml:space="preserve"> and is a proxy for social willingness to engage in conservation action.</w:t>
            </w:r>
          </w:p>
        </w:tc>
        <w:tc>
          <w:tcPr>
            <w:tcW w:w="1276" w:type="dxa"/>
            <w:vAlign w:val="center"/>
          </w:tcPr>
          <w:p w14:paraId="1984F3F5"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2017-2019</w:t>
            </w:r>
          </w:p>
        </w:tc>
        <w:tc>
          <w:tcPr>
            <w:tcW w:w="2126" w:type="dxa"/>
            <w:shd w:val="clear" w:color="auto" w:fill="auto"/>
            <w:vAlign w:val="center"/>
            <w:hideMark/>
          </w:tcPr>
          <w:p w14:paraId="1C8FC82F" w14:textId="77777777" w:rsidR="00617C3D" w:rsidRPr="000304E2" w:rsidRDefault="00000000" w:rsidP="000F3F19">
            <w:pPr>
              <w:spacing w:after="0" w:line="240" w:lineRule="auto"/>
              <w:rPr>
                <w:rFonts w:ascii="Times New Roman" w:eastAsia="Times New Roman" w:hAnsi="Times New Roman" w:cs="Times New Roman"/>
                <w:color w:val="0563C1"/>
                <w:u w:val="single"/>
                <w:lang w:eastAsia="en-AU"/>
              </w:rPr>
            </w:pPr>
            <w:hyperlink r:id="rId11" w:history="1">
              <w:r w:rsidR="00617C3D" w:rsidRPr="000304E2">
                <w:rPr>
                  <w:rFonts w:ascii="Times New Roman" w:eastAsia="Times New Roman" w:hAnsi="Times New Roman" w:cs="Times New Roman"/>
                  <w:color w:val="0563C1"/>
                  <w:u w:val="single"/>
                  <w:lang w:eastAsia="en-AU"/>
                </w:rPr>
                <w:t>http://biodiversityengagementindicator.com/, accessed on [24/11/2020]</w:t>
              </w:r>
            </w:hyperlink>
          </w:p>
        </w:tc>
        <w:tc>
          <w:tcPr>
            <w:tcW w:w="993" w:type="dxa"/>
          </w:tcPr>
          <w:p w14:paraId="52FF862B" w14:textId="77777777" w:rsidR="00617C3D" w:rsidRPr="000304E2" w:rsidRDefault="00617C3D" w:rsidP="000F3F19">
            <w:pPr>
              <w:spacing w:after="0" w:line="240" w:lineRule="auto"/>
              <w:rPr>
                <w:rFonts w:ascii="Times New Roman" w:hAnsi="Times New Roman" w:cs="Times New Roman"/>
              </w:rPr>
            </w:pPr>
            <w:r w:rsidRPr="000304E2">
              <w:rPr>
                <w:rFonts w:ascii="Times New Roman" w:hAnsi="Times New Roman" w:cs="Times New Roman"/>
              </w:rPr>
              <w:t>9</w:t>
            </w:r>
          </w:p>
        </w:tc>
      </w:tr>
    </w:tbl>
    <w:p w14:paraId="5352262C" w14:textId="77777777" w:rsidR="00617C3D" w:rsidRPr="000304E2" w:rsidRDefault="00617C3D">
      <w:pPr>
        <w:rPr>
          <w:rFonts w:ascii="Times New Roman" w:hAnsi="Times New Roman" w:cs="Times New Roman"/>
        </w:rPr>
        <w:sectPr w:rsidR="00617C3D" w:rsidRPr="000304E2" w:rsidSect="00617C3D">
          <w:pgSz w:w="16838" w:h="11906" w:orient="landscape"/>
          <w:pgMar w:top="720" w:right="720" w:bottom="720" w:left="720" w:header="708" w:footer="708" w:gutter="0"/>
          <w:cols w:space="708"/>
          <w:docGrid w:linePitch="360"/>
        </w:sectPr>
      </w:pPr>
    </w:p>
    <w:p w14:paraId="437AC6BB" w14:textId="77777777" w:rsidR="00A14B56" w:rsidRPr="000304E2" w:rsidRDefault="00A14B56" w:rsidP="00A14B56">
      <w:pPr>
        <w:tabs>
          <w:tab w:val="left" w:pos="8520"/>
        </w:tabs>
        <w:jc w:val="center"/>
        <w:rPr>
          <w:rFonts w:ascii="Times New Roman" w:hAnsi="Times New Roman" w:cs="Times New Roman"/>
        </w:rPr>
      </w:pPr>
      <w:r w:rsidRPr="000304E2">
        <w:rPr>
          <w:rFonts w:ascii="Times New Roman" w:hAnsi="Times New Roman" w:cs="Times New Roman"/>
          <w:noProof/>
          <w:lang w:val="en-US" w:eastAsia="zh-TW"/>
        </w:rPr>
        <w:lastRenderedPageBreak/>
        <w:drawing>
          <wp:inline distT="0" distB="0" distL="0" distR="0" wp14:anchorId="610D74FE" wp14:editId="5C4E1707">
            <wp:extent cx="6252320" cy="6334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503" t="2891" r="29350" b="4932"/>
                    <a:stretch/>
                  </pic:blipFill>
                  <pic:spPr bwMode="auto">
                    <a:xfrm>
                      <a:off x="0" y="0"/>
                      <a:ext cx="6268059" cy="6350070"/>
                    </a:xfrm>
                    <a:prstGeom prst="rect">
                      <a:avLst/>
                    </a:prstGeom>
                    <a:noFill/>
                    <a:ln>
                      <a:noFill/>
                    </a:ln>
                    <a:extLst>
                      <a:ext uri="{53640926-AAD7-44D8-BBD7-CCE9431645EC}">
                        <a14:shadowObscured xmlns:a14="http://schemas.microsoft.com/office/drawing/2010/main"/>
                      </a:ext>
                    </a:extLst>
                  </pic:spPr>
                </pic:pic>
              </a:graphicData>
            </a:graphic>
          </wp:inline>
        </w:drawing>
      </w:r>
    </w:p>
    <w:p w14:paraId="5826BC2A" w14:textId="3A02E117" w:rsidR="00A14B56" w:rsidRPr="000304E2" w:rsidRDefault="00A14B56" w:rsidP="00A14B56">
      <w:pPr>
        <w:pStyle w:val="NoSpacing"/>
        <w:rPr>
          <w:rFonts w:ascii="Times New Roman" w:hAnsi="Times New Roman" w:cs="Times New Roman"/>
          <w:b/>
          <w:bCs/>
          <w:sz w:val="22"/>
          <w:szCs w:val="22"/>
        </w:rPr>
      </w:pPr>
      <w:r w:rsidRPr="000304E2">
        <w:rPr>
          <w:rFonts w:ascii="Times New Roman" w:hAnsi="Times New Roman" w:cs="Times New Roman"/>
          <w:b/>
          <w:bCs/>
          <w:sz w:val="22"/>
          <w:szCs w:val="22"/>
        </w:rPr>
        <w:t>Fig</w:t>
      </w:r>
      <w:r w:rsidR="00DB6073">
        <w:rPr>
          <w:rFonts w:ascii="Times New Roman" w:hAnsi="Times New Roman" w:cs="Times New Roman"/>
          <w:b/>
          <w:bCs/>
          <w:sz w:val="22"/>
          <w:szCs w:val="22"/>
        </w:rPr>
        <w:t>.</w:t>
      </w:r>
      <w:r w:rsidRPr="000304E2">
        <w:rPr>
          <w:rFonts w:ascii="Times New Roman" w:hAnsi="Times New Roman" w:cs="Times New Roman"/>
          <w:b/>
          <w:bCs/>
          <w:sz w:val="22"/>
          <w:szCs w:val="22"/>
        </w:rPr>
        <w:t xml:space="preserve"> S1. Ordination of countries according to their national indicator values using principal components analysis. </w:t>
      </w:r>
      <w:r w:rsidRPr="000304E2">
        <w:rPr>
          <w:rFonts w:ascii="Times New Roman" w:hAnsi="Times New Roman" w:cs="Times New Roman"/>
          <w:sz w:val="22"/>
          <w:szCs w:val="22"/>
        </w:rPr>
        <w:t xml:space="preserve">Indicators positively correlated with each quadrant of the ordination are listed. Colours represent global enabling profiles </w:t>
      </w:r>
      <w:r w:rsidR="00113515">
        <w:rPr>
          <w:rFonts w:ascii="Times New Roman" w:hAnsi="Times New Roman" w:cs="Times New Roman"/>
          <w:sz w:val="22"/>
          <w:szCs w:val="22"/>
        </w:rPr>
        <w:t xml:space="preserve">(see Table S2 below for details) </w:t>
      </w:r>
      <w:r w:rsidRPr="000304E2">
        <w:rPr>
          <w:rFonts w:ascii="Times New Roman" w:hAnsi="Times New Roman" w:cs="Times New Roman"/>
          <w:sz w:val="22"/>
          <w:szCs w:val="22"/>
        </w:rPr>
        <w:t>and shapes represent country income status.</w:t>
      </w:r>
    </w:p>
    <w:p w14:paraId="638A12E3" w14:textId="4A7632A4" w:rsidR="00617C3D" w:rsidRPr="000304E2" w:rsidRDefault="00617C3D">
      <w:pPr>
        <w:rPr>
          <w:rFonts w:ascii="Times New Roman" w:hAnsi="Times New Roman" w:cs="Times New Roman"/>
        </w:rPr>
      </w:pPr>
    </w:p>
    <w:p w14:paraId="0B646F06" w14:textId="77777777" w:rsidR="00DF1220" w:rsidRPr="000304E2" w:rsidRDefault="00DF1220">
      <w:pPr>
        <w:rPr>
          <w:rFonts w:ascii="Times New Roman" w:hAnsi="Times New Roman" w:cs="Times New Roman"/>
        </w:rPr>
        <w:sectPr w:rsidR="00DF1220" w:rsidRPr="000304E2" w:rsidSect="00617C3D">
          <w:pgSz w:w="11906" w:h="16838"/>
          <w:pgMar w:top="720" w:right="720" w:bottom="720" w:left="720" w:header="708" w:footer="708" w:gutter="0"/>
          <w:cols w:space="708"/>
          <w:docGrid w:linePitch="360"/>
        </w:sectPr>
      </w:pPr>
    </w:p>
    <w:p w14:paraId="332F014E" w14:textId="63E20591" w:rsidR="00DF1220" w:rsidRPr="000304E2" w:rsidRDefault="00DF1220" w:rsidP="00DF1220">
      <w:pPr>
        <w:rPr>
          <w:rFonts w:ascii="Times New Roman" w:hAnsi="Times New Roman" w:cs="Times New Roman"/>
        </w:rPr>
      </w:pPr>
      <w:r w:rsidRPr="000304E2">
        <w:rPr>
          <w:rFonts w:ascii="Times New Roman" w:hAnsi="Times New Roman" w:cs="Times New Roman"/>
          <w:b/>
          <w:bCs/>
        </w:rPr>
        <w:lastRenderedPageBreak/>
        <w:t xml:space="preserve">Table S2. Theories of Change for mangrove and seagrass conservation in each enabling profile. </w:t>
      </w:r>
      <w:r w:rsidRPr="000304E2">
        <w:rPr>
          <w:rFonts w:ascii="Times New Roman" w:hAnsi="Times New Roman" w:cs="Times New Roman"/>
        </w:rPr>
        <w:t xml:space="preserve">Enabling conditions are described as the </w:t>
      </w:r>
      <w:proofErr w:type="gramStart"/>
      <w:r w:rsidRPr="000304E2">
        <w:rPr>
          <w:rFonts w:ascii="Times New Roman" w:hAnsi="Times New Roman" w:cs="Times New Roman"/>
        </w:rPr>
        <w:t>current</w:t>
      </w:r>
      <w:r w:rsidRPr="000304E2">
        <w:rPr>
          <w:rFonts w:ascii="Times New Roman" w:hAnsi="Times New Roman" w:cs="Times New Roman"/>
          <w:b/>
          <w:bCs/>
        </w:rPr>
        <w:t xml:space="preserve"> </w:t>
      </w:r>
      <w:r w:rsidRPr="000304E2">
        <w:rPr>
          <w:rFonts w:ascii="Times New Roman" w:hAnsi="Times New Roman" w:cs="Times New Roman"/>
        </w:rPr>
        <w:t>status</w:t>
      </w:r>
      <w:proofErr w:type="gramEnd"/>
      <w:r w:rsidRPr="000304E2">
        <w:rPr>
          <w:rFonts w:ascii="Times New Roman" w:hAnsi="Times New Roman" w:cs="Times New Roman"/>
        </w:rPr>
        <w:t xml:space="preserve"> of policy, regulatory and engagement mechanisms (classified as ‘low’, ‘moderate’, or ‘high’ based on the relative ranking of indicator thresholds across enabling profiles in Figure 1C). Drivers of loss were identified differently for mangroves and seagrass. For mangroves we chose the most prevalent driver of loss, while for seagrass we chose the driver of loss that was shared across all continents belonging to a profile. Potential pathways for addressing drivers of mangrove and seagrass loss given enabling conditions are described for each profile, supported by a case-study example.</w:t>
      </w:r>
    </w:p>
    <w:tbl>
      <w:tblPr>
        <w:tblStyle w:val="TableGrid"/>
        <w:tblW w:w="16297" w:type="dxa"/>
        <w:jc w:val="center"/>
        <w:tblLook w:val="04A0" w:firstRow="1" w:lastRow="0" w:firstColumn="1" w:lastColumn="0" w:noHBand="0" w:noVBand="1"/>
      </w:tblPr>
      <w:tblGrid>
        <w:gridCol w:w="1150"/>
        <w:gridCol w:w="3328"/>
        <w:gridCol w:w="2136"/>
        <w:gridCol w:w="4628"/>
        <w:gridCol w:w="5055"/>
      </w:tblGrid>
      <w:tr w:rsidR="00DF1220" w:rsidRPr="000304E2" w14:paraId="1E5EDD18" w14:textId="77777777" w:rsidTr="000F3F19">
        <w:trPr>
          <w:jc w:val="center"/>
        </w:trPr>
        <w:tc>
          <w:tcPr>
            <w:tcW w:w="1150" w:type="dxa"/>
          </w:tcPr>
          <w:p w14:paraId="2D51E2D5"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Enabling profile</w:t>
            </w:r>
          </w:p>
        </w:tc>
        <w:tc>
          <w:tcPr>
            <w:tcW w:w="3328" w:type="dxa"/>
          </w:tcPr>
          <w:p w14:paraId="3977C285"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Enabling conditions (status of policy, regulatory and engagement indicators)</w:t>
            </w:r>
          </w:p>
        </w:tc>
        <w:tc>
          <w:tcPr>
            <w:tcW w:w="2136" w:type="dxa"/>
          </w:tcPr>
          <w:p w14:paraId="426E4A8C"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Driver of loss</w:t>
            </w:r>
          </w:p>
        </w:tc>
        <w:tc>
          <w:tcPr>
            <w:tcW w:w="4628" w:type="dxa"/>
          </w:tcPr>
          <w:p w14:paraId="1C2EBBB9" w14:textId="13ECDC5B" w:rsidR="00DF1220" w:rsidRPr="000304E2" w:rsidRDefault="00FE3DFE" w:rsidP="000F3F19">
            <w:pPr>
              <w:pStyle w:val="NoSpacing"/>
              <w:rPr>
                <w:rFonts w:ascii="Times New Roman" w:hAnsi="Times New Roman" w:cs="Times New Roman"/>
                <w:b/>
                <w:bCs/>
              </w:rPr>
            </w:pPr>
            <w:r>
              <w:rPr>
                <w:rFonts w:ascii="Times New Roman" w:hAnsi="Times New Roman" w:cs="Times New Roman"/>
                <w:b/>
                <w:bCs/>
              </w:rPr>
              <w:t xml:space="preserve">Implementation pathway/nested </w:t>
            </w:r>
            <w:proofErr w:type="spellStart"/>
            <w:r>
              <w:rPr>
                <w:rFonts w:ascii="Times New Roman" w:hAnsi="Times New Roman" w:cs="Times New Roman"/>
                <w:b/>
                <w:bCs/>
              </w:rPr>
              <w:t>ToC</w:t>
            </w:r>
            <w:proofErr w:type="spellEnd"/>
          </w:p>
        </w:tc>
        <w:tc>
          <w:tcPr>
            <w:tcW w:w="5055" w:type="dxa"/>
          </w:tcPr>
          <w:p w14:paraId="47E45A09"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Case-study example (qualitative validation of implementation pathway)</w:t>
            </w:r>
          </w:p>
        </w:tc>
      </w:tr>
      <w:tr w:rsidR="00DF1220" w:rsidRPr="000304E2" w14:paraId="6C50F5AC" w14:textId="77777777" w:rsidTr="000F3F19">
        <w:trPr>
          <w:jc w:val="center"/>
        </w:trPr>
        <w:tc>
          <w:tcPr>
            <w:tcW w:w="1150" w:type="dxa"/>
          </w:tcPr>
          <w:p w14:paraId="3854A2AF"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rPr>
              <w:t>1</w:t>
            </w:r>
          </w:p>
        </w:tc>
        <w:tc>
          <w:tcPr>
            <w:tcW w:w="3328" w:type="dxa"/>
          </w:tcPr>
          <w:p w14:paraId="21F1D98F"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Policy</w:t>
            </w:r>
            <w:r w:rsidRPr="000304E2">
              <w:rPr>
                <w:rFonts w:ascii="Times New Roman" w:hAnsi="Times New Roman" w:cs="Times New Roman"/>
              </w:rPr>
              <w:t>: high, except for prioritisation of vegetated coastal wetlands in NDC mitigation and adaptation strategies.</w:t>
            </w:r>
          </w:p>
          <w:p w14:paraId="56340F73" w14:textId="77777777" w:rsidR="00DF1220" w:rsidRPr="000304E2" w:rsidRDefault="00DF1220" w:rsidP="000F3F19">
            <w:pPr>
              <w:pStyle w:val="NoSpacing"/>
              <w:rPr>
                <w:rFonts w:ascii="Times New Roman" w:hAnsi="Times New Roman" w:cs="Times New Roman"/>
              </w:rPr>
            </w:pPr>
          </w:p>
          <w:p w14:paraId="26419A14"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Regulation</w:t>
            </w:r>
            <w:r w:rsidRPr="000304E2">
              <w:rPr>
                <w:rFonts w:ascii="Times New Roman" w:hAnsi="Times New Roman" w:cs="Times New Roman"/>
              </w:rPr>
              <w:t>: high.</w:t>
            </w:r>
          </w:p>
          <w:p w14:paraId="3DC0A8F0" w14:textId="77777777" w:rsidR="00DF1220" w:rsidRPr="000304E2" w:rsidRDefault="00DF1220" w:rsidP="000F3F19">
            <w:pPr>
              <w:pStyle w:val="NoSpacing"/>
              <w:rPr>
                <w:rFonts w:ascii="Times New Roman" w:hAnsi="Times New Roman" w:cs="Times New Roman"/>
              </w:rPr>
            </w:pPr>
          </w:p>
          <w:p w14:paraId="231DD775"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Engagement</w:t>
            </w:r>
            <w:r w:rsidRPr="000304E2">
              <w:rPr>
                <w:rFonts w:ascii="Times New Roman" w:hAnsi="Times New Roman" w:cs="Times New Roman"/>
              </w:rPr>
              <w:t>: moderate to high, except foreign investment in biodiversity projects.</w:t>
            </w:r>
          </w:p>
        </w:tc>
        <w:tc>
          <w:tcPr>
            <w:tcW w:w="2136" w:type="dxa"/>
          </w:tcPr>
          <w:p w14:paraId="4ADF55EE"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Mangroves: </w:t>
            </w:r>
            <w:r w:rsidRPr="000304E2">
              <w:rPr>
                <w:rFonts w:ascii="Times New Roman" w:hAnsi="Times New Roman" w:cs="Times New Roman"/>
              </w:rPr>
              <w:t>clearing/non-productive conversion</w:t>
            </w:r>
          </w:p>
          <w:p w14:paraId="74F06EAA" w14:textId="77777777" w:rsidR="00DF1220" w:rsidRPr="000304E2" w:rsidRDefault="00DF1220" w:rsidP="000F3F19">
            <w:pPr>
              <w:pStyle w:val="NoSpacing"/>
              <w:rPr>
                <w:rFonts w:ascii="Times New Roman" w:hAnsi="Times New Roman" w:cs="Times New Roman"/>
                <w:b/>
                <w:bCs/>
              </w:rPr>
            </w:pPr>
          </w:p>
          <w:p w14:paraId="46D25C7B"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Seagrass: </w:t>
            </w:r>
            <w:r w:rsidRPr="000304E2">
              <w:rPr>
                <w:rFonts w:ascii="Times New Roman" w:hAnsi="Times New Roman" w:cs="Times New Roman"/>
              </w:rPr>
              <w:t>catchment processes (e.g., coastal development &amp; poor water quality) and climate/storm events</w:t>
            </w:r>
          </w:p>
        </w:tc>
        <w:tc>
          <w:tcPr>
            <w:tcW w:w="4628" w:type="dxa"/>
          </w:tcPr>
          <w:p w14:paraId="0F32A3BE"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Mangroves: </w:t>
            </w:r>
            <w:r w:rsidRPr="000304E2">
              <w:rPr>
                <w:rFonts w:ascii="Times New Roman" w:hAnsi="Times New Roman" w:cs="Times New Roman"/>
              </w:rPr>
              <w:t>Monitor indirect effects of development on mangroves -&gt;</w:t>
            </w:r>
          </w:p>
          <w:p w14:paraId="24C06753"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rPr>
              <w:t>Tailor policy/regulations to mitigate indirect effects -&gt; decreased loss of mangroves to non-productive conversion</w:t>
            </w:r>
          </w:p>
          <w:p w14:paraId="04489095" w14:textId="77777777" w:rsidR="00DF1220" w:rsidRPr="000304E2" w:rsidRDefault="00DF1220" w:rsidP="000F3F19">
            <w:pPr>
              <w:pStyle w:val="NoSpacing"/>
              <w:rPr>
                <w:rFonts w:ascii="Times New Roman" w:hAnsi="Times New Roman" w:cs="Times New Roman"/>
                <w:b/>
                <w:bCs/>
              </w:rPr>
            </w:pPr>
          </w:p>
          <w:p w14:paraId="6EDF44CC"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Seagrass: </w:t>
            </w:r>
            <w:r w:rsidRPr="000304E2">
              <w:rPr>
                <w:rFonts w:ascii="Times New Roman" w:hAnsi="Times New Roman" w:cs="Times New Roman"/>
              </w:rPr>
              <w:t>Establish seagrass as an indicator of ecosystem health in catchment policy -&gt; improved monitoring and management of catchment threats to seagrass -&gt; reduced loss of seagrass to catchment processes</w:t>
            </w:r>
          </w:p>
          <w:p w14:paraId="065F2772" w14:textId="77777777" w:rsidR="00DF1220" w:rsidRPr="000304E2" w:rsidRDefault="00DF1220" w:rsidP="000F3F19">
            <w:pPr>
              <w:pStyle w:val="NoSpacing"/>
              <w:rPr>
                <w:rFonts w:ascii="Times New Roman" w:hAnsi="Times New Roman" w:cs="Times New Roman"/>
                <w:b/>
                <w:bCs/>
              </w:rPr>
            </w:pPr>
          </w:p>
        </w:tc>
        <w:tc>
          <w:tcPr>
            <w:tcW w:w="5055" w:type="dxa"/>
          </w:tcPr>
          <w:p w14:paraId="0B78F218"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Mangroves: </w:t>
            </w:r>
            <w:r w:rsidRPr="000304E2">
              <w:rPr>
                <w:rFonts w:ascii="Times New Roman" w:hAnsi="Times New Roman" w:cs="Times New Roman"/>
              </w:rPr>
              <w:t xml:space="preserve">Herbicide run-off from crops caused mangrove dieback in Australia (Duke et al. 2005). Focussed regulation of herbicides could help to avoid future losses of mangroves due to the indirect effects of nearby agricultural production (King et al. 2013). </w:t>
            </w:r>
          </w:p>
          <w:p w14:paraId="39EC469B" w14:textId="77777777" w:rsidR="00DF1220" w:rsidRPr="000304E2" w:rsidRDefault="00DF1220" w:rsidP="000F3F19">
            <w:pPr>
              <w:pStyle w:val="NoSpacing"/>
              <w:rPr>
                <w:rFonts w:ascii="Times New Roman" w:hAnsi="Times New Roman" w:cs="Times New Roman"/>
                <w:b/>
                <w:bCs/>
              </w:rPr>
            </w:pPr>
          </w:p>
          <w:p w14:paraId="385D7184" w14:textId="77777777" w:rsidR="00DF1220" w:rsidRPr="000304E2" w:rsidRDefault="00DF1220" w:rsidP="000F3F19">
            <w:pPr>
              <w:pStyle w:val="NoSpacing"/>
              <w:rPr>
                <w:rFonts w:ascii="Times New Roman" w:hAnsi="Times New Roman" w:cs="Times New Roman"/>
                <w:b/>
                <w:bCs/>
              </w:rPr>
            </w:pPr>
          </w:p>
          <w:p w14:paraId="73D89A2F" w14:textId="4DA612D0"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Seagrass: </w:t>
            </w:r>
            <w:r w:rsidRPr="000304E2">
              <w:rPr>
                <w:rFonts w:ascii="Times New Roman" w:hAnsi="Times New Roman" w:cs="Times New Roman"/>
              </w:rPr>
              <w:t>Seagrass was established as a</w:t>
            </w:r>
            <w:r w:rsidR="00CF5E2D">
              <w:rPr>
                <w:rFonts w:ascii="Times New Roman" w:hAnsi="Times New Roman" w:cs="Times New Roman"/>
              </w:rPr>
              <w:t xml:space="preserve"> biological quality element (BQE) to be used as an</w:t>
            </w:r>
            <w:r w:rsidRPr="000304E2">
              <w:rPr>
                <w:rFonts w:ascii="Times New Roman" w:hAnsi="Times New Roman" w:cs="Times New Roman"/>
              </w:rPr>
              <w:t xml:space="preserve"> indicator of ecosystem health</w:t>
            </w:r>
            <w:r w:rsidR="00CF5E2D">
              <w:rPr>
                <w:rFonts w:ascii="Times New Roman" w:hAnsi="Times New Roman" w:cs="Times New Roman"/>
              </w:rPr>
              <w:t xml:space="preserve"> (when compared to reference conditions and integrated with other BQEs)</w:t>
            </w:r>
            <w:r w:rsidRPr="000304E2">
              <w:rPr>
                <w:rFonts w:ascii="Times New Roman" w:hAnsi="Times New Roman" w:cs="Times New Roman"/>
              </w:rPr>
              <w:t xml:space="preserve"> in the EU Water Framework Directive</w:t>
            </w:r>
            <w:r w:rsidR="00B36335">
              <w:rPr>
                <w:rFonts w:ascii="Times New Roman" w:hAnsi="Times New Roman" w:cs="Times New Roman"/>
              </w:rPr>
              <w:t>,</w:t>
            </w:r>
            <w:r w:rsidRPr="000304E2">
              <w:rPr>
                <w:rFonts w:ascii="Times New Roman" w:hAnsi="Times New Roman" w:cs="Times New Roman"/>
              </w:rPr>
              <w:t xml:space="preserve"> leading to improved management and seagrass recovery </w:t>
            </w:r>
            <w:r w:rsidRPr="000304E2">
              <w:rPr>
                <w:rFonts w:ascii="Times New Roman" w:hAnsi="Times New Roman" w:cs="Times New Roman"/>
                <w:noProof/>
              </w:rPr>
              <w:t>(de los Santos et al., 2019)</w:t>
            </w:r>
            <w:r w:rsidRPr="000304E2">
              <w:rPr>
                <w:rFonts w:ascii="Times New Roman" w:hAnsi="Times New Roman" w:cs="Times New Roman"/>
              </w:rPr>
              <w:t>.</w:t>
            </w:r>
          </w:p>
          <w:p w14:paraId="579FF6FB" w14:textId="77777777" w:rsidR="00DF1220" w:rsidRPr="000304E2" w:rsidRDefault="00DF1220" w:rsidP="000F3F19">
            <w:pPr>
              <w:pStyle w:val="NoSpacing"/>
              <w:rPr>
                <w:rFonts w:ascii="Times New Roman" w:hAnsi="Times New Roman" w:cs="Times New Roman"/>
                <w:b/>
                <w:bCs/>
              </w:rPr>
            </w:pPr>
          </w:p>
          <w:p w14:paraId="2ED2E968" w14:textId="77777777" w:rsidR="00DF1220" w:rsidRPr="000304E2" w:rsidRDefault="00DF1220" w:rsidP="000F3F19">
            <w:pPr>
              <w:pStyle w:val="NoSpacing"/>
              <w:rPr>
                <w:rFonts w:ascii="Times New Roman" w:hAnsi="Times New Roman" w:cs="Times New Roman"/>
                <w:b/>
                <w:bCs/>
              </w:rPr>
            </w:pPr>
          </w:p>
        </w:tc>
      </w:tr>
      <w:tr w:rsidR="00DF1220" w:rsidRPr="000304E2" w14:paraId="3318C834" w14:textId="77777777" w:rsidTr="000F3F19">
        <w:trPr>
          <w:jc w:val="center"/>
        </w:trPr>
        <w:tc>
          <w:tcPr>
            <w:tcW w:w="1150" w:type="dxa"/>
          </w:tcPr>
          <w:p w14:paraId="78EDBED8"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rPr>
              <w:t>2</w:t>
            </w:r>
          </w:p>
          <w:p w14:paraId="53BF4BF2" w14:textId="77777777" w:rsidR="00DF1220" w:rsidRPr="000304E2" w:rsidRDefault="00DF1220" w:rsidP="000F3F19">
            <w:pPr>
              <w:pStyle w:val="NoSpacing"/>
              <w:rPr>
                <w:rFonts w:ascii="Times New Roman" w:hAnsi="Times New Roman" w:cs="Times New Roman"/>
              </w:rPr>
            </w:pPr>
          </w:p>
        </w:tc>
        <w:tc>
          <w:tcPr>
            <w:tcW w:w="3328" w:type="dxa"/>
          </w:tcPr>
          <w:p w14:paraId="6CD156E8"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Policy</w:t>
            </w:r>
            <w:r w:rsidRPr="000304E2">
              <w:rPr>
                <w:rFonts w:ascii="Times New Roman" w:hAnsi="Times New Roman" w:cs="Times New Roman"/>
              </w:rPr>
              <w:t>: high, except for prioritisation of vegetated coastal wetlands in NDC mitigation and adaptation strategies, and protection via the Ramsar convention.</w:t>
            </w:r>
          </w:p>
          <w:p w14:paraId="35FFF3E0" w14:textId="77777777" w:rsidR="00DF1220" w:rsidRPr="000304E2" w:rsidRDefault="00DF1220" w:rsidP="000F3F19">
            <w:pPr>
              <w:pStyle w:val="NoSpacing"/>
              <w:rPr>
                <w:rFonts w:ascii="Times New Roman" w:hAnsi="Times New Roman" w:cs="Times New Roman"/>
              </w:rPr>
            </w:pPr>
          </w:p>
          <w:p w14:paraId="373B99F0"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Regulation</w:t>
            </w:r>
            <w:r w:rsidRPr="000304E2">
              <w:rPr>
                <w:rFonts w:ascii="Times New Roman" w:hAnsi="Times New Roman" w:cs="Times New Roman"/>
              </w:rPr>
              <w:t>: high.</w:t>
            </w:r>
          </w:p>
          <w:p w14:paraId="048D638F" w14:textId="77777777" w:rsidR="00DF1220" w:rsidRPr="000304E2" w:rsidRDefault="00DF1220" w:rsidP="000F3F19">
            <w:pPr>
              <w:pStyle w:val="NoSpacing"/>
              <w:tabs>
                <w:tab w:val="left" w:pos="2520"/>
              </w:tabs>
              <w:rPr>
                <w:rFonts w:ascii="Times New Roman" w:hAnsi="Times New Roman" w:cs="Times New Roman"/>
              </w:rPr>
            </w:pPr>
            <w:r w:rsidRPr="000304E2">
              <w:rPr>
                <w:rFonts w:ascii="Times New Roman" w:hAnsi="Times New Roman" w:cs="Times New Roman"/>
              </w:rPr>
              <w:tab/>
            </w:r>
          </w:p>
          <w:p w14:paraId="3F31107C"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Engagement</w:t>
            </w:r>
            <w:r w:rsidRPr="000304E2">
              <w:rPr>
                <w:rFonts w:ascii="Times New Roman" w:hAnsi="Times New Roman" w:cs="Times New Roman"/>
              </w:rPr>
              <w:t>: moderate to low.</w:t>
            </w:r>
          </w:p>
        </w:tc>
        <w:tc>
          <w:tcPr>
            <w:tcW w:w="2136" w:type="dxa"/>
          </w:tcPr>
          <w:p w14:paraId="58522CFA"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Mangroves: </w:t>
            </w:r>
            <w:r w:rsidRPr="000304E2">
              <w:rPr>
                <w:rFonts w:ascii="Times New Roman" w:hAnsi="Times New Roman" w:cs="Times New Roman"/>
              </w:rPr>
              <w:t>not present in this profile</w:t>
            </w:r>
          </w:p>
          <w:p w14:paraId="63945B0B" w14:textId="77777777" w:rsidR="00DF1220" w:rsidRPr="000304E2" w:rsidRDefault="00DF1220" w:rsidP="000F3F19">
            <w:pPr>
              <w:pStyle w:val="NoSpacing"/>
              <w:rPr>
                <w:rFonts w:ascii="Times New Roman" w:hAnsi="Times New Roman" w:cs="Times New Roman"/>
                <w:b/>
                <w:bCs/>
              </w:rPr>
            </w:pPr>
          </w:p>
          <w:p w14:paraId="4D75A83C"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Seagrass: </w:t>
            </w:r>
            <w:r w:rsidRPr="000304E2">
              <w:rPr>
                <w:rFonts w:ascii="Times New Roman" w:hAnsi="Times New Roman" w:cs="Times New Roman"/>
              </w:rPr>
              <w:t>Aquaculture/fishing</w:t>
            </w:r>
          </w:p>
        </w:tc>
        <w:tc>
          <w:tcPr>
            <w:tcW w:w="4628" w:type="dxa"/>
          </w:tcPr>
          <w:p w14:paraId="35C3ED93"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Mangroves: </w:t>
            </w:r>
            <w:r w:rsidRPr="000304E2">
              <w:rPr>
                <w:rFonts w:ascii="Times New Roman" w:hAnsi="Times New Roman" w:cs="Times New Roman"/>
              </w:rPr>
              <w:t>not present in this profile</w:t>
            </w:r>
          </w:p>
          <w:p w14:paraId="387DE9D5" w14:textId="77777777" w:rsidR="00DF1220" w:rsidRPr="000304E2" w:rsidRDefault="00DF1220" w:rsidP="000F3F19">
            <w:pPr>
              <w:pStyle w:val="NoSpacing"/>
              <w:rPr>
                <w:rFonts w:ascii="Times New Roman" w:hAnsi="Times New Roman" w:cs="Times New Roman"/>
              </w:rPr>
            </w:pPr>
          </w:p>
          <w:p w14:paraId="51806A84"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Seagrass: </w:t>
            </w:r>
            <w:r w:rsidRPr="000304E2">
              <w:rPr>
                <w:rFonts w:ascii="Times New Roman" w:hAnsi="Times New Roman" w:cs="Times New Roman"/>
              </w:rPr>
              <w:t>Establish policy that prevents fish farms from being established near seagrass -&gt; reduced loss of seagrass to anoxia associated with fish-farm pollution</w:t>
            </w:r>
          </w:p>
          <w:p w14:paraId="46833780" w14:textId="77777777" w:rsidR="00DF1220" w:rsidRPr="000304E2" w:rsidRDefault="00DF1220" w:rsidP="000F3F19">
            <w:pPr>
              <w:pStyle w:val="NoSpacing"/>
              <w:rPr>
                <w:rFonts w:ascii="Times New Roman" w:hAnsi="Times New Roman" w:cs="Times New Roman"/>
                <w:b/>
                <w:bCs/>
              </w:rPr>
            </w:pPr>
          </w:p>
        </w:tc>
        <w:tc>
          <w:tcPr>
            <w:tcW w:w="5055" w:type="dxa"/>
          </w:tcPr>
          <w:p w14:paraId="32F4F268"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Mangroves: </w:t>
            </w:r>
            <w:r w:rsidRPr="000304E2">
              <w:rPr>
                <w:rFonts w:ascii="Times New Roman" w:hAnsi="Times New Roman" w:cs="Times New Roman"/>
              </w:rPr>
              <w:t>not present in this profile</w:t>
            </w:r>
          </w:p>
          <w:p w14:paraId="7A044F80" w14:textId="77777777" w:rsidR="00DF1220" w:rsidRPr="000304E2" w:rsidRDefault="00DF1220" w:rsidP="000F3F19">
            <w:pPr>
              <w:pStyle w:val="NoSpacing"/>
              <w:rPr>
                <w:rFonts w:ascii="Times New Roman" w:hAnsi="Times New Roman" w:cs="Times New Roman"/>
                <w:b/>
                <w:bCs/>
              </w:rPr>
            </w:pPr>
          </w:p>
          <w:p w14:paraId="126AEBE5"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Seagrass: </w:t>
            </w:r>
            <w:r w:rsidRPr="000304E2">
              <w:rPr>
                <w:rFonts w:ascii="Times New Roman" w:hAnsi="Times New Roman" w:cs="Times New Roman"/>
              </w:rPr>
              <w:t>Following substantial seagrass loss, managers in Cyprus only allowed fish farms to operate in deep waters and seagrass expansion and recovery was documented (</w:t>
            </w:r>
            <w:proofErr w:type="spellStart"/>
            <w:r w:rsidRPr="000304E2">
              <w:rPr>
                <w:rFonts w:ascii="Times New Roman" w:hAnsi="Times New Roman" w:cs="Times New Roman"/>
              </w:rPr>
              <w:t>Kletou</w:t>
            </w:r>
            <w:proofErr w:type="spellEnd"/>
            <w:r w:rsidRPr="000304E2">
              <w:rPr>
                <w:rFonts w:ascii="Times New Roman" w:hAnsi="Times New Roman" w:cs="Times New Roman"/>
              </w:rPr>
              <w:t xml:space="preserve"> et al. 2018).</w:t>
            </w:r>
          </w:p>
          <w:p w14:paraId="2AE8768D" w14:textId="77777777" w:rsidR="00DF1220" w:rsidRPr="000304E2" w:rsidRDefault="00DF1220" w:rsidP="000F3F19">
            <w:pPr>
              <w:pStyle w:val="NoSpacing"/>
              <w:rPr>
                <w:rFonts w:ascii="Times New Roman" w:hAnsi="Times New Roman" w:cs="Times New Roman"/>
                <w:b/>
                <w:bCs/>
              </w:rPr>
            </w:pPr>
          </w:p>
        </w:tc>
      </w:tr>
      <w:tr w:rsidR="00DF1220" w:rsidRPr="000304E2" w14:paraId="4FFF8D73" w14:textId="77777777" w:rsidTr="000F3F19">
        <w:trPr>
          <w:jc w:val="center"/>
        </w:trPr>
        <w:tc>
          <w:tcPr>
            <w:tcW w:w="1150" w:type="dxa"/>
          </w:tcPr>
          <w:p w14:paraId="58C54995"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rPr>
              <w:t>3</w:t>
            </w:r>
          </w:p>
        </w:tc>
        <w:tc>
          <w:tcPr>
            <w:tcW w:w="3328" w:type="dxa"/>
          </w:tcPr>
          <w:p w14:paraId="23A4B90A"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Policy</w:t>
            </w:r>
            <w:r w:rsidRPr="000304E2">
              <w:rPr>
                <w:rFonts w:ascii="Times New Roman" w:hAnsi="Times New Roman" w:cs="Times New Roman"/>
              </w:rPr>
              <w:t>: moderate to high.</w:t>
            </w:r>
          </w:p>
          <w:p w14:paraId="015B7B4B" w14:textId="77777777" w:rsidR="00DF1220" w:rsidRPr="000304E2" w:rsidRDefault="00DF1220" w:rsidP="000F3F19">
            <w:pPr>
              <w:pStyle w:val="NoSpacing"/>
              <w:rPr>
                <w:rFonts w:ascii="Times New Roman" w:hAnsi="Times New Roman" w:cs="Times New Roman"/>
              </w:rPr>
            </w:pPr>
          </w:p>
          <w:p w14:paraId="2D95AABD"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Regulation</w:t>
            </w:r>
            <w:r w:rsidRPr="000304E2">
              <w:rPr>
                <w:rFonts w:ascii="Times New Roman" w:hAnsi="Times New Roman" w:cs="Times New Roman"/>
              </w:rPr>
              <w:t>: moderate to high.</w:t>
            </w:r>
          </w:p>
          <w:p w14:paraId="61C3DADE" w14:textId="77777777" w:rsidR="00DF1220" w:rsidRPr="000304E2" w:rsidRDefault="00DF1220" w:rsidP="000F3F19">
            <w:pPr>
              <w:pStyle w:val="NoSpacing"/>
              <w:rPr>
                <w:rFonts w:ascii="Times New Roman" w:hAnsi="Times New Roman" w:cs="Times New Roman"/>
              </w:rPr>
            </w:pPr>
          </w:p>
          <w:p w14:paraId="31B0638F"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Engagement</w:t>
            </w:r>
            <w:r w:rsidRPr="000304E2">
              <w:rPr>
                <w:rFonts w:ascii="Times New Roman" w:hAnsi="Times New Roman" w:cs="Times New Roman"/>
              </w:rPr>
              <w:t>: moderate.</w:t>
            </w:r>
          </w:p>
        </w:tc>
        <w:tc>
          <w:tcPr>
            <w:tcW w:w="2136" w:type="dxa"/>
          </w:tcPr>
          <w:p w14:paraId="56E82C21"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Mangroves: </w:t>
            </w:r>
            <w:r w:rsidRPr="000304E2">
              <w:rPr>
                <w:rFonts w:ascii="Times New Roman" w:hAnsi="Times New Roman" w:cs="Times New Roman"/>
              </w:rPr>
              <w:t>commodities and erosion</w:t>
            </w:r>
          </w:p>
          <w:p w14:paraId="23F1DD42" w14:textId="77777777" w:rsidR="00DF1220" w:rsidRPr="000304E2" w:rsidRDefault="00DF1220" w:rsidP="000F3F19">
            <w:pPr>
              <w:pStyle w:val="NoSpacing"/>
              <w:rPr>
                <w:rFonts w:ascii="Times New Roman" w:hAnsi="Times New Roman" w:cs="Times New Roman"/>
                <w:b/>
                <w:bCs/>
              </w:rPr>
            </w:pPr>
          </w:p>
          <w:p w14:paraId="10C1FCB4"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Seagrass: </w:t>
            </w:r>
            <w:r w:rsidRPr="000304E2">
              <w:rPr>
                <w:rFonts w:ascii="Times New Roman" w:hAnsi="Times New Roman" w:cs="Times New Roman"/>
              </w:rPr>
              <w:t xml:space="preserve">catchment processes (e.g., </w:t>
            </w:r>
            <w:r w:rsidRPr="000304E2">
              <w:rPr>
                <w:rFonts w:ascii="Times New Roman" w:hAnsi="Times New Roman" w:cs="Times New Roman"/>
              </w:rPr>
              <w:lastRenderedPageBreak/>
              <w:t>coastal development &amp; poor water quality) and climate/storm events</w:t>
            </w:r>
          </w:p>
        </w:tc>
        <w:tc>
          <w:tcPr>
            <w:tcW w:w="4628" w:type="dxa"/>
          </w:tcPr>
          <w:p w14:paraId="7D08430E"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lastRenderedPageBreak/>
              <w:t>Mangroves:</w:t>
            </w:r>
            <w:r w:rsidRPr="000304E2">
              <w:rPr>
                <w:rFonts w:ascii="Times New Roman" w:hAnsi="Times New Roman" w:cs="Times New Roman"/>
              </w:rPr>
              <w:t xml:space="preserve"> Establish national policy to protect mangroves from conversion to commodities and restore areas that have been converted -&gt; incentivise community-lead restoration and sustainable management -&gt; reduced loss of mangroves and livelihoods maintained</w:t>
            </w:r>
          </w:p>
          <w:p w14:paraId="41015CBB" w14:textId="77777777" w:rsidR="00DF1220" w:rsidRPr="000304E2" w:rsidRDefault="00DF1220" w:rsidP="000F3F19">
            <w:pPr>
              <w:pStyle w:val="NoSpacing"/>
              <w:rPr>
                <w:rFonts w:ascii="Times New Roman" w:hAnsi="Times New Roman" w:cs="Times New Roman"/>
              </w:rPr>
            </w:pPr>
          </w:p>
          <w:p w14:paraId="6C4F5A75"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Seagrass: </w:t>
            </w:r>
            <w:r w:rsidRPr="000304E2">
              <w:rPr>
                <w:rFonts w:ascii="Times New Roman" w:hAnsi="Times New Roman" w:cs="Times New Roman"/>
              </w:rPr>
              <w:t>NGOs raise awareness and lobby for management of catchment-based threats to seagrasses -&gt;</w:t>
            </w:r>
            <w:r w:rsidRPr="000304E2">
              <w:rPr>
                <w:rFonts w:ascii="Times New Roman" w:hAnsi="Times New Roman" w:cs="Times New Roman"/>
                <w:b/>
                <w:bCs/>
              </w:rPr>
              <w:t xml:space="preserve"> </w:t>
            </w:r>
            <w:r w:rsidRPr="000304E2">
              <w:rPr>
                <w:rFonts w:ascii="Times New Roman" w:hAnsi="Times New Roman" w:cs="Times New Roman"/>
              </w:rPr>
              <w:t>government establishes policy to manage catchment-based threats -&gt; reduced seagrass loss</w:t>
            </w:r>
          </w:p>
        </w:tc>
        <w:tc>
          <w:tcPr>
            <w:tcW w:w="5055" w:type="dxa"/>
          </w:tcPr>
          <w:p w14:paraId="3B4E2341" w14:textId="77777777" w:rsidR="00DF1220" w:rsidRPr="000304E2" w:rsidRDefault="00DF1220" w:rsidP="000F3F19">
            <w:pPr>
              <w:tabs>
                <w:tab w:val="left" w:pos="1011"/>
              </w:tabs>
              <w:rPr>
                <w:rFonts w:ascii="Times New Roman" w:hAnsi="Times New Roman" w:cs="Times New Roman"/>
                <w:b/>
                <w:bCs/>
              </w:rPr>
            </w:pPr>
            <w:r w:rsidRPr="000304E2">
              <w:rPr>
                <w:rFonts w:ascii="Times New Roman" w:hAnsi="Times New Roman" w:cs="Times New Roman"/>
                <w:b/>
                <w:bCs/>
              </w:rPr>
              <w:lastRenderedPageBreak/>
              <w:t xml:space="preserve">Mangroves: </w:t>
            </w:r>
            <w:r w:rsidRPr="000304E2">
              <w:rPr>
                <w:rFonts w:ascii="Times New Roman" w:hAnsi="Times New Roman" w:cs="Times New Roman"/>
              </w:rPr>
              <w:t xml:space="preserve">The Indonesian government established policy to naturally rehabilitate mangroves via permeable dams, a ‘Building with Nature’ hybrid engineering approach to preventing erosion, while also </w:t>
            </w:r>
            <w:r w:rsidRPr="000304E2">
              <w:rPr>
                <w:rFonts w:ascii="Times New Roman" w:hAnsi="Times New Roman" w:cs="Times New Roman"/>
              </w:rPr>
              <w:lastRenderedPageBreak/>
              <w:t>fostering community involvement and ownership with assistance from an NGO (</w:t>
            </w:r>
            <w:proofErr w:type="spellStart"/>
            <w:r w:rsidRPr="000304E2">
              <w:rPr>
                <w:rFonts w:ascii="Times New Roman" w:hAnsi="Times New Roman" w:cs="Times New Roman"/>
              </w:rPr>
              <w:t>Winterwerp</w:t>
            </w:r>
            <w:proofErr w:type="spellEnd"/>
            <w:r w:rsidRPr="000304E2">
              <w:rPr>
                <w:rFonts w:ascii="Times New Roman" w:hAnsi="Times New Roman" w:cs="Times New Roman"/>
              </w:rPr>
              <w:t xml:space="preserve"> et al. 2020).</w:t>
            </w:r>
          </w:p>
          <w:p w14:paraId="3FAB4C0E" w14:textId="77777777" w:rsidR="00DF1220" w:rsidRPr="000304E2" w:rsidRDefault="00DF1220" w:rsidP="000F3F19">
            <w:pPr>
              <w:tabs>
                <w:tab w:val="left" w:pos="1011"/>
              </w:tabs>
              <w:rPr>
                <w:rFonts w:ascii="Times New Roman" w:hAnsi="Times New Roman" w:cs="Times New Roman"/>
              </w:rPr>
            </w:pPr>
          </w:p>
          <w:p w14:paraId="29918DF4" w14:textId="77777777" w:rsidR="00DF1220" w:rsidRPr="000304E2" w:rsidRDefault="00DF1220" w:rsidP="000F3F19">
            <w:pPr>
              <w:tabs>
                <w:tab w:val="left" w:pos="1011"/>
              </w:tabs>
              <w:rPr>
                <w:rFonts w:ascii="Times New Roman" w:hAnsi="Times New Roman" w:cs="Times New Roman"/>
              </w:rPr>
            </w:pPr>
            <w:r w:rsidRPr="000304E2">
              <w:rPr>
                <w:rFonts w:ascii="Times New Roman" w:hAnsi="Times New Roman" w:cs="Times New Roman"/>
                <w:b/>
                <w:bCs/>
              </w:rPr>
              <w:t>Seagrass:</w:t>
            </w:r>
            <w:r w:rsidRPr="000304E2">
              <w:rPr>
                <w:rFonts w:ascii="Times New Roman" w:hAnsi="Times New Roman" w:cs="Times New Roman"/>
              </w:rPr>
              <w:t xml:space="preserve"> An NGO has partnered with the Malaysian government to establish seagrass conservation projects in Malaysia, given the critical role of seagrass as habitat for dugongs (https://www.dugongconservation.org/where-we-work/malaysia/).</w:t>
            </w:r>
          </w:p>
        </w:tc>
      </w:tr>
      <w:tr w:rsidR="00DF1220" w:rsidRPr="000304E2" w14:paraId="2F36B644" w14:textId="77777777" w:rsidTr="000F3F19">
        <w:trPr>
          <w:jc w:val="center"/>
        </w:trPr>
        <w:tc>
          <w:tcPr>
            <w:tcW w:w="1150" w:type="dxa"/>
          </w:tcPr>
          <w:p w14:paraId="19E25D61"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rPr>
              <w:lastRenderedPageBreak/>
              <w:t>4</w:t>
            </w:r>
          </w:p>
        </w:tc>
        <w:tc>
          <w:tcPr>
            <w:tcW w:w="3328" w:type="dxa"/>
          </w:tcPr>
          <w:p w14:paraId="1C251B98"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Policy</w:t>
            </w:r>
            <w:r w:rsidRPr="000304E2">
              <w:rPr>
                <w:rFonts w:ascii="Times New Roman" w:hAnsi="Times New Roman" w:cs="Times New Roman"/>
              </w:rPr>
              <w:t>: moderate to low, except that capacity for Ramsar protection and prioritisation of vegetated coastal wetlands in NDC mitigation and adaptation strategies was high.</w:t>
            </w:r>
          </w:p>
          <w:p w14:paraId="56A06963" w14:textId="77777777" w:rsidR="00DF1220" w:rsidRPr="000304E2" w:rsidRDefault="00DF1220" w:rsidP="000F3F19">
            <w:pPr>
              <w:pStyle w:val="NoSpacing"/>
              <w:rPr>
                <w:rFonts w:ascii="Times New Roman" w:hAnsi="Times New Roman" w:cs="Times New Roman"/>
              </w:rPr>
            </w:pPr>
          </w:p>
          <w:p w14:paraId="62F7ECA1"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Regulation</w:t>
            </w:r>
            <w:r w:rsidRPr="000304E2">
              <w:rPr>
                <w:rFonts w:ascii="Times New Roman" w:hAnsi="Times New Roman" w:cs="Times New Roman"/>
              </w:rPr>
              <w:t>: moderate to low, except that capacity for implementation of management plans in Ramsar-listed wetlands and reduction of sulphur dioxide emissions was high.</w:t>
            </w:r>
          </w:p>
          <w:p w14:paraId="5C3DCB61" w14:textId="77777777" w:rsidR="00DF1220" w:rsidRPr="000304E2" w:rsidRDefault="00DF1220" w:rsidP="000F3F19">
            <w:pPr>
              <w:pStyle w:val="NoSpacing"/>
              <w:rPr>
                <w:rFonts w:ascii="Times New Roman" w:hAnsi="Times New Roman" w:cs="Times New Roman"/>
              </w:rPr>
            </w:pPr>
          </w:p>
          <w:p w14:paraId="49B041D9"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Engagement</w:t>
            </w:r>
            <w:r w:rsidRPr="000304E2">
              <w:rPr>
                <w:rFonts w:ascii="Times New Roman" w:hAnsi="Times New Roman" w:cs="Times New Roman"/>
              </w:rPr>
              <w:t>: high, except for domestic conservation spending.</w:t>
            </w:r>
          </w:p>
        </w:tc>
        <w:tc>
          <w:tcPr>
            <w:tcW w:w="2136" w:type="dxa"/>
          </w:tcPr>
          <w:p w14:paraId="09DAF41B"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Mangroves: </w:t>
            </w:r>
            <w:r w:rsidRPr="000304E2">
              <w:rPr>
                <w:rFonts w:ascii="Times New Roman" w:hAnsi="Times New Roman" w:cs="Times New Roman"/>
              </w:rPr>
              <w:t>clearing/non-productive conversion</w:t>
            </w:r>
          </w:p>
          <w:p w14:paraId="2FD37438" w14:textId="77777777" w:rsidR="00DF1220" w:rsidRPr="000304E2" w:rsidRDefault="00DF1220" w:rsidP="000F3F19">
            <w:pPr>
              <w:pStyle w:val="NoSpacing"/>
              <w:rPr>
                <w:rFonts w:ascii="Times New Roman" w:hAnsi="Times New Roman" w:cs="Times New Roman"/>
                <w:b/>
                <w:bCs/>
              </w:rPr>
            </w:pPr>
          </w:p>
          <w:p w14:paraId="5E1E5BF6"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Seagrass: </w:t>
            </w:r>
            <w:r w:rsidRPr="000304E2">
              <w:rPr>
                <w:rFonts w:ascii="Times New Roman" w:hAnsi="Times New Roman" w:cs="Times New Roman"/>
              </w:rPr>
              <w:t>aquaculture/fishing</w:t>
            </w:r>
          </w:p>
        </w:tc>
        <w:tc>
          <w:tcPr>
            <w:tcW w:w="4628" w:type="dxa"/>
          </w:tcPr>
          <w:p w14:paraId="4DBAE17B"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Mangroves:</w:t>
            </w:r>
            <w:r w:rsidRPr="000304E2">
              <w:rPr>
                <w:rFonts w:ascii="Times New Roman" w:hAnsi="Times New Roman" w:cs="Times New Roman"/>
              </w:rPr>
              <w:t xml:space="preserve"> NGO and governmental support for establishing community-lead sustainable management of mangroves -&gt; reduced mangrove loss of mangroves for timber harvesting and livelihoods maintained</w:t>
            </w:r>
          </w:p>
          <w:p w14:paraId="156901DB" w14:textId="77777777" w:rsidR="00DF1220" w:rsidRPr="000304E2" w:rsidRDefault="00DF1220" w:rsidP="000F3F19">
            <w:pPr>
              <w:pStyle w:val="NoSpacing"/>
              <w:rPr>
                <w:rFonts w:ascii="Times New Roman" w:hAnsi="Times New Roman" w:cs="Times New Roman"/>
                <w:b/>
                <w:bCs/>
              </w:rPr>
            </w:pPr>
          </w:p>
          <w:p w14:paraId="7878DDAF"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Seagrass: </w:t>
            </w:r>
            <w:r w:rsidRPr="000304E2">
              <w:rPr>
                <w:rFonts w:ascii="Times New Roman" w:hAnsi="Times New Roman" w:cs="Times New Roman"/>
              </w:rPr>
              <w:t>External support and funding secured to incentivise community-based management of fishing threats through payments for ecosystem services -&gt; decreased loss and degradation of seagrass from fishing</w:t>
            </w:r>
          </w:p>
        </w:tc>
        <w:tc>
          <w:tcPr>
            <w:tcW w:w="5055" w:type="dxa"/>
          </w:tcPr>
          <w:p w14:paraId="4FDD8C71"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Mangroves: </w:t>
            </w:r>
            <w:r w:rsidRPr="000304E2">
              <w:rPr>
                <w:rFonts w:ascii="Times New Roman" w:hAnsi="Times New Roman" w:cs="Times New Roman"/>
              </w:rPr>
              <w:t xml:space="preserve">In Madagascar a small-scale crab fishery </w:t>
            </w:r>
            <w:proofErr w:type="gramStart"/>
            <w:r w:rsidRPr="000304E2">
              <w:rPr>
                <w:rFonts w:ascii="Times New Roman" w:hAnsi="Times New Roman" w:cs="Times New Roman"/>
              </w:rPr>
              <w:t>lead</w:t>
            </w:r>
            <w:proofErr w:type="gramEnd"/>
            <w:r w:rsidRPr="000304E2">
              <w:rPr>
                <w:rFonts w:ascii="Times New Roman" w:hAnsi="Times New Roman" w:cs="Times New Roman"/>
              </w:rPr>
              <w:t xml:space="preserve"> to increased harvesting of mangroves for timber, but community-lead management supported by NGOs and government actors resulted in reduced mangrove loss (Long et al. 2021).</w:t>
            </w:r>
          </w:p>
          <w:p w14:paraId="0161AD49" w14:textId="77777777" w:rsidR="00DF1220" w:rsidRPr="000304E2" w:rsidRDefault="00DF1220" w:rsidP="000F3F19">
            <w:pPr>
              <w:pStyle w:val="NoSpacing"/>
              <w:rPr>
                <w:rFonts w:ascii="Times New Roman" w:hAnsi="Times New Roman" w:cs="Times New Roman"/>
              </w:rPr>
            </w:pPr>
          </w:p>
          <w:p w14:paraId="1B418205"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Seagrass: </w:t>
            </w:r>
            <w:r w:rsidRPr="000304E2">
              <w:rPr>
                <w:rFonts w:ascii="Times New Roman" w:hAnsi="Times New Roman" w:cs="Times New Roman"/>
              </w:rPr>
              <w:t xml:space="preserve">Support from an NGO and external funding established a </w:t>
            </w:r>
            <w:proofErr w:type="gramStart"/>
            <w:r w:rsidRPr="000304E2">
              <w:rPr>
                <w:rFonts w:ascii="Times New Roman" w:hAnsi="Times New Roman" w:cs="Times New Roman"/>
              </w:rPr>
              <w:t>payments</w:t>
            </w:r>
            <w:proofErr w:type="gramEnd"/>
            <w:r w:rsidRPr="000304E2">
              <w:rPr>
                <w:rFonts w:ascii="Times New Roman" w:hAnsi="Times New Roman" w:cs="Times New Roman"/>
              </w:rPr>
              <w:t xml:space="preserve"> for ecosystem services (PES) project in Kenya that enables carbon credits to be secured from seagrass, thereby providing an alternative source of income for local communities that depend on seagrass for fishing (via destructive practices; i.e., beach seining and trawling) (</w:t>
            </w:r>
            <w:proofErr w:type="spellStart"/>
            <w:r w:rsidRPr="000304E2">
              <w:rPr>
                <w:rFonts w:ascii="Times New Roman" w:hAnsi="Times New Roman" w:cs="Times New Roman"/>
              </w:rPr>
              <w:t>Shilland</w:t>
            </w:r>
            <w:proofErr w:type="spellEnd"/>
            <w:r w:rsidRPr="000304E2">
              <w:rPr>
                <w:rFonts w:ascii="Times New Roman" w:hAnsi="Times New Roman" w:cs="Times New Roman"/>
              </w:rPr>
              <w:t xml:space="preserve"> et al. 2021).</w:t>
            </w:r>
          </w:p>
          <w:p w14:paraId="3B25ABA5" w14:textId="77777777" w:rsidR="00DF1220" w:rsidRPr="000304E2" w:rsidRDefault="00DF1220" w:rsidP="000F3F19">
            <w:pPr>
              <w:pStyle w:val="NoSpacing"/>
              <w:rPr>
                <w:rFonts w:ascii="Times New Roman" w:hAnsi="Times New Roman" w:cs="Times New Roman"/>
                <w:b/>
                <w:bCs/>
              </w:rPr>
            </w:pPr>
          </w:p>
        </w:tc>
      </w:tr>
      <w:tr w:rsidR="00DF1220" w:rsidRPr="000304E2" w14:paraId="6931E67B" w14:textId="77777777" w:rsidTr="000F3F19">
        <w:trPr>
          <w:jc w:val="center"/>
        </w:trPr>
        <w:tc>
          <w:tcPr>
            <w:tcW w:w="1150" w:type="dxa"/>
          </w:tcPr>
          <w:p w14:paraId="60FB1E46"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rPr>
              <w:t>5</w:t>
            </w:r>
          </w:p>
        </w:tc>
        <w:tc>
          <w:tcPr>
            <w:tcW w:w="3328" w:type="dxa"/>
          </w:tcPr>
          <w:p w14:paraId="1CC55FE3"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Policy: </w:t>
            </w:r>
            <w:r w:rsidRPr="000304E2">
              <w:rPr>
                <w:rFonts w:ascii="Times New Roman" w:hAnsi="Times New Roman" w:cs="Times New Roman"/>
              </w:rPr>
              <w:t>moderate to low, except for commitment to NDCs, prioritisation of vegetated coastal wetlands in NDC mitigation and adaptation strategies, and governance effectiveness.</w:t>
            </w:r>
          </w:p>
          <w:p w14:paraId="5AFC55FD" w14:textId="77777777" w:rsidR="00DF1220" w:rsidRPr="000304E2" w:rsidRDefault="00DF1220" w:rsidP="000F3F19">
            <w:pPr>
              <w:pStyle w:val="NoSpacing"/>
              <w:rPr>
                <w:rFonts w:ascii="Times New Roman" w:hAnsi="Times New Roman" w:cs="Times New Roman"/>
                <w:b/>
                <w:bCs/>
              </w:rPr>
            </w:pPr>
          </w:p>
          <w:p w14:paraId="1D7BB28A"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Regulation: </w:t>
            </w:r>
            <w:r w:rsidRPr="000304E2">
              <w:rPr>
                <w:rFonts w:ascii="Times New Roman" w:hAnsi="Times New Roman" w:cs="Times New Roman"/>
              </w:rPr>
              <w:t>moderate to low, except that capacity for Ramsar management and sustainable nitrogen use high.</w:t>
            </w:r>
          </w:p>
          <w:p w14:paraId="2D7D13A1" w14:textId="77777777" w:rsidR="00DF1220" w:rsidRPr="000304E2" w:rsidRDefault="00DF1220" w:rsidP="000F3F19">
            <w:pPr>
              <w:pStyle w:val="NoSpacing"/>
              <w:rPr>
                <w:rFonts w:ascii="Times New Roman" w:hAnsi="Times New Roman" w:cs="Times New Roman"/>
                <w:b/>
                <w:bCs/>
              </w:rPr>
            </w:pPr>
          </w:p>
          <w:p w14:paraId="3266C382"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lastRenderedPageBreak/>
              <w:t xml:space="preserve">Engagement: </w:t>
            </w:r>
            <w:r w:rsidRPr="000304E2">
              <w:rPr>
                <w:rFonts w:ascii="Times New Roman" w:hAnsi="Times New Roman" w:cs="Times New Roman"/>
              </w:rPr>
              <w:t>moderate to high, except for domestic conservation investment.</w:t>
            </w:r>
          </w:p>
        </w:tc>
        <w:tc>
          <w:tcPr>
            <w:tcW w:w="2136" w:type="dxa"/>
          </w:tcPr>
          <w:p w14:paraId="2B6718A9"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lastRenderedPageBreak/>
              <w:t xml:space="preserve">Mangroves: </w:t>
            </w:r>
            <w:r w:rsidRPr="000304E2">
              <w:rPr>
                <w:rFonts w:ascii="Times New Roman" w:hAnsi="Times New Roman" w:cs="Times New Roman"/>
              </w:rPr>
              <w:t>clearing/non-productive conversion</w:t>
            </w:r>
          </w:p>
          <w:p w14:paraId="2D29DB58" w14:textId="77777777" w:rsidR="00DF1220" w:rsidRPr="000304E2" w:rsidRDefault="00DF1220" w:rsidP="000F3F19">
            <w:pPr>
              <w:pStyle w:val="NoSpacing"/>
              <w:rPr>
                <w:rFonts w:ascii="Times New Roman" w:hAnsi="Times New Roman" w:cs="Times New Roman"/>
                <w:b/>
                <w:bCs/>
              </w:rPr>
            </w:pPr>
          </w:p>
          <w:p w14:paraId="39D0918A"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Seagrass: </w:t>
            </w:r>
            <w:r w:rsidRPr="000304E2">
              <w:rPr>
                <w:rFonts w:ascii="Times New Roman" w:hAnsi="Times New Roman" w:cs="Times New Roman"/>
              </w:rPr>
              <w:t>not present in this profile</w:t>
            </w:r>
          </w:p>
        </w:tc>
        <w:tc>
          <w:tcPr>
            <w:tcW w:w="4628" w:type="dxa"/>
          </w:tcPr>
          <w:p w14:paraId="116C3B6B"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Mangroves:</w:t>
            </w:r>
            <w:r w:rsidRPr="000304E2">
              <w:rPr>
                <w:rFonts w:ascii="Times New Roman" w:hAnsi="Times New Roman" w:cs="Times New Roman"/>
              </w:rPr>
              <w:t xml:space="preserve"> External NGO support for developing community-based sustainable management of mangrove forests with well-defined resource-use rights -&gt; </w:t>
            </w:r>
          </w:p>
          <w:p w14:paraId="00303B03"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rPr>
              <w:t>Government establishes policy that recognises communities as management authority -&gt;</w:t>
            </w:r>
          </w:p>
          <w:p w14:paraId="55548BF9"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rPr>
              <w:t>reduced mangrove clearing for fuel and timber</w:t>
            </w:r>
          </w:p>
          <w:p w14:paraId="278ABDE8" w14:textId="77777777" w:rsidR="00DF1220" w:rsidRPr="000304E2" w:rsidRDefault="00DF1220" w:rsidP="000F3F19">
            <w:pPr>
              <w:pStyle w:val="NoSpacing"/>
              <w:rPr>
                <w:rFonts w:ascii="Times New Roman" w:hAnsi="Times New Roman" w:cs="Times New Roman"/>
              </w:rPr>
            </w:pPr>
          </w:p>
          <w:p w14:paraId="10A4251B"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Seagrass: </w:t>
            </w:r>
            <w:r w:rsidRPr="000304E2">
              <w:rPr>
                <w:rFonts w:ascii="Times New Roman" w:hAnsi="Times New Roman" w:cs="Times New Roman"/>
              </w:rPr>
              <w:t>not present in this profile</w:t>
            </w:r>
          </w:p>
        </w:tc>
        <w:tc>
          <w:tcPr>
            <w:tcW w:w="5055" w:type="dxa"/>
          </w:tcPr>
          <w:p w14:paraId="04303CA7"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Mangroves: </w:t>
            </w:r>
            <w:r w:rsidRPr="000304E2">
              <w:rPr>
                <w:rFonts w:ascii="Times New Roman" w:hAnsi="Times New Roman" w:cs="Times New Roman"/>
              </w:rPr>
              <w:t xml:space="preserve">Mangroves in St. Lucia were historically cleared for charcoal production. Establishment of a common property institution that recognised resource rights of the local community and incentivised sustainable management resulted in reduced mangrove degradation (Smith and </w:t>
            </w:r>
            <w:proofErr w:type="spellStart"/>
            <w:r w:rsidRPr="000304E2">
              <w:rPr>
                <w:rFonts w:ascii="Times New Roman" w:hAnsi="Times New Roman" w:cs="Times New Roman"/>
              </w:rPr>
              <w:t>Berkes</w:t>
            </w:r>
            <w:proofErr w:type="spellEnd"/>
            <w:r w:rsidRPr="000304E2">
              <w:rPr>
                <w:rFonts w:ascii="Times New Roman" w:hAnsi="Times New Roman" w:cs="Times New Roman"/>
              </w:rPr>
              <w:t xml:space="preserve"> 1993). Subsequently, the St. Lucian government supported community-based management of mangroves by establishing policy that protected the mangroves but also formalised charcoal producers as the management authority.</w:t>
            </w:r>
          </w:p>
          <w:p w14:paraId="49937CDA" w14:textId="77777777" w:rsidR="00DF1220" w:rsidRPr="000304E2" w:rsidRDefault="00DF1220" w:rsidP="000F3F19">
            <w:pPr>
              <w:pStyle w:val="NoSpacing"/>
              <w:rPr>
                <w:rFonts w:ascii="Times New Roman" w:hAnsi="Times New Roman" w:cs="Times New Roman"/>
              </w:rPr>
            </w:pPr>
          </w:p>
          <w:p w14:paraId="3A299B26"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Seagrass: </w:t>
            </w:r>
            <w:r w:rsidRPr="000304E2">
              <w:rPr>
                <w:rFonts w:ascii="Times New Roman" w:hAnsi="Times New Roman" w:cs="Times New Roman"/>
              </w:rPr>
              <w:t>not present in this profile</w:t>
            </w:r>
          </w:p>
        </w:tc>
      </w:tr>
      <w:tr w:rsidR="00DF1220" w:rsidRPr="000304E2" w14:paraId="3143CF83" w14:textId="77777777" w:rsidTr="000F3F19">
        <w:trPr>
          <w:trHeight w:val="931"/>
          <w:jc w:val="center"/>
        </w:trPr>
        <w:tc>
          <w:tcPr>
            <w:tcW w:w="1150" w:type="dxa"/>
          </w:tcPr>
          <w:p w14:paraId="3A63E92E"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rPr>
              <w:t>6</w:t>
            </w:r>
          </w:p>
        </w:tc>
        <w:tc>
          <w:tcPr>
            <w:tcW w:w="3328" w:type="dxa"/>
          </w:tcPr>
          <w:p w14:paraId="25F56427" w14:textId="5DED4975"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Policy</w:t>
            </w:r>
            <w:r w:rsidRPr="000304E2">
              <w:rPr>
                <w:rFonts w:ascii="Times New Roman" w:hAnsi="Times New Roman" w:cs="Times New Roman"/>
              </w:rPr>
              <w:t xml:space="preserve">: </w:t>
            </w:r>
            <w:r w:rsidR="0099026A">
              <w:rPr>
                <w:rFonts w:ascii="Times New Roman" w:hAnsi="Times New Roman" w:cs="Times New Roman"/>
              </w:rPr>
              <w:t>l</w:t>
            </w:r>
            <w:r w:rsidRPr="000304E2">
              <w:rPr>
                <w:rFonts w:ascii="Times New Roman" w:hAnsi="Times New Roman" w:cs="Times New Roman"/>
              </w:rPr>
              <w:t>ow, except for prioritisation of vegetated coastal wetlands in NDC mitigation and adaptation strategies.</w:t>
            </w:r>
          </w:p>
          <w:p w14:paraId="520FE8DC" w14:textId="77777777" w:rsidR="00DF1220" w:rsidRPr="000304E2" w:rsidRDefault="00DF1220" w:rsidP="000F3F19">
            <w:pPr>
              <w:pStyle w:val="NoSpacing"/>
              <w:rPr>
                <w:rFonts w:ascii="Times New Roman" w:hAnsi="Times New Roman" w:cs="Times New Roman"/>
              </w:rPr>
            </w:pPr>
          </w:p>
          <w:p w14:paraId="47651EB5"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Regulation</w:t>
            </w:r>
            <w:r w:rsidRPr="000304E2">
              <w:rPr>
                <w:rFonts w:ascii="Times New Roman" w:hAnsi="Times New Roman" w:cs="Times New Roman"/>
              </w:rPr>
              <w:t>: low.</w:t>
            </w:r>
          </w:p>
          <w:p w14:paraId="0D57D6FB" w14:textId="77777777" w:rsidR="00DF1220" w:rsidRPr="000304E2" w:rsidRDefault="00DF1220" w:rsidP="000F3F19">
            <w:pPr>
              <w:pStyle w:val="NoSpacing"/>
              <w:rPr>
                <w:rFonts w:ascii="Times New Roman" w:hAnsi="Times New Roman" w:cs="Times New Roman"/>
              </w:rPr>
            </w:pPr>
          </w:p>
          <w:p w14:paraId="7DDF0AC2"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Engagement</w:t>
            </w:r>
            <w:r w:rsidRPr="000304E2">
              <w:rPr>
                <w:rFonts w:ascii="Times New Roman" w:hAnsi="Times New Roman" w:cs="Times New Roman"/>
              </w:rPr>
              <w:t>: moderate to high, except for domestic conservation investment.</w:t>
            </w:r>
          </w:p>
        </w:tc>
        <w:tc>
          <w:tcPr>
            <w:tcW w:w="2136" w:type="dxa"/>
          </w:tcPr>
          <w:p w14:paraId="70ACC1CA"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Mangroves: </w:t>
            </w:r>
            <w:r w:rsidRPr="000304E2">
              <w:rPr>
                <w:rFonts w:ascii="Times New Roman" w:hAnsi="Times New Roman" w:cs="Times New Roman"/>
              </w:rPr>
              <w:t>erosion</w:t>
            </w:r>
          </w:p>
          <w:p w14:paraId="2E935267" w14:textId="77777777" w:rsidR="00DF1220" w:rsidRPr="000304E2" w:rsidRDefault="00DF1220" w:rsidP="000F3F19">
            <w:pPr>
              <w:pStyle w:val="NoSpacing"/>
              <w:rPr>
                <w:rFonts w:ascii="Times New Roman" w:hAnsi="Times New Roman" w:cs="Times New Roman"/>
                <w:b/>
                <w:bCs/>
              </w:rPr>
            </w:pPr>
          </w:p>
          <w:p w14:paraId="64CD022C"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Seagrass: </w:t>
            </w:r>
            <w:r w:rsidRPr="000304E2">
              <w:rPr>
                <w:rFonts w:ascii="Times New Roman" w:hAnsi="Times New Roman" w:cs="Times New Roman"/>
              </w:rPr>
              <w:t>catchment processes (e.g., coastal development &amp; poor water quality)</w:t>
            </w:r>
          </w:p>
        </w:tc>
        <w:tc>
          <w:tcPr>
            <w:tcW w:w="4628" w:type="dxa"/>
          </w:tcPr>
          <w:p w14:paraId="27D93A23"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Mangroves: </w:t>
            </w:r>
            <w:r w:rsidRPr="000304E2">
              <w:rPr>
                <w:rFonts w:ascii="Times New Roman" w:hAnsi="Times New Roman" w:cs="Times New Roman"/>
              </w:rPr>
              <w:t>External NGO and industry actors provide support for installing permeable dams that trap sediment and provide space for mangrove regeneration and planting -&gt; develop ecotourism as a livelihood that incentivises community involvement in mangrove conservation -&gt; self-sustaining management of mangroves that reduces loss to erosion</w:t>
            </w:r>
          </w:p>
          <w:p w14:paraId="5398169F" w14:textId="77777777" w:rsidR="00DF1220" w:rsidRPr="000304E2" w:rsidRDefault="00DF1220" w:rsidP="000F3F19">
            <w:pPr>
              <w:pStyle w:val="NoSpacing"/>
              <w:rPr>
                <w:rFonts w:ascii="Times New Roman" w:hAnsi="Times New Roman" w:cs="Times New Roman"/>
                <w:b/>
                <w:bCs/>
              </w:rPr>
            </w:pPr>
          </w:p>
          <w:p w14:paraId="0CA8BDA9" w14:textId="77777777" w:rsidR="00DF1220" w:rsidRPr="000304E2" w:rsidRDefault="00DF1220" w:rsidP="000F3F19">
            <w:pPr>
              <w:pStyle w:val="NoSpacing"/>
              <w:rPr>
                <w:rFonts w:ascii="Times New Roman" w:hAnsi="Times New Roman" w:cs="Times New Roman"/>
                <w:b/>
                <w:bCs/>
              </w:rPr>
            </w:pPr>
            <w:r w:rsidRPr="000304E2">
              <w:rPr>
                <w:rFonts w:ascii="Times New Roman" w:hAnsi="Times New Roman" w:cs="Times New Roman"/>
                <w:b/>
                <w:bCs/>
              </w:rPr>
              <w:t xml:space="preserve">Seagrass: </w:t>
            </w:r>
            <w:r w:rsidRPr="000304E2">
              <w:rPr>
                <w:rFonts w:ascii="Times New Roman" w:hAnsi="Times New Roman" w:cs="Times New Roman"/>
              </w:rPr>
              <w:t>External and state actors establish policy to raise awareness of the importance of seagrass -&gt; build seagrass research and monitoring capacity -&gt; inform catchment-based management plans -&gt; reduced loss of seagrass from catchment-based threats</w:t>
            </w:r>
          </w:p>
        </w:tc>
        <w:tc>
          <w:tcPr>
            <w:tcW w:w="5055" w:type="dxa"/>
          </w:tcPr>
          <w:p w14:paraId="4080C573" w14:textId="77777777"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Mangroves: </w:t>
            </w:r>
            <w:r w:rsidRPr="000304E2">
              <w:rPr>
                <w:rFonts w:ascii="Times New Roman" w:hAnsi="Times New Roman" w:cs="Times New Roman"/>
              </w:rPr>
              <w:t>Erosion is a driver of loss in Suriname, and</w:t>
            </w:r>
            <w:r w:rsidRPr="000304E2">
              <w:rPr>
                <w:rFonts w:ascii="Times New Roman" w:hAnsi="Times New Roman" w:cs="Times New Roman"/>
                <w:b/>
                <w:bCs/>
              </w:rPr>
              <w:t xml:space="preserve"> s</w:t>
            </w:r>
            <w:r w:rsidRPr="000304E2">
              <w:rPr>
                <w:rFonts w:ascii="Times New Roman" w:hAnsi="Times New Roman" w:cs="Times New Roman"/>
              </w:rPr>
              <w:t>everal external actors (industry and NGOs) installed permeable dams and initiated mangrove planting in Suriname to raise awareness and involve local communities in mangrove conservation (</w:t>
            </w:r>
            <w:proofErr w:type="spellStart"/>
            <w:r w:rsidRPr="000304E2">
              <w:rPr>
                <w:rFonts w:ascii="Times New Roman" w:hAnsi="Times New Roman" w:cs="Times New Roman"/>
              </w:rPr>
              <w:t>Winterwerp</w:t>
            </w:r>
            <w:proofErr w:type="spellEnd"/>
            <w:r w:rsidRPr="000304E2">
              <w:rPr>
                <w:rFonts w:ascii="Times New Roman" w:hAnsi="Times New Roman" w:cs="Times New Roman"/>
              </w:rPr>
              <w:t xml:space="preserve"> et al. 2019).</w:t>
            </w:r>
          </w:p>
          <w:p w14:paraId="2723AA71" w14:textId="77777777" w:rsidR="00DF1220" w:rsidRPr="000304E2" w:rsidRDefault="00DF1220" w:rsidP="000F3F19">
            <w:pPr>
              <w:pStyle w:val="NoSpacing"/>
              <w:rPr>
                <w:rFonts w:ascii="Times New Roman" w:hAnsi="Times New Roman" w:cs="Times New Roman"/>
                <w:b/>
                <w:bCs/>
              </w:rPr>
            </w:pPr>
          </w:p>
          <w:p w14:paraId="1E4E667A" w14:textId="2A611766" w:rsidR="00DF1220" w:rsidRPr="000304E2" w:rsidRDefault="00DF1220" w:rsidP="000F3F19">
            <w:pPr>
              <w:pStyle w:val="NoSpacing"/>
              <w:rPr>
                <w:rFonts w:ascii="Times New Roman" w:hAnsi="Times New Roman" w:cs="Times New Roman"/>
              </w:rPr>
            </w:pPr>
            <w:r w:rsidRPr="000304E2">
              <w:rPr>
                <w:rFonts w:ascii="Times New Roman" w:hAnsi="Times New Roman" w:cs="Times New Roman"/>
                <w:b/>
                <w:bCs/>
              </w:rPr>
              <w:t xml:space="preserve">Seagrass: </w:t>
            </w:r>
            <w:r w:rsidRPr="000304E2">
              <w:rPr>
                <w:rFonts w:ascii="Times New Roman" w:hAnsi="Times New Roman" w:cs="Times New Roman"/>
                <w:color w:val="000000" w:themeColor="text1"/>
              </w:rPr>
              <w:t xml:space="preserve">In the Solomon Islands, </w:t>
            </w:r>
            <w:r w:rsidR="00414792">
              <w:rPr>
                <w:rFonts w:ascii="Times New Roman" w:hAnsi="Times New Roman" w:cs="Times New Roman"/>
                <w:color w:val="000000" w:themeColor="text1"/>
              </w:rPr>
              <w:t xml:space="preserve">terrestrial </w:t>
            </w:r>
            <w:r w:rsidRPr="000304E2">
              <w:rPr>
                <w:rFonts w:ascii="Times New Roman" w:hAnsi="Times New Roman" w:cs="Times New Roman"/>
                <w:color w:val="000000" w:themeColor="text1"/>
              </w:rPr>
              <w:t>logging</w:t>
            </w:r>
            <w:r w:rsidR="00414792">
              <w:rPr>
                <w:rFonts w:ascii="Times New Roman" w:hAnsi="Times New Roman" w:cs="Times New Roman"/>
                <w:color w:val="000000" w:themeColor="text1"/>
              </w:rPr>
              <w:t xml:space="preserve"> </w:t>
            </w:r>
            <w:r w:rsidRPr="000304E2">
              <w:rPr>
                <w:rFonts w:ascii="Times New Roman" w:hAnsi="Times New Roman" w:cs="Times New Roman"/>
                <w:color w:val="000000" w:themeColor="text1"/>
              </w:rPr>
              <w:t>is a major threat to seagrass</w:t>
            </w:r>
            <w:r w:rsidR="005B7107">
              <w:rPr>
                <w:rFonts w:ascii="Times New Roman" w:hAnsi="Times New Roman" w:cs="Times New Roman"/>
                <w:color w:val="000000" w:themeColor="text1"/>
              </w:rPr>
              <w:t xml:space="preserve"> due to increased sedimentation and turbidity</w:t>
            </w:r>
            <w:r w:rsidR="00414792">
              <w:rPr>
                <w:rFonts w:ascii="Times New Roman" w:hAnsi="Times New Roman" w:cs="Times New Roman"/>
                <w:color w:val="000000" w:themeColor="text1"/>
              </w:rPr>
              <w:t xml:space="preserve"> in the coastal zone</w:t>
            </w:r>
            <w:r w:rsidRPr="000304E2">
              <w:rPr>
                <w:rFonts w:ascii="Times New Roman" w:hAnsi="Times New Roman" w:cs="Times New Roman"/>
                <w:color w:val="000000" w:themeColor="text1"/>
              </w:rPr>
              <w:t xml:space="preserve"> (Brodie et al. 2020). To inform watershed management planning, the Solomon Islands government secured external support and </w:t>
            </w:r>
            <w:r w:rsidRPr="000304E2">
              <w:rPr>
                <w:rFonts w:ascii="Times New Roman" w:hAnsi="Times New Roman" w:cs="Times New Roman"/>
              </w:rPr>
              <w:t>funding to establish policy that aimed to raise awareness of the need for seagrass conservation and improve research and monitoring to enable better protection of seagrass as critical habitat for dugongs (</w:t>
            </w:r>
            <w:proofErr w:type="spellStart"/>
            <w:r w:rsidRPr="000304E2">
              <w:rPr>
                <w:rFonts w:ascii="Times New Roman" w:hAnsi="Times New Roman" w:cs="Times New Roman"/>
              </w:rPr>
              <w:t>WorldFish</w:t>
            </w:r>
            <w:proofErr w:type="spellEnd"/>
            <w:r w:rsidRPr="000304E2">
              <w:rPr>
                <w:rFonts w:ascii="Times New Roman" w:hAnsi="Times New Roman" w:cs="Times New Roman"/>
              </w:rPr>
              <w:t xml:space="preserve"> 2018)</w:t>
            </w:r>
          </w:p>
          <w:p w14:paraId="40BE1D5A" w14:textId="77777777" w:rsidR="00DF1220" w:rsidRPr="000304E2" w:rsidRDefault="00DF1220" w:rsidP="000F3F19">
            <w:pPr>
              <w:pStyle w:val="NoSpacing"/>
              <w:rPr>
                <w:rFonts w:ascii="Times New Roman" w:hAnsi="Times New Roman" w:cs="Times New Roman"/>
              </w:rPr>
            </w:pPr>
          </w:p>
          <w:p w14:paraId="5878E707" w14:textId="77777777" w:rsidR="00DF1220" w:rsidRPr="000304E2" w:rsidRDefault="00DF1220" w:rsidP="000F3F19">
            <w:pPr>
              <w:pStyle w:val="NoSpacing"/>
              <w:rPr>
                <w:rFonts w:ascii="Times New Roman" w:hAnsi="Times New Roman" w:cs="Times New Roman"/>
              </w:rPr>
            </w:pPr>
          </w:p>
        </w:tc>
      </w:tr>
    </w:tbl>
    <w:p w14:paraId="117C9182" w14:textId="77777777" w:rsidR="00DF1220" w:rsidRPr="000304E2" w:rsidRDefault="00DF1220">
      <w:pPr>
        <w:rPr>
          <w:rFonts w:ascii="Times New Roman" w:hAnsi="Times New Roman" w:cs="Times New Roman"/>
        </w:rPr>
        <w:sectPr w:rsidR="00DF1220" w:rsidRPr="000304E2" w:rsidSect="00DF1220">
          <w:pgSz w:w="16838" w:h="11906" w:orient="landscape"/>
          <w:pgMar w:top="720" w:right="720" w:bottom="720" w:left="720" w:header="708" w:footer="708" w:gutter="0"/>
          <w:cols w:space="708"/>
          <w:docGrid w:linePitch="360"/>
        </w:sectPr>
      </w:pPr>
    </w:p>
    <w:p w14:paraId="280E5169" w14:textId="77777777" w:rsidR="0003436D" w:rsidRPr="000304E2" w:rsidRDefault="0003436D" w:rsidP="0003436D">
      <w:pPr>
        <w:rPr>
          <w:rFonts w:ascii="Times New Roman" w:hAnsi="Times New Roman" w:cs="Times New Roman"/>
          <w:b/>
          <w:bCs/>
        </w:rPr>
      </w:pPr>
      <w:r w:rsidRPr="000304E2">
        <w:rPr>
          <w:rFonts w:ascii="Times New Roman" w:hAnsi="Times New Roman" w:cs="Times New Roman"/>
          <w:b/>
          <w:bCs/>
        </w:rPr>
        <w:lastRenderedPageBreak/>
        <w:t>Table S3. Caveats of the data and analysis.</w:t>
      </w:r>
    </w:p>
    <w:tbl>
      <w:tblPr>
        <w:tblStyle w:val="TableGrid"/>
        <w:tblW w:w="10485" w:type="dxa"/>
        <w:tblLook w:val="04A0" w:firstRow="1" w:lastRow="0" w:firstColumn="1" w:lastColumn="0" w:noHBand="0" w:noVBand="1"/>
      </w:tblPr>
      <w:tblGrid>
        <w:gridCol w:w="2689"/>
        <w:gridCol w:w="7796"/>
      </w:tblGrid>
      <w:tr w:rsidR="0003436D" w:rsidRPr="000304E2" w14:paraId="28AA3B49" w14:textId="77777777" w:rsidTr="000F3F19">
        <w:tc>
          <w:tcPr>
            <w:tcW w:w="2689" w:type="dxa"/>
          </w:tcPr>
          <w:p w14:paraId="4855EB4E" w14:textId="77777777" w:rsidR="0003436D" w:rsidRPr="000304E2" w:rsidRDefault="0003436D" w:rsidP="000F3F19">
            <w:pPr>
              <w:pStyle w:val="NoSpacing"/>
              <w:rPr>
                <w:rFonts w:ascii="Times New Roman" w:hAnsi="Times New Roman" w:cs="Times New Roman"/>
                <w:b/>
                <w:bCs/>
              </w:rPr>
            </w:pPr>
            <w:r w:rsidRPr="000304E2">
              <w:rPr>
                <w:rFonts w:ascii="Times New Roman" w:hAnsi="Times New Roman" w:cs="Times New Roman"/>
                <w:b/>
                <w:bCs/>
              </w:rPr>
              <w:t>Caveat</w:t>
            </w:r>
          </w:p>
        </w:tc>
        <w:tc>
          <w:tcPr>
            <w:tcW w:w="7796" w:type="dxa"/>
          </w:tcPr>
          <w:p w14:paraId="2330F816" w14:textId="77777777" w:rsidR="0003436D" w:rsidRPr="000304E2" w:rsidRDefault="0003436D" w:rsidP="000F3F19">
            <w:pPr>
              <w:pStyle w:val="NoSpacing"/>
              <w:rPr>
                <w:rFonts w:ascii="Times New Roman" w:hAnsi="Times New Roman" w:cs="Times New Roman"/>
                <w:b/>
                <w:bCs/>
              </w:rPr>
            </w:pPr>
            <w:r w:rsidRPr="000304E2">
              <w:rPr>
                <w:rFonts w:ascii="Times New Roman" w:hAnsi="Times New Roman" w:cs="Times New Roman"/>
                <w:b/>
                <w:bCs/>
              </w:rPr>
              <w:t>Description</w:t>
            </w:r>
          </w:p>
        </w:tc>
      </w:tr>
      <w:tr w:rsidR="0003436D" w:rsidRPr="000304E2" w14:paraId="243B31DE" w14:textId="77777777" w:rsidTr="000F3F19">
        <w:tc>
          <w:tcPr>
            <w:tcW w:w="2689" w:type="dxa"/>
          </w:tcPr>
          <w:p w14:paraId="25B12A73"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Temporality of indicators</w:t>
            </w:r>
          </w:p>
        </w:tc>
        <w:tc>
          <w:tcPr>
            <w:tcW w:w="7796" w:type="dxa"/>
          </w:tcPr>
          <w:p w14:paraId="18B649D5"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 xml:space="preserve">Data underlying indicators have different temporal ranges (Table S1) and all indicators are dynamic, therefore enabling conditions within countries are subject to constant change, such as with policy revisions or nations signing onto international agreements. </w:t>
            </w:r>
          </w:p>
        </w:tc>
      </w:tr>
      <w:tr w:rsidR="0003436D" w:rsidRPr="000304E2" w14:paraId="79979CCB" w14:textId="77777777" w:rsidTr="000F3F19">
        <w:tc>
          <w:tcPr>
            <w:tcW w:w="2689" w:type="dxa"/>
          </w:tcPr>
          <w:p w14:paraId="0DF4E20D"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Interpolation of missing indicator values assumed ‘missing at random’</w:t>
            </w:r>
          </w:p>
        </w:tc>
        <w:tc>
          <w:tcPr>
            <w:tcW w:w="7796" w:type="dxa"/>
          </w:tcPr>
          <w:p w14:paraId="0690BC62"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 xml:space="preserve">Missing values for the ‘Conservation spending’ and ‘Ramsar management’ indicators were not missing at random. However, assessment of the sensitivity of the latent variable model parameter estimates to the violation of this assumption demonstrates that predictions were robust (Figure S2 &amp; S3). </w:t>
            </w:r>
          </w:p>
        </w:tc>
      </w:tr>
      <w:tr w:rsidR="0003436D" w:rsidRPr="000304E2" w14:paraId="4FB09542" w14:textId="77777777" w:rsidTr="000F3F19">
        <w:tc>
          <w:tcPr>
            <w:tcW w:w="2689" w:type="dxa"/>
          </w:tcPr>
          <w:p w14:paraId="4867037E"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Data gaps in drivers of seagrass and saltmarsh loss</w:t>
            </w:r>
          </w:p>
        </w:tc>
        <w:tc>
          <w:tcPr>
            <w:tcW w:w="7796" w:type="dxa"/>
          </w:tcPr>
          <w:p w14:paraId="32FDDA68"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Globally comprehensive data on drivers of seagrass and saltmarsh loss was not available, constraining the opportunities for vegetated coastal wetland conservation that were able to be identified.</w:t>
            </w:r>
          </w:p>
        </w:tc>
      </w:tr>
      <w:tr w:rsidR="0003436D" w:rsidRPr="000304E2" w14:paraId="6CC1EA3F" w14:textId="77777777" w:rsidTr="000F3F19">
        <w:tc>
          <w:tcPr>
            <w:tcW w:w="2689" w:type="dxa"/>
          </w:tcPr>
          <w:p w14:paraId="445AD7C6"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Indicators not specific to coastal wetlands</w:t>
            </w:r>
          </w:p>
        </w:tc>
        <w:tc>
          <w:tcPr>
            <w:tcW w:w="7796" w:type="dxa"/>
          </w:tcPr>
          <w:p w14:paraId="6C1495C0"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Not all indicators were specific to vegetated coastal wetlands (e.g., MPA target), but were included for their relevance to conservation more broadly.</w:t>
            </w:r>
          </w:p>
        </w:tc>
      </w:tr>
      <w:tr w:rsidR="0003436D" w:rsidRPr="000304E2" w14:paraId="3CE8710D" w14:textId="77777777" w:rsidTr="000F3F19">
        <w:tc>
          <w:tcPr>
            <w:tcW w:w="2689" w:type="dxa"/>
          </w:tcPr>
          <w:p w14:paraId="66446AB2"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Current and future drivers of coastal wetland loss were not considered</w:t>
            </w:r>
          </w:p>
        </w:tc>
        <w:tc>
          <w:tcPr>
            <w:tcW w:w="7796" w:type="dxa"/>
          </w:tcPr>
          <w:p w14:paraId="69BE1996"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Only historical drivers of mangrove and seagrass loss were used to identify opportunities for vegetated coastal wetland conservation.</w:t>
            </w:r>
          </w:p>
        </w:tc>
      </w:tr>
      <w:tr w:rsidR="0003436D" w:rsidRPr="000304E2" w14:paraId="39C4F725" w14:textId="77777777" w:rsidTr="000F3F19">
        <w:tc>
          <w:tcPr>
            <w:tcW w:w="2689" w:type="dxa"/>
          </w:tcPr>
          <w:p w14:paraId="3C45C63B"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 xml:space="preserve">Identification of conservation opportunities assumes drivers act additively </w:t>
            </w:r>
          </w:p>
        </w:tc>
        <w:tc>
          <w:tcPr>
            <w:tcW w:w="7796" w:type="dxa"/>
          </w:tcPr>
          <w:p w14:paraId="5BD29C59"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 xml:space="preserve">Drivers of ecosystem loss can interact to accelerate or mitigate loss, so sub-national analysis of opportunities should consider the potential for interactions. </w:t>
            </w:r>
          </w:p>
        </w:tc>
      </w:tr>
      <w:tr w:rsidR="0003436D" w:rsidRPr="000304E2" w14:paraId="6E9CB174" w14:textId="77777777" w:rsidTr="000F3F19">
        <w:tc>
          <w:tcPr>
            <w:tcW w:w="2689" w:type="dxa"/>
          </w:tcPr>
          <w:p w14:paraId="544A2719"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Indicator bias</w:t>
            </w:r>
          </w:p>
        </w:tc>
        <w:tc>
          <w:tcPr>
            <w:tcW w:w="7796" w:type="dxa"/>
          </w:tcPr>
          <w:p w14:paraId="3BCAD00F"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 xml:space="preserve">Two engagement indicators, ‘Biodiversity projects’ and ‘Environmental NGO projects’ were biased towards middle and low-income countries, as high-income countries are less likely to receive </w:t>
            </w:r>
            <w:r w:rsidRPr="000304E2">
              <w:rPr>
                <w:rFonts w:ascii="Times New Roman" w:hAnsi="Times New Roman" w:cs="Times New Roman"/>
                <w:color w:val="000000"/>
                <w:lang w:eastAsia="en-GB"/>
              </w:rPr>
              <w:t>Organisation for Economic Cooperation and Development (OECD)</w:t>
            </w:r>
            <w:r w:rsidRPr="000304E2">
              <w:rPr>
                <w:rFonts w:ascii="Times New Roman" w:eastAsia="Times New Roman" w:hAnsi="Times New Roman" w:cs="Times New Roman"/>
                <w:color w:val="000000"/>
                <w:lang w:eastAsia="en-AU"/>
              </w:rPr>
              <w:t xml:space="preserve"> </w:t>
            </w:r>
            <w:r w:rsidRPr="000304E2">
              <w:rPr>
                <w:rFonts w:ascii="Times New Roman" w:hAnsi="Times New Roman" w:cs="Times New Roman"/>
              </w:rPr>
              <w:t>and non-governmental organisation (NGO) aid funding.</w:t>
            </w:r>
          </w:p>
        </w:tc>
      </w:tr>
      <w:tr w:rsidR="0003436D" w:rsidRPr="000304E2" w14:paraId="4AFD6004" w14:textId="77777777" w:rsidTr="000F3F19">
        <w:tc>
          <w:tcPr>
            <w:tcW w:w="2689" w:type="dxa"/>
          </w:tcPr>
          <w:p w14:paraId="0C509F76" w14:textId="77777777"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Seagrass drivers</w:t>
            </w:r>
          </w:p>
        </w:tc>
        <w:tc>
          <w:tcPr>
            <w:tcW w:w="7796" w:type="dxa"/>
          </w:tcPr>
          <w:p w14:paraId="0C023023" w14:textId="1B59D0C1" w:rsidR="0003436D" w:rsidRPr="000304E2" w:rsidRDefault="0003436D" w:rsidP="000F3F19">
            <w:pPr>
              <w:pStyle w:val="NoSpacing"/>
              <w:rPr>
                <w:rFonts w:ascii="Times New Roman" w:hAnsi="Times New Roman" w:cs="Times New Roman"/>
              </w:rPr>
            </w:pPr>
            <w:r w:rsidRPr="000304E2">
              <w:rPr>
                <w:rFonts w:ascii="Times New Roman" w:hAnsi="Times New Roman" w:cs="Times New Roman"/>
              </w:rPr>
              <w:t>Data on drivers of seagrass loss was obtained from a literature synthesis (</w:t>
            </w:r>
            <w:proofErr w:type="spellStart"/>
            <w:r w:rsidRPr="000304E2">
              <w:rPr>
                <w:rFonts w:ascii="Times New Roman" w:hAnsi="Times New Roman" w:cs="Times New Roman"/>
              </w:rPr>
              <w:t>Dunic</w:t>
            </w:r>
            <w:proofErr w:type="spellEnd"/>
            <w:r w:rsidRPr="000304E2">
              <w:rPr>
                <w:rFonts w:ascii="Times New Roman" w:hAnsi="Times New Roman" w:cs="Times New Roman"/>
              </w:rPr>
              <w:t xml:space="preserve"> et al. 2021</w:t>
            </w:r>
            <w:r w:rsidR="00F307E0" w:rsidRPr="000304E2">
              <w:rPr>
                <w:rFonts w:ascii="Times New Roman" w:hAnsi="Times New Roman" w:cs="Times New Roman"/>
              </w:rPr>
              <w:t>) but</w:t>
            </w:r>
            <w:r w:rsidRPr="000304E2">
              <w:rPr>
                <w:rFonts w:ascii="Times New Roman" w:hAnsi="Times New Roman" w:cs="Times New Roman"/>
              </w:rPr>
              <w:t xml:space="preserve"> was not systematically reviewed or comprehensive to the global distribution of seagrass. For instance, invasive fauna such as tunicates, crabs and lugworms were not reported in the peer-reviewed literature, and therefore we opted to exclude this driver category to avoid </w:t>
            </w:r>
            <w:proofErr w:type="gramStart"/>
            <w:r w:rsidRPr="000304E2">
              <w:rPr>
                <w:rFonts w:ascii="Times New Roman" w:hAnsi="Times New Roman" w:cs="Times New Roman"/>
              </w:rPr>
              <w:t>mis-representation</w:t>
            </w:r>
            <w:proofErr w:type="gramEnd"/>
            <w:r w:rsidRPr="000304E2">
              <w:rPr>
                <w:rFonts w:ascii="Times New Roman" w:hAnsi="Times New Roman" w:cs="Times New Roman"/>
              </w:rPr>
              <w:t>.</w:t>
            </w:r>
          </w:p>
        </w:tc>
      </w:tr>
    </w:tbl>
    <w:p w14:paraId="338188A8" w14:textId="683E741C" w:rsidR="00DF1220" w:rsidRPr="000304E2" w:rsidRDefault="00DF1220">
      <w:pPr>
        <w:rPr>
          <w:rFonts w:ascii="Times New Roman" w:hAnsi="Times New Roman" w:cs="Times New Roman"/>
        </w:rPr>
      </w:pPr>
    </w:p>
    <w:p w14:paraId="7ADE7BCC" w14:textId="77777777" w:rsidR="00620F3C" w:rsidRPr="000304E2" w:rsidRDefault="00620F3C" w:rsidP="00620F3C">
      <w:pPr>
        <w:jc w:val="center"/>
        <w:rPr>
          <w:rFonts w:ascii="Times New Roman" w:hAnsi="Times New Roman" w:cs="Times New Roman"/>
          <w:b/>
          <w:bCs/>
        </w:rPr>
      </w:pPr>
      <w:r w:rsidRPr="000304E2">
        <w:rPr>
          <w:rFonts w:ascii="Times New Roman" w:hAnsi="Times New Roman" w:cs="Times New Roman"/>
          <w:b/>
          <w:bCs/>
          <w:noProof/>
          <w:lang w:val="en-US" w:eastAsia="zh-TW"/>
        </w:rPr>
        <w:lastRenderedPageBreak/>
        <w:drawing>
          <wp:inline distT="0" distB="0" distL="0" distR="0" wp14:anchorId="718EFAF1" wp14:editId="153DD41C">
            <wp:extent cx="5138215" cy="4752975"/>
            <wp:effectExtent l="0" t="0" r="5715"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619" t="5444" r="24334" b="2267"/>
                    <a:stretch/>
                  </pic:blipFill>
                  <pic:spPr bwMode="auto">
                    <a:xfrm>
                      <a:off x="0" y="0"/>
                      <a:ext cx="5156569" cy="4769952"/>
                    </a:xfrm>
                    <a:prstGeom prst="rect">
                      <a:avLst/>
                    </a:prstGeom>
                    <a:noFill/>
                    <a:ln>
                      <a:noFill/>
                    </a:ln>
                    <a:extLst>
                      <a:ext uri="{53640926-AAD7-44D8-BBD7-CCE9431645EC}">
                        <a14:shadowObscured xmlns:a14="http://schemas.microsoft.com/office/drawing/2010/main"/>
                      </a:ext>
                    </a:extLst>
                  </pic:spPr>
                </pic:pic>
              </a:graphicData>
            </a:graphic>
          </wp:inline>
        </w:drawing>
      </w:r>
    </w:p>
    <w:p w14:paraId="44404B21" w14:textId="61AC8D6B" w:rsidR="00620F3C" w:rsidRPr="000304E2" w:rsidRDefault="00620F3C" w:rsidP="00620F3C">
      <w:pPr>
        <w:rPr>
          <w:rFonts w:ascii="Times New Roman" w:hAnsi="Times New Roman" w:cs="Times New Roman"/>
          <w:b/>
          <w:bCs/>
        </w:rPr>
      </w:pPr>
      <w:r w:rsidRPr="000304E2">
        <w:rPr>
          <w:rFonts w:ascii="Times New Roman" w:hAnsi="Times New Roman" w:cs="Times New Roman"/>
          <w:b/>
          <w:bCs/>
        </w:rPr>
        <w:t>Fig</w:t>
      </w:r>
      <w:r w:rsidR="00DB6073">
        <w:rPr>
          <w:rFonts w:ascii="Times New Roman" w:hAnsi="Times New Roman" w:cs="Times New Roman"/>
          <w:b/>
          <w:bCs/>
        </w:rPr>
        <w:t>.</w:t>
      </w:r>
      <w:r w:rsidRPr="000304E2">
        <w:rPr>
          <w:rFonts w:ascii="Times New Roman" w:hAnsi="Times New Roman" w:cs="Times New Roman"/>
          <w:b/>
          <w:bCs/>
        </w:rPr>
        <w:t xml:space="preserve"> S2. Randomised quantile residual plots for the latent variable model. </w:t>
      </w:r>
    </w:p>
    <w:p w14:paraId="04197F03" w14:textId="77777777" w:rsidR="00A578B3" w:rsidRPr="000304E2" w:rsidRDefault="00A578B3" w:rsidP="00620F3C">
      <w:pPr>
        <w:rPr>
          <w:rFonts w:ascii="Times New Roman" w:hAnsi="Times New Roman" w:cs="Times New Roman"/>
          <w:b/>
          <w:bCs/>
        </w:rPr>
      </w:pPr>
    </w:p>
    <w:p w14:paraId="72963DC7" w14:textId="08CCE060" w:rsidR="00A578B3" w:rsidRPr="000304E2" w:rsidRDefault="00A578B3" w:rsidP="00A578B3">
      <w:pPr>
        <w:jc w:val="center"/>
        <w:rPr>
          <w:rFonts w:ascii="Times New Roman" w:hAnsi="Times New Roman" w:cs="Times New Roman"/>
          <w:b/>
          <w:bCs/>
        </w:rPr>
      </w:pPr>
      <w:r w:rsidRPr="000304E2">
        <w:rPr>
          <w:rFonts w:ascii="Times New Roman" w:hAnsi="Times New Roman" w:cs="Times New Roman"/>
          <w:b/>
          <w:bCs/>
          <w:noProof/>
          <w:lang w:val="en-US" w:eastAsia="zh-TW"/>
        </w:rPr>
        <w:drawing>
          <wp:inline distT="0" distB="0" distL="0" distR="0" wp14:anchorId="36C877B3" wp14:editId="43A4EA0A">
            <wp:extent cx="3843867" cy="3843867"/>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46745" cy="3846745"/>
                    </a:xfrm>
                    <a:prstGeom prst="rect">
                      <a:avLst/>
                    </a:prstGeom>
                    <a:noFill/>
                    <a:ln>
                      <a:noFill/>
                    </a:ln>
                  </pic:spPr>
                </pic:pic>
              </a:graphicData>
            </a:graphic>
          </wp:inline>
        </w:drawing>
      </w:r>
    </w:p>
    <w:p w14:paraId="7A1135D5" w14:textId="6BD40A73" w:rsidR="009F5507" w:rsidRPr="000304E2" w:rsidRDefault="009F5507" w:rsidP="009F5507">
      <w:pPr>
        <w:rPr>
          <w:rFonts w:ascii="Times New Roman" w:hAnsi="Times New Roman" w:cs="Times New Roman"/>
          <w:b/>
          <w:bCs/>
        </w:rPr>
      </w:pPr>
      <w:r w:rsidRPr="000304E2">
        <w:rPr>
          <w:rFonts w:ascii="Times New Roman" w:hAnsi="Times New Roman" w:cs="Times New Roman"/>
          <w:b/>
          <w:bCs/>
        </w:rPr>
        <w:t>Fig</w:t>
      </w:r>
      <w:r w:rsidR="00DB6073">
        <w:rPr>
          <w:rFonts w:ascii="Times New Roman" w:hAnsi="Times New Roman" w:cs="Times New Roman"/>
          <w:b/>
          <w:bCs/>
        </w:rPr>
        <w:t>.</w:t>
      </w:r>
      <w:r w:rsidRPr="000304E2">
        <w:rPr>
          <w:rFonts w:ascii="Times New Roman" w:hAnsi="Times New Roman" w:cs="Times New Roman"/>
          <w:b/>
          <w:bCs/>
        </w:rPr>
        <w:t xml:space="preserve"> S</w:t>
      </w:r>
      <w:r w:rsidR="00A578B3" w:rsidRPr="000304E2">
        <w:rPr>
          <w:rFonts w:ascii="Times New Roman" w:hAnsi="Times New Roman" w:cs="Times New Roman"/>
          <w:b/>
          <w:bCs/>
        </w:rPr>
        <w:t>3</w:t>
      </w:r>
      <w:r w:rsidRPr="000304E2">
        <w:rPr>
          <w:rFonts w:ascii="Times New Roman" w:hAnsi="Times New Roman" w:cs="Times New Roman"/>
          <w:b/>
          <w:bCs/>
        </w:rPr>
        <w:t>. Correlation of predictions from latent variable models fit with and without the ‘Conservation spending’ indicator.</w:t>
      </w:r>
    </w:p>
    <w:p w14:paraId="014B1FFF" w14:textId="77777777" w:rsidR="009F5507" w:rsidRPr="000304E2" w:rsidRDefault="009F5507" w:rsidP="009F5507">
      <w:pPr>
        <w:jc w:val="center"/>
        <w:rPr>
          <w:rFonts w:ascii="Times New Roman" w:hAnsi="Times New Roman" w:cs="Times New Roman"/>
          <w:b/>
          <w:bCs/>
        </w:rPr>
      </w:pPr>
      <w:r w:rsidRPr="000304E2">
        <w:rPr>
          <w:rFonts w:ascii="Times New Roman" w:hAnsi="Times New Roman" w:cs="Times New Roman"/>
          <w:b/>
          <w:bCs/>
          <w:noProof/>
          <w:lang w:val="en-US" w:eastAsia="zh-TW"/>
        </w:rPr>
        <w:lastRenderedPageBreak/>
        <w:drawing>
          <wp:inline distT="0" distB="0" distL="0" distR="0" wp14:anchorId="6067E845" wp14:editId="0D46880B">
            <wp:extent cx="4021667" cy="40216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25819" cy="4025819"/>
                    </a:xfrm>
                    <a:prstGeom prst="rect">
                      <a:avLst/>
                    </a:prstGeom>
                    <a:noFill/>
                    <a:ln>
                      <a:noFill/>
                    </a:ln>
                  </pic:spPr>
                </pic:pic>
              </a:graphicData>
            </a:graphic>
          </wp:inline>
        </w:drawing>
      </w:r>
    </w:p>
    <w:p w14:paraId="3A17379A" w14:textId="60445A5A" w:rsidR="009F5507" w:rsidRPr="000304E2" w:rsidRDefault="009F5507" w:rsidP="009F5507">
      <w:pPr>
        <w:rPr>
          <w:rFonts w:ascii="Times New Roman" w:hAnsi="Times New Roman" w:cs="Times New Roman"/>
          <w:b/>
          <w:bCs/>
        </w:rPr>
      </w:pPr>
      <w:r w:rsidRPr="000304E2">
        <w:rPr>
          <w:rFonts w:ascii="Times New Roman" w:hAnsi="Times New Roman" w:cs="Times New Roman"/>
          <w:b/>
          <w:bCs/>
        </w:rPr>
        <w:t>Fig</w:t>
      </w:r>
      <w:r w:rsidR="00DB6073">
        <w:rPr>
          <w:rFonts w:ascii="Times New Roman" w:hAnsi="Times New Roman" w:cs="Times New Roman"/>
          <w:b/>
          <w:bCs/>
        </w:rPr>
        <w:t>.</w:t>
      </w:r>
      <w:r w:rsidRPr="000304E2">
        <w:rPr>
          <w:rFonts w:ascii="Times New Roman" w:hAnsi="Times New Roman" w:cs="Times New Roman"/>
          <w:b/>
          <w:bCs/>
        </w:rPr>
        <w:t xml:space="preserve"> S</w:t>
      </w:r>
      <w:r w:rsidR="00A578B3" w:rsidRPr="000304E2">
        <w:rPr>
          <w:rFonts w:ascii="Times New Roman" w:hAnsi="Times New Roman" w:cs="Times New Roman"/>
          <w:b/>
          <w:bCs/>
        </w:rPr>
        <w:t>4</w:t>
      </w:r>
      <w:r w:rsidRPr="000304E2">
        <w:rPr>
          <w:rFonts w:ascii="Times New Roman" w:hAnsi="Times New Roman" w:cs="Times New Roman"/>
          <w:b/>
          <w:bCs/>
        </w:rPr>
        <w:t>. Correlation of predictions from latent variable models fit with and without the ‘Ramsar Management’ indicator.</w:t>
      </w:r>
    </w:p>
    <w:p w14:paraId="27BCF11B" w14:textId="77777777" w:rsidR="009F5507" w:rsidRPr="000304E2" w:rsidRDefault="009F5507" w:rsidP="009F5507">
      <w:pPr>
        <w:pStyle w:val="BodyText"/>
        <w:spacing w:line="360" w:lineRule="auto"/>
        <w:rPr>
          <w:sz w:val="22"/>
          <w:szCs w:val="22"/>
        </w:rPr>
      </w:pPr>
    </w:p>
    <w:p w14:paraId="167A55CE" w14:textId="77777777" w:rsidR="009F5507" w:rsidRPr="000304E2" w:rsidRDefault="009F5507" w:rsidP="009F5507">
      <w:pPr>
        <w:pStyle w:val="BodyText"/>
        <w:spacing w:line="360" w:lineRule="auto"/>
        <w:ind w:firstLine="340"/>
        <w:jc w:val="center"/>
        <w:rPr>
          <w:sz w:val="22"/>
          <w:szCs w:val="22"/>
        </w:rPr>
      </w:pPr>
      <w:r w:rsidRPr="000304E2">
        <w:rPr>
          <w:noProof/>
          <w:sz w:val="22"/>
          <w:szCs w:val="22"/>
          <w:lang w:eastAsia="zh-TW"/>
        </w:rPr>
        <w:lastRenderedPageBreak/>
        <w:drawing>
          <wp:inline distT="0" distB="0" distL="0" distR="0" wp14:anchorId="65DDD3D4" wp14:editId="0A1450F3">
            <wp:extent cx="5067300" cy="5067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67300" cy="5067300"/>
                    </a:xfrm>
                    <a:prstGeom prst="rect">
                      <a:avLst/>
                    </a:prstGeom>
                    <a:noFill/>
                    <a:ln>
                      <a:noFill/>
                    </a:ln>
                  </pic:spPr>
                </pic:pic>
              </a:graphicData>
            </a:graphic>
          </wp:inline>
        </w:drawing>
      </w:r>
    </w:p>
    <w:p w14:paraId="6E3A6DC4" w14:textId="58A262F5" w:rsidR="009F5507" w:rsidRPr="000304E2" w:rsidRDefault="009F5507" w:rsidP="009F5507">
      <w:pPr>
        <w:pStyle w:val="BodyText"/>
        <w:rPr>
          <w:sz w:val="22"/>
          <w:szCs w:val="22"/>
        </w:rPr>
      </w:pPr>
      <w:r w:rsidRPr="000304E2">
        <w:rPr>
          <w:b/>
          <w:bCs/>
          <w:sz w:val="22"/>
          <w:szCs w:val="22"/>
        </w:rPr>
        <w:t>Fig</w:t>
      </w:r>
      <w:r w:rsidR="00DB6073">
        <w:rPr>
          <w:b/>
          <w:bCs/>
          <w:sz w:val="22"/>
          <w:szCs w:val="22"/>
        </w:rPr>
        <w:t>.</w:t>
      </w:r>
      <w:r w:rsidRPr="000304E2">
        <w:rPr>
          <w:b/>
          <w:bCs/>
          <w:sz w:val="22"/>
          <w:szCs w:val="22"/>
        </w:rPr>
        <w:t xml:space="preserve"> S</w:t>
      </w:r>
      <w:r w:rsidR="00A578B3" w:rsidRPr="000304E2">
        <w:rPr>
          <w:b/>
          <w:bCs/>
          <w:sz w:val="22"/>
          <w:szCs w:val="22"/>
        </w:rPr>
        <w:t>5</w:t>
      </w:r>
      <w:r w:rsidRPr="000304E2">
        <w:rPr>
          <w:b/>
          <w:bCs/>
          <w:sz w:val="22"/>
          <w:szCs w:val="22"/>
        </w:rPr>
        <w:t xml:space="preserve">. </w:t>
      </w:r>
      <w:r w:rsidR="00A578B3" w:rsidRPr="000304E2">
        <w:rPr>
          <w:b/>
          <w:bCs/>
          <w:sz w:val="22"/>
          <w:szCs w:val="22"/>
        </w:rPr>
        <w:t>M</w:t>
      </w:r>
      <w:r w:rsidRPr="000304E2">
        <w:rPr>
          <w:b/>
          <w:bCs/>
          <w:sz w:val="22"/>
          <w:szCs w:val="22"/>
        </w:rPr>
        <w:t xml:space="preserve">aps showing statistics for each country that measure how much uncertainty there was in the inclusion or exclusion of other countries in its cluster. </w:t>
      </w:r>
      <w:r w:rsidRPr="000304E2">
        <w:rPr>
          <w:sz w:val="22"/>
          <w:szCs w:val="22"/>
        </w:rPr>
        <w:t>Low mean or median SD values indicate that a country was highly likely to be clustered with the same countries across the full distribution of indicator values predicted by the latent variable model. Low standard deviation of SD values indicates that there was low variability in whether a country was likely to be clustered with the same countries.</w:t>
      </w:r>
    </w:p>
    <w:p w14:paraId="5291DF4E" w14:textId="77777777" w:rsidR="009F5507" w:rsidRPr="000304E2" w:rsidRDefault="009F5507" w:rsidP="009F5507">
      <w:pPr>
        <w:pStyle w:val="BodyText"/>
        <w:rPr>
          <w:b/>
          <w:bCs/>
          <w:sz w:val="22"/>
          <w:szCs w:val="22"/>
        </w:rPr>
      </w:pPr>
    </w:p>
    <w:p w14:paraId="41308AC7" w14:textId="77777777" w:rsidR="009F5507" w:rsidRPr="000304E2" w:rsidRDefault="009F5507" w:rsidP="009F5507">
      <w:pPr>
        <w:jc w:val="center"/>
        <w:rPr>
          <w:rFonts w:ascii="Times New Roman" w:hAnsi="Times New Roman" w:cs="Times New Roman"/>
          <w:b/>
          <w:bCs/>
          <w:kern w:val="32"/>
        </w:rPr>
      </w:pPr>
      <w:r w:rsidRPr="000304E2">
        <w:rPr>
          <w:rFonts w:ascii="Times New Roman" w:hAnsi="Times New Roman" w:cs="Times New Roman"/>
          <w:b/>
          <w:bCs/>
          <w:noProof/>
          <w:kern w:val="32"/>
          <w:lang w:val="en-US" w:eastAsia="zh-TW"/>
        </w:rPr>
        <w:drawing>
          <wp:inline distT="0" distB="0" distL="0" distR="0" wp14:anchorId="48722117" wp14:editId="5D6C4CA4">
            <wp:extent cx="2144486" cy="250190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5013" cy="2514182"/>
                    </a:xfrm>
                    <a:prstGeom prst="rect">
                      <a:avLst/>
                    </a:prstGeom>
                    <a:noFill/>
                    <a:ln>
                      <a:noFill/>
                    </a:ln>
                  </pic:spPr>
                </pic:pic>
              </a:graphicData>
            </a:graphic>
          </wp:inline>
        </w:drawing>
      </w:r>
    </w:p>
    <w:p w14:paraId="7E48CD28" w14:textId="52790DE0" w:rsidR="009F5507" w:rsidRPr="000304E2" w:rsidRDefault="009F5507" w:rsidP="009F5507">
      <w:pPr>
        <w:pStyle w:val="BodyText"/>
        <w:rPr>
          <w:b/>
          <w:bCs/>
          <w:sz w:val="22"/>
          <w:szCs w:val="22"/>
        </w:rPr>
      </w:pPr>
      <w:r w:rsidRPr="000304E2">
        <w:rPr>
          <w:b/>
          <w:bCs/>
          <w:sz w:val="22"/>
          <w:szCs w:val="22"/>
        </w:rPr>
        <w:t>Fig</w:t>
      </w:r>
      <w:r w:rsidR="00DB6073">
        <w:rPr>
          <w:b/>
          <w:bCs/>
          <w:sz w:val="22"/>
          <w:szCs w:val="22"/>
        </w:rPr>
        <w:t>.</w:t>
      </w:r>
      <w:r w:rsidRPr="000304E2">
        <w:rPr>
          <w:b/>
          <w:bCs/>
          <w:sz w:val="22"/>
          <w:szCs w:val="22"/>
        </w:rPr>
        <w:t xml:space="preserve"> S</w:t>
      </w:r>
      <w:r w:rsidR="00A578B3" w:rsidRPr="000304E2">
        <w:rPr>
          <w:b/>
          <w:bCs/>
          <w:sz w:val="22"/>
          <w:szCs w:val="22"/>
        </w:rPr>
        <w:t>6</w:t>
      </w:r>
      <w:r w:rsidRPr="000304E2">
        <w:rPr>
          <w:b/>
          <w:bCs/>
          <w:sz w:val="22"/>
          <w:szCs w:val="22"/>
        </w:rPr>
        <w:t xml:space="preserve">. Statistics that measure how much uncertainty there was in the pairwise probability of countries being included in each enabling profile. </w:t>
      </w:r>
      <w:r w:rsidRPr="000304E2">
        <w:rPr>
          <w:sz w:val="22"/>
          <w:szCs w:val="22"/>
        </w:rPr>
        <w:t xml:space="preserve">Higher mean and median values indicate there was higher probability of pairwise inclusion of countries in a profile. Higher standard deviation values </w:t>
      </w:r>
      <w:proofErr w:type="gramStart"/>
      <w:r w:rsidRPr="000304E2">
        <w:rPr>
          <w:sz w:val="22"/>
          <w:szCs w:val="22"/>
        </w:rPr>
        <w:t>indicates</w:t>
      </w:r>
      <w:proofErr w:type="gramEnd"/>
      <w:r w:rsidRPr="000304E2">
        <w:rPr>
          <w:sz w:val="22"/>
          <w:szCs w:val="22"/>
        </w:rPr>
        <w:t xml:space="preserve"> there was higher variation in the pairwise inclusion of countries in a profile. </w:t>
      </w:r>
    </w:p>
    <w:p w14:paraId="106CEEB4" w14:textId="385C31C4" w:rsidR="00A60899" w:rsidRPr="000304E2" w:rsidRDefault="00A60899" w:rsidP="00A60899">
      <w:pPr>
        <w:rPr>
          <w:rFonts w:ascii="Times New Roman" w:hAnsi="Times New Roman" w:cs="Times New Roman"/>
          <w:b/>
          <w:bCs/>
        </w:rPr>
      </w:pPr>
      <w:r w:rsidRPr="000304E2">
        <w:rPr>
          <w:rFonts w:ascii="Times New Roman" w:hAnsi="Times New Roman" w:cs="Times New Roman"/>
          <w:b/>
          <w:bCs/>
        </w:rPr>
        <w:lastRenderedPageBreak/>
        <w:t xml:space="preserve">Table S4. Description of drivers of mangrove loss </w:t>
      </w:r>
      <w:r w:rsidRPr="000304E2">
        <w:rPr>
          <w:rFonts w:ascii="Times New Roman" w:hAnsi="Times New Roman" w:cs="Times New Roman"/>
          <w:b/>
          <w:bCs/>
          <w:noProof/>
        </w:rPr>
        <w:t>(Goldberg et al. 2020)</w:t>
      </w:r>
      <w:r w:rsidRPr="000304E2">
        <w:rPr>
          <w:rFonts w:ascii="Times New Roman" w:hAnsi="Times New Roman" w:cs="Times New Roman"/>
          <w:b/>
          <w:bCs/>
        </w:rPr>
        <w:t xml:space="preserve"> and seagrass trends </w:t>
      </w:r>
      <w:r w:rsidRPr="000304E2">
        <w:rPr>
          <w:rFonts w:ascii="Times New Roman" w:hAnsi="Times New Roman" w:cs="Times New Roman"/>
          <w:b/>
          <w:bCs/>
          <w:noProof/>
        </w:rPr>
        <w:t>(Dunic et al. 2021)</w:t>
      </w:r>
      <w:r w:rsidRPr="000304E2">
        <w:rPr>
          <w:rFonts w:ascii="Times New Roman" w:hAnsi="Times New Roman" w:cs="Times New Roman"/>
          <w:b/>
          <w:bCs/>
        </w:rPr>
        <w:t>.</w:t>
      </w:r>
    </w:p>
    <w:tbl>
      <w:tblPr>
        <w:tblStyle w:val="TableGrid"/>
        <w:tblW w:w="0" w:type="auto"/>
        <w:tblLayout w:type="fixed"/>
        <w:tblLook w:val="04A0" w:firstRow="1" w:lastRow="0" w:firstColumn="1" w:lastColumn="0" w:noHBand="0" w:noVBand="1"/>
      </w:tblPr>
      <w:tblGrid>
        <w:gridCol w:w="1163"/>
        <w:gridCol w:w="1459"/>
        <w:gridCol w:w="1768"/>
        <w:gridCol w:w="6066"/>
      </w:tblGrid>
      <w:tr w:rsidR="00A60899" w:rsidRPr="000304E2" w14:paraId="28889E0C" w14:textId="77777777" w:rsidTr="000F3F19">
        <w:tc>
          <w:tcPr>
            <w:tcW w:w="1163" w:type="dxa"/>
          </w:tcPr>
          <w:p w14:paraId="3E0E2317" w14:textId="77777777" w:rsidR="00A60899" w:rsidRPr="000304E2" w:rsidRDefault="00A60899" w:rsidP="000F3F19">
            <w:pPr>
              <w:rPr>
                <w:rFonts w:ascii="Times New Roman" w:hAnsi="Times New Roman" w:cs="Times New Roman"/>
                <w:b/>
                <w:bCs/>
              </w:rPr>
            </w:pPr>
            <w:r w:rsidRPr="000304E2">
              <w:rPr>
                <w:rFonts w:ascii="Times New Roman" w:hAnsi="Times New Roman" w:cs="Times New Roman"/>
                <w:b/>
                <w:bCs/>
              </w:rPr>
              <w:t>Category</w:t>
            </w:r>
          </w:p>
        </w:tc>
        <w:tc>
          <w:tcPr>
            <w:tcW w:w="1459" w:type="dxa"/>
          </w:tcPr>
          <w:p w14:paraId="3F650FEF" w14:textId="77777777" w:rsidR="00A60899" w:rsidRPr="000304E2" w:rsidRDefault="00A60899" w:rsidP="000F3F19">
            <w:pPr>
              <w:rPr>
                <w:rFonts w:ascii="Times New Roman" w:eastAsia="Arial" w:hAnsi="Times New Roman" w:cs="Times New Roman"/>
                <w:b/>
                <w:bCs/>
                <w:color w:val="111111"/>
              </w:rPr>
            </w:pPr>
            <w:r w:rsidRPr="000304E2">
              <w:rPr>
                <w:rFonts w:ascii="Times New Roman" w:eastAsia="Arial" w:hAnsi="Times New Roman" w:cs="Times New Roman"/>
                <w:b/>
                <w:bCs/>
                <w:color w:val="111111"/>
              </w:rPr>
              <w:t>Driver</w:t>
            </w:r>
          </w:p>
        </w:tc>
        <w:tc>
          <w:tcPr>
            <w:tcW w:w="1768" w:type="dxa"/>
            <w:vAlign w:val="center"/>
          </w:tcPr>
          <w:p w14:paraId="232110DA" w14:textId="77777777" w:rsidR="00A60899" w:rsidRPr="000304E2" w:rsidRDefault="00A60899" w:rsidP="000F3F19">
            <w:pPr>
              <w:rPr>
                <w:rFonts w:ascii="Times New Roman" w:eastAsia="Arial" w:hAnsi="Times New Roman" w:cs="Times New Roman"/>
                <w:b/>
                <w:bCs/>
                <w:color w:val="111111"/>
              </w:rPr>
            </w:pPr>
            <w:r w:rsidRPr="000304E2">
              <w:rPr>
                <w:rFonts w:ascii="Times New Roman" w:eastAsia="Arial" w:hAnsi="Times New Roman" w:cs="Times New Roman"/>
                <w:b/>
                <w:bCs/>
                <w:color w:val="111111"/>
              </w:rPr>
              <w:t>Seagrass sub-drivers (</w:t>
            </w:r>
            <w:proofErr w:type="spellStart"/>
            <w:r w:rsidRPr="000304E2">
              <w:rPr>
                <w:rFonts w:ascii="Times New Roman" w:eastAsia="Arial" w:hAnsi="Times New Roman" w:cs="Times New Roman"/>
                <w:b/>
                <w:bCs/>
                <w:color w:val="111111"/>
              </w:rPr>
              <w:t>Dunic</w:t>
            </w:r>
            <w:proofErr w:type="spellEnd"/>
            <w:r w:rsidRPr="000304E2">
              <w:rPr>
                <w:rFonts w:ascii="Times New Roman" w:eastAsia="Arial" w:hAnsi="Times New Roman" w:cs="Times New Roman"/>
                <w:b/>
                <w:bCs/>
                <w:color w:val="111111"/>
              </w:rPr>
              <w:t xml:space="preserve"> et al. 2021)</w:t>
            </w:r>
          </w:p>
        </w:tc>
        <w:tc>
          <w:tcPr>
            <w:tcW w:w="6066" w:type="dxa"/>
            <w:vAlign w:val="center"/>
          </w:tcPr>
          <w:p w14:paraId="46904A8B" w14:textId="77777777" w:rsidR="00A60899" w:rsidRPr="000304E2" w:rsidRDefault="00A60899" w:rsidP="000F3F19">
            <w:pPr>
              <w:rPr>
                <w:rFonts w:ascii="Times New Roman" w:eastAsia="Arial" w:hAnsi="Times New Roman" w:cs="Times New Roman"/>
                <w:b/>
                <w:bCs/>
                <w:color w:val="111111"/>
              </w:rPr>
            </w:pPr>
            <w:r w:rsidRPr="000304E2">
              <w:rPr>
                <w:rFonts w:ascii="Times New Roman" w:eastAsia="Arial" w:hAnsi="Times New Roman" w:cs="Times New Roman"/>
                <w:b/>
                <w:bCs/>
                <w:color w:val="111111"/>
              </w:rPr>
              <w:t>Description</w:t>
            </w:r>
          </w:p>
        </w:tc>
      </w:tr>
      <w:tr w:rsidR="00A60899" w:rsidRPr="000304E2" w14:paraId="5F569080" w14:textId="77777777" w:rsidTr="000F3F19">
        <w:tc>
          <w:tcPr>
            <w:tcW w:w="1163" w:type="dxa"/>
          </w:tcPr>
          <w:p w14:paraId="1C240D40" w14:textId="77777777" w:rsidR="00A60899" w:rsidRPr="000304E2" w:rsidRDefault="00A60899" w:rsidP="000F3F19">
            <w:pPr>
              <w:rPr>
                <w:rFonts w:ascii="Times New Roman" w:hAnsi="Times New Roman" w:cs="Times New Roman"/>
              </w:rPr>
            </w:pPr>
            <w:r w:rsidRPr="000304E2">
              <w:rPr>
                <w:rFonts w:ascii="Times New Roman" w:hAnsi="Times New Roman" w:cs="Times New Roman"/>
              </w:rPr>
              <w:t>Mangrove</w:t>
            </w:r>
          </w:p>
        </w:tc>
        <w:tc>
          <w:tcPr>
            <w:tcW w:w="1459" w:type="dxa"/>
            <w:vAlign w:val="center"/>
          </w:tcPr>
          <w:p w14:paraId="2E1D1064"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Human settlement</w:t>
            </w:r>
          </w:p>
        </w:tc>
        <w:tc>
          <w:tcPr>
            <w:tcW w:w="1768" w:type="dxa"/>
            <w:vAlign w:val="center"/>
          </w:tcPr>
          <w:p w14:paraId="2C0A9263"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w:t>
            </w:r>
          </w:p>
        </w:tc>
        <w:tc>
          <w:tcPr>
            <w:tcW w:w="6066" w:type="dxa"/>
            <w:vAlign w:val="center"/>
          </w:tcPr>
          <w:p w14:paraId="2C9EB370"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Human settlements such as cities and villages.</w:t>
            </w:r>
          </w:p>
        </w:tc>
      </w:tr>
      <w:tr w:rsidR="00A60899" w:rsidRPr="000304E2" w14:paraId="50727FF9" w14:textId="77777777" w:rsidTr="000F3F19">
        <w:tc>
          <w:tcPr>
            <w:tcW w:w="1163" w:type="dxa"/>
          </w:tcPr>
          <w:p w14:paraId="16F25CEA" w14:textId="77777777" w:rsidR="00A60899" w:rsidRPr="000304E2" w:rsidRDefault="00A60899" w:rsidP="000F3F19">
            <w:pPr>
              <w:rPr>
                <w:rFonts w:ascii="Times New Roman" w:hAnsi="Times New Roman" w:cs="Times New Roman"/>
              </w:rPr>
            </w:pPr>
            <w:r w:rsidRPr="000304E2">
              <w:rPr>
                <w:rFonts w:ascii="Times New Roman" w:hAnsi="Times New Roman" w:cs="Times New Roman"/>
              </w:rPr>
              <w:t>Mangrove</w:t>
            </w:r>
          </w:p>
        </w:tc>
        <w:tc>
          <w:tcPr>
            <w:tcW w:w="1459" w:type="dxa"/>
            <w:vAlign w:val="center"/>
          </w:tcPr>
          <w:p w14:paraId="6AE32B63"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Commodities (</w:t>
            </w:r>
            <w:proofErr w:type="spellStart"/>
            <w:r w:rsidRPr="000304E2">
              <w:rPr>
                <w:rFonts w:ascii="Times New Roman" w:eastAsia="Arial" w:hAnsi="Times New Roman" w:cs="Times New Roman"/>
                <w:color w:val="111111"/>
              </w:rPr>
              <w:t>agri</w:t>
            </w:r>
            <w:proofErr w:type="spellEnd"/>
            <w:r w:rsidRPr="000304E2">
              <w:rPr>
                <w:rFonts w:ascii="Times New Roman" w:eastAsia="Arial" w:hAnsi="Times New Roman" w:cs="Times New Roman"/>
                <w:color w:val="111111"/>
              </w:rPr>
              <w:t>/aquaculture)</w:t>
            </w:r>
          </w:p>
        </w:tc>
        <w:tc>
          <w:tcPr>
            <w:tcW w:w="1768" w:type="dxa"/>
            <w:vAlign w:val="center"/>
          </w:tcPr>
          <w:p w14:paraId="28045F84"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w:t>
            </w:r>
          </w:p>
        </w:tc>
        <w:tc>
          <w:tcPr>
            <w:tcW w:w="6066" w:type="dxa"/>
            <w:vAlign w:val="center"/>
          </w:tcPr>
          <w:p w14:paraId="4AD109D1"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Agriculture, aquaculture, oil palm, rice.</w:t>
            </w:r>
          </w:p>
        </w:tc>
      </w:tr>
      <w:tr w:rsidR="00A60899" w:rsidRPr="000304E2" w14:paraId="346D5877" w14:textId="77777777" w:rsidTr="000F3F19">
        <w:tc>
          <w:tcPr>
            <w:tcW w:w="1163" w:type="dxa"/>
          </w:tcPr>
          <w:p w14:paraId="53A4669F" w14:textId="77777777" w:rsidR="00A60899" w:rsidRPr="000304E2" w:rsidRDefault="00A60899" w:rsidP="000F3F19">
            <w:pPr>
              <w:rPr>
                <w:rFonts w:ascii="Times New Roman" w:hAnsi="Times New Roman" w:cs="Times New Roman"/>
              </w:rPr>
            </w:pPr>
            <w:r w:rsidRPr="000304E2">
              <w:rPr>
                <w:rFonts w:ascii="Times New Roman" w:hAnsi="Times New Roman" w:cs="Times New Roman"/>
              </w:rPr>
              <w:t>Mangrove</w:t>
            </w:r>
          </w:p>
        </w:tc>
        <w:tc>
          <w:tcPr>
            <w:tcW w:w="1459" w:type="dxa"/>
            <w:vAlign w:val="center"/>
          </w:tcPr>
          <w:p w14:paraId="6501C291"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Erosion</w:t>
            </w:r>
          </w:p>
        </w:tc>
        <w:tc>
          <w:tcPr>
            <w:tcW w:w="1768" w:type="dxa"/>
            <w:vAlign w:val="center"/>
          </w:tcPr>
          <w:p w14:paraId="0F922898"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w:t>
            </w:r>
          </w:p>
        </w:tc>
        <w:tc>
          <w:tcPr>
            <w:tcW w:w="6066" w:type="dxa"/>
            <w:vAlign w:val="center"/>
          </w:tcPr>
          <w:p w14:paraId="752C029E"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Conversion to open water or mudflat.</w:t>
            </w:r>
          </w:p>
        </w:tc>
      </w:tr>
      <w:tr w:rsidR="00A60899" w:rsidRPr="000304E2" w14:paraId="295602D8" w14:textId="77777777" w:rsidTr="000F3F19">
        <w:tc>
          <w:tcPr>
            <w:tcW w:w="1163" w:type="dxa"/>
            <w:vAlign w:val="center"/>
          </w:tcPr>
          <w:p w14:paraId="61E7AAD0" w14:textId="77777777" w:rsidR="00A60899" w:rsidRPr="000304E2" w:rsidRDefault="00A60899" w:rsidP="000F3F19">
            <w:pPr>
              <w:rPr>
                <w:rFonts w:ascii="Times New Roman" w:hAnsi="Times New Roman" w:cs="Times New Roman"/>
              </w:rPr>
            </w:pPr>
            <w:r w:rsidRPr="000304E2">
              <w:rPr>
                <w:rFonts w:ascii="Times New Roman" w:hAnsi="Times New Roman" w:cs="Times New Roman"/>
              </w:rPr>
              <w:t>Mangrove</w:t>
            </w:r>
          </w:p>
        </w:tc>
        <w:tc>
          <w:tcPr>
            <w:tcW w:w="1459" w:type="dxa"/>
            <w:vAlign w:val="center"/>
          </w:tcPr>
          <w:p w14:paraId="0F90E8BF" w14:textId="19969210"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Non-productive conversion</w:t>
            </w:r>
          </w:p>
        </w:tc>
        <w:tc>
          <w:tcPr>
            <w:tcW w:w="1768" w:type="dxa"/>
            <w:vAlign w:val="center"/>
          </w:tcPr>
          <w:p w14:paraId="453DB28A"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w:t>
            </w:r>
          </w:p>
        </w:tc>
        <w:tc>
          <w:tcPr>
            <w:tcW w:w="6066" w:type="dxa"/>
            <w:vAlign w:val="center"/>
          </w:tcPr>
          <w:p w14:paraId="6AF73916"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Mining, oil extraction, etc., and mangrove loss within a 5.5km of human settlements and roads.</w:t>
            </w:r>
          </w:p>
        </w:tc>
      </w:tr>
      <w:tr w:rsidR="00A60899" w:rsidRPr="000304E2" w14:paraId="0C425F9C" w14:textId="77777777" w:rsidTr="000F3F19">
        <w:tc>
          <w:tcPr>
            <w:tcW w:w="1163" w:type="dxa"/>
            <w:vAlign w:val="center"/>
          </w:tcPr>
          <w:p w14:paraId="63B7EA10" w14:textId="77777777" w:rsidR="00A60899" w:rsidRPr="000304E2" w:rsidRDefault="00A60899" w:rsidP="000F3F19">
            <w:pPr>
              <w:rPr>
                <w:rFonts w:ascii="Times New Roman" w:hAnsi="Times New Roman" w:cs="Times New Roman"/>
              </w:rPr>
            </w:pPr>
            <w:r w:rsidRPr="000304E2">
              <w:rPr>
                <w:rFonts w:ascii="Times New Roman" w:hAnsi="Times New Roman" w:cs="Times New Roman"/>
              </w:rPr>
              <w:t>Mangrove</w:t>
            </w:r>
          </w:p>
        </w:tc>
        <w:tc>
          <w:tcPr>
            <w:tcW w:w="1459" w:type="dxa"/>
            <w:vAlign w:val="center"/>
          </w:tcPr>
          <w:p w14:paraId="219B6099"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Extreme weather event</w:t>
            </w:r>
          </w:p>
        </w:tc>
        <w:tc>
          <w:tcPr>
            <w:tcW w:w="1768" w:type="dxa"/>
            <w:vAlign w:val="center"/>
          </w:tcPr>
          <w:p w14:paraId="60D59FED"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w:t>
            </w:r>
          </w:p>
        </w:tc>
        <w:tc>
          <w:tcPr>
            <w:tcW w:w="6066" w:type="dxa"/>
            <w:vAlign w:val="center"/>
          </w:tcPr>
          <w:p w14:paraId="7E6538D6"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Drought, cyclone, etc.</w:t>
            </w:r>
          </w:p>
        </w:tc>
      </w:tr>
      <w:tr w:rsidR="00A60899" w:rsidRPr="000304E2" w14:paraId="2654AE79" w14:textId="77777777" w:rsidTr="000F3F19">
        <w:tc>
          <w:tcPr>
            <w:tcW w:w="1163" w:type="dxa"/>
            <w:vAlign w:val="center"/>
          </w:tcPr>
          <w:p w14:paraId="695A8C81" w14:textId="77777777" w:rsidR="00A60899" w:rsidRPr="000304E2" w:rsidRDefault="00A60899" w:rsidP="000F3F19">
            <w:pPr>
              <w:rPr>
                <w:rFonts w:ascii="Times New Roman" w:hAnsi="Times New Roman" w:cs="Times New Roman"/>
              </w:rPr>
            </w:pPr>
            <w:r w:rsidRPr="000304E2">
              <w:rPr>
                <w:rFonts w:ascii="Times New Roman" w:hAnsi="Times New Roman" w:cs="Times New Roman"/>
              </w:rPr>
              <w:t>Seagrass</w:t>
            </w:r>
          </w:p>
        </w:tc>
        <w:tc>
          <w:tcPr>
            <w:tcW w:w="1459" w:type="dxa"/>
            <w:vAlign w:val="center"/>
          </w:tcPr>
          <w:p w14:paraId="51CD30D7"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Aquaculture and fishing</w:t>
            </w:r>
          </w:p>
        </w:tc>
        <w:tc>
          <w:tcPr>
            <w:tcW w:w="1768" w:type="dxa"/>
            <w:vAlign w:val="center"/>
          </w:tcPr>
          <w:p w14:paraId="47D78B3C"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Aquaculture/</w:t>
            </w:r>
          </w:p>
          <w:p w14:paraId="3305628D" w14:textId="77777777" w:rsidR="00A60899" w:rsidRPr="000304E2" w:rsidRDefault="00A60899" w:rsidP="000F3F19">
            <w:pPr>
              <w:rPr>
                <w:rFonts w:ascii="Times New Roman" w:hAnsi="Times New Roman" w:cs="Times New Roman"/>
              </w:rPr>
            </w:pPr>
            <w:r w:rsidRPr="000304E2">
              <w:rPr>
                <w:rFonts w:ascii="Times New Roman" w:eastAsia="Arial" w:hAnsi="Times New Roman" w:cs="Times New Roman"/>
                <w:color w:val="111111"/>
              </w:rPr>
              <w:t>fishing</w:t>
            </w:r>
          </w:p>
        </w:tc>
        <w:tc>
          <w:tcPr>
            <w:tcW w:w="6066" w:type="dxa"/>
            <w:vAlign w:val="center"/>
          </w:tcPr>
          <w:p w14:paraId="70A28852" w14:textId="77777777" w:rsidR="00A60899" w:rsidRPr="000304E2" w:rsidRDefault="00A60899" w:rsidP="000F3F19">
            <w:pPr>
              <w:rPr>
                <w:rFonts w:ascii="Times New Roman" w:hAnsi="Times New Roman" w:cs="Times New Roman"/>
              </w:rPr>
            </w:pPr>
            <w:r w:rsidRPr="000304E2">
              <w:rPr>
                <w:rFonts w:ascii="Times New Roman" w:eastAsia="Arial" w:hAnsi="Times New Roman" w:cs="Times New Roman"/>
                <w:color w:val="111111"/>
              </w:rPr>
              <w:t>Oyster farming, fish farming, bait grubbing, bivalve trawling, recreational bivalve harvesting.</w:t>
            </w:r>
          </w:p>
        </w:tc>
      </w:tr>
      <w:tr w:rsidR="00A60899" w:rsidRPr="000304E2" w14:paraId="3A5BDC6C" w14:textId="77777777" w:rsidTr="000F3F19">
        <w:tc>
          <w:tcPr>
            <w:tcW w:w="1163" w:type="dxa"/>
            <w:vAlign w:val="center"/>
          </w:tcPr>
          <w:p w14:paraId="19B61507" w14:textId="77777777" w:rsidR="00A60899" w:rsidRPr="000304E2" w:rsidRDefault="00A60899" w:rsidP="000F3F19">
            <w:pPr>
              <w:rPr>
                <w:rFonts w:ascii="Times New Roman" w:hAnsi="Times New Roman" w:cs="Times New Roman"/>
              </w:rPr>
            </w:pPr>
            <w:r w:rsidRPr="000304E2">
              <w:rPr>
                <w:rFonts w:ascii="Times New Roman" w:hAnsi="Times New Roman" w:cs="Times New Roman"/>
              </w:rPr>
              <w:t>Seagrass</w:t>
            </w:r>
          </w:p>
        </w:tc>
        <w:tc>
          <w:tcPr>
            <w:tcW w:w="1459" w:type="dxa"/>
            <w:vAlign w:val="center"/>
          </w:tcPr>
          <w:p w14:paraId="79516270"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Boating</w:t>
            </w:r>
          </w:p>
        </w:tc>
        <w:tc>
          <w:tcPr>
            <w:tcW w:w="1768" w:type="dxa"/>
            <w:vAlign w:val="center"/>
          </w:tcPr>
          <w:p w14:paraId="423A6C08" w14:textId="77777777" w:rsidR="00A60899" w:rsidRPr="000304E2" w:rsidRDefault="00A60899" w:rsidP="000F3F19">
            <w:pPr>
              <w:rPr>
                <w:rFonts w:ascii="Times New Roman" w:hAnsi="Times New Roman" w:cs="Times New Roman"/>
              </w:rPr>
            </w:pPr>
            <w:r w:rsidRPr="000304E2">
              <w:rPr>
                <w:rFonts w:ascii="Times New Roman" w:eastAsia="Arial" w:hAnsi="Times New Roman" w:cs="Times New Roman"/>
                <w:color w:val="111111"/>
              </w:rPr>
              <w:t>Boating</w:t>
            </w:r>
          </w:p>
        </w:tc>
        <w:tc>
          <w:tcPr>
            <w:tcW w:w="6066" w:type="dxa"/>
            <w:vAlign w:val="center"/>
          </w:tcPr>
          <w:p w14:paraId="564F46CC" w14:textId="77777777" w:rsidR="00A60899" w:rsidRPr="000304E2" w:rsidRDefault="00A60899" w:rsidP="000F3F19">
            <w:pPr>
              <w:rPr>
                <w:rFonts w:ascii="Times New Roman" w:hAnsi="Times New Roman" w:cs="Times New Roman"/>
              </w:rPr>
            </w:pPr>
            <w:r w:rsidRPr="000304E2">
              <w:rPr>
                <w:rFonts w:ascii="Times New Roman" w:eastAsia="Arial" w:hAnsi="Times New Roman" w:cs="Times New Roman"/>
                <w:color w:val="111111"/>
              </w:rPr>
              <w:t>Mooring, propellor scarring.</w:t>
            </w:r>
          </w:p>
        </w:tc>
      </w:tr>
      <w:tr w:rsidR="00A60899" w:rsidRPr="000304E2" w14:paraId="4365267B" w14:textId="77777777" w:rsidTr="000F3F19">
        <w:tc>
          <w:tcPr>
            <w:tcW w:w="1163" w:type="dxa"/>
            <w:vAlign w:val="center"/>
          </w:tcPr>
          <w:p w14:paraId="7123ECAE" w14:textId="77777777" w:rsidR="00A60899" w:rsidRPr="000304E2" w:rsidRDefault="00A60899" w:rsidP="000F3F19">
            <w:pPr>
              <w:rPr>
                <w:rFonts w:ascii="Times New Roman" w:hAnsi="Times New Roman" w:cs="Times New Roman"/>
              </w:rPr>
            </w:pPr>
            <w:r w:rsidRPr="000304E2">
              <w:rPr>
                <w:rFonts w:ascii="Times New Roman" w:hAnsi="Times New Roman" w:cs="Times New Roman"/>
              </w:rPr>
              <w:t>Seagrass</w:t>
            </w:r>
          </w:p>
        </w:tc>
        <w:tc>
          <w:tcPr>
            <w:tcW w:w="1459" w:type="dxa"/>
            <w:vAlign w:val="center"/>
          </w:tcPr>
          <w:p w14:paraId="0A3BBA10"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Catchment processes</w:t>
            </w:r>
          </w:p>
        </w:tc>
        <w:tc>
          <w:tcPr>
            <w:tcW w:w="1768" w:type="dxa"/>
            <w:vAlign w:val="center"/>
          </w:tcPr>
          <w:p w14:paraId="14A38601" w14:textId="69043D61" w:rsidR="00A60899" w:rsidRPr="00AF15CF"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Coastal development/ Management/restoration/ Water quality/ Pollution/ Hydrology</w:t>
            </w:r>
          </w:p>
        </w:tc>
        <w:tc>
          <w:tcPr>
            <w:tcW w:w="6066" w:type="dxa"/>
            <w:vAlign w:val="center"/>
          </w:tcPr>
          <w:p w14:paraId="6058A2A9" w14:textId="77777777" w:rsidR="00A60899" w:rsidRPr="000304E2" w:rsidRDefault="00A60899" w:rsidP="000F3F19">
            <w:pPr>
              <w:rPr>
                <w:rFonts w:ascii="Times New Roman" w:hAnsi="Times New Roman" w:cs="Times New Roman"/>
              </w:rPr>
            </w:pPr>
            <w:r w:rsidRPr="000304E2">
              <w:rPr>
                <w:rFonts w:ascii="Times New Roman" w:eastAsia="Arial" w:hAnsi="Times New Roman" w:cs="Times New Roman"/>
                <w:color w:val="111111"/>
              </w:rPr>
              <w:t>Land appropriation, shoreline armouring, coastline construction, land use change (e.g., logging, agriculture), dredging, port construction, urbanisation, removal of dikes/coastal armouring, storm water run-off regulations, relocation of wastewater outfalls, algae blooms, chlorophyll, depth, nutrients (nitrogen, phosphorous), oxygen, ocean acidification, salinity, sedimentation, turbidity, water quality metrics, herbicides, oil spills, land based pollution (non-nutrient), coastal erosion, flood, sea level, sediment deposition patterns (e.g., sand banks), water velocity.</w:t>
            </w:r>
          </w:p>
        </w:tc>
      </w:tr>
      <w:tr w:rsidR="00A60899" w:rsidRPr="000304E2" w14:paraId="088EB38A" w14:textId="77777777" w:rsidTr="000F3F19">
        <w:tc>
          <w:tcPr>
            <w:tcW w:w="1163" w:type="dxa"/>
            <w:vAlign w:val="center"/>
          </w:tcPr>
          <w:p w14:paraId="1A82048B" w14:textId="77777777" w:rsidR="00A60899" w:rsidRPr="000304E2" w:rsidRDefault="00A60899" w:rsidP="000F3F19">
            <w:pPr>
              <w:rPr>
                <w:rFonts w:ascii="Times New Roman" w:hAnsi="Times New Roman" w:cs="Times New Roman"/>
              </w:rPr>
            </w:pPr>
            <w:r w:rsidRPr="000304E2">
              <w:rPr>
                <w:rFonts w:ascii="Times New Roman" w:hAnsi="Times New Roman" w:cs="Times New Roman"/>
              </w:rPr>
              <w:t>Seagrass</w:t>
            </w:r>
          </w:p>
        </w:tc>
        <w:tc>
          <w:tcPr>
            <w:tcW w:w="1459" w:type="dxa"/>
            <w:vAlign w:val="center"/>
          </w:tcPr>
          <w:p w14:paraId="08F50365"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Disease</w:t>
            </w:r>
          </w:p>
        </w:tc>
        <w:tc>
          <w:tcPr>
            <w:tcW w:w="1768" w:type="dxa"/>
            <w:vAlign w:val="center"/>
          </w:tcPr>
          <w:p w14:paraId="3A8FE454" w14:textId="77777777" w:rsidR="00A60899" w:rsidRPr="000304E2" w:rsidRDefault="00A60899" w:rsidP="000F3F19">
            <w:pPr>
              <w:rPr>
                <w:rFonts w:ascii="Times New Roman" w:hAnsi="Times New Roman" w:cs="Times New Roman"/>
                <w:highlight w:val="yellow"/>
              </w:rPr>
            </w:pPr>
            <w:r w:rsidRPr="000304E2">
              <w:rPr>
                <w:rFonts w:ascii="Times New Roman" w:eastAsia="Arial" w:hAnsi="Times New Roman" w:cs="Times New Roman"/>
                <w:color w:val="111111"/>
              </w:rPr>
              <w:t>Disease</w:t>
            </w:r>
          </w:p>
        </w:tc>
        <w:tc>
          <w:tcPr>
            <w:tcW w:w="6066" w:type="dxa"/>
            <w:vAlign w:val="center"/>
          </w:tcPr>
          <w:p w14:paraId="3D372B8E" w14:textId="77777777" w:rsidR="00A60899" w:rsidRPr="000304E2" w:rsidRDefault="00A60899" w:rsidP="000F3F19">
            <w:pPr>
              <w:rPr>
                <w:rFonts w:ascii="Times New Roman" w:hAnsi="Times New Roman" w:cs="Times New Roman"/>
              </w:rPr>
            </w:pPr>
            <w:r w:rsidRPr="000304E2">
              <w:rPr>
                <w:rFonts w:ascii="Times New Roman" w:eastAsia="Arial" w:hAnsi="Times New Roman" w:cs="Times New Roman"/>
                <w:color w:val="111111"/>
              </w:rPr>
              <w:t xml:space="preserve">Wasting disease (e.g., </w:t>
            </w:r>
            <w:proofErr w:type="spellStart"/>
            <w:r w:rsidRPr="000304E2">
              <w:rPr>
                <w:rFonts w:ascii="Times New Roman" w:eastAsia="Arial" w:hAnsi="Times New Roman" w:cs="Times New Roman"/>
                <w:i/>
                <w:color w:val="111111"/>
              </w:rPr>
              <w:t>Labyrinthula</w:t>
            </w:r>
            <w:proofErr w:type="spellEnd"/>
            <w:r w:rsidRPr="000304E2">
              <w:rPr>
                <w:rFonts w:ascii="Times New Roman" w:eastAsia="Arial" w:hAnsi="Times New Roman" w:cs="Times New Roman"/>
                <w:i/>
                <w:color w:val="111111"/>
              </w:rPr>
              <w:t xml:space="preserve"> </w:t>
            </w:r>
            <w:proofErr w:type="spellStart"/>
            <w:r w:rsidRPr="000304E2">
              <w:rPr>
                <w:rFonts w:ascii="Times New Roman" w:eastAsia="Arial" w:hAnsi="Times New Roman" w:cs="Times New Roman"/>
                <w:i/>
                <w:color w:val="111111"/>
              </w:rPr>
              <w:t>zosterae</w:t>
            </w:r>
            <w:proofErr w:type="spellEnd"/>
            <w:r w:rsidRPr="000304E2">
              <w:rPr>
                <w:rFonts w:ascii="Times New Roman" w:eastAsia="Arial" w:hAnsi="Times New Roman" w:cs="Times New Roman"/>
                <w:color w:val="111111"/>
              </w:rPr>
              <w:t>).</w:t>
            </w:r>
          </w:p>
        </w:tc>
      </w:tr>
      <w:tr w:rsidR="00A60899" w:rsidRPr="000304E2" w14:paraId="71353201" w14:textId="77777777" w:rsidTr="000F3F19">
        <w:tc>
          <w:tcPr>
            <w:tcW w:w="1163" w:type="dxa"/>
            <w:vAlign w:val="center"/>
          </w:tcPr>
          <w:p w14:paraId="658A7D83" w14:textId="77777777" w:rsidR="00A60899" w:rsidRPr="000304E2" w:rsidRDefault="00A60899" w:rsidP="000F3F19">
            <w:pPr>
              <w:rPr>
                <w:rFonts w:ascii="Times New Roman" w:hAnsi="Times New Roman" w:cs="Times New Roman"/>
              </w:rPr>
            </w:pPr>
            <w:r w:rsidRPr="000304E2">
              <w:rPr>
                <w:rFonts w:ascii="Times New Roman" w:hAnsi="Times New Roman" w:cs="Times New Roman"/>
              </w:rPr>
              <w:t>Seagrass</w:t>
            </w:r>
          </w:p>
        </w:tc>
        <w:tc>
          <w:tcPr>
            <w:tcW w:w="1459" w:type="dxa"/>
            <w:vAlign w:val="center"/>
          </w:tcPr>
          <w:p w14:paraId="0CFDF644"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Climate and storms</w:t>
            </w:r>
          </w:p>
        </w:tc>
        <w:tc>
          <w:tcPr>
            <w:tcW w:w="1768" w:type="dxa"/>
            <w:vAlign w:val="center"/>
          </w:tcPr>
          <w:p w14:paraId="05DD42DB" w14:textId="77777777" w:rsidR="00A60899" w:rsidRPr="000304E2" w:rsidRDefault="00A60899" w:rsidP="000F3F19">
            <w:pPr>
              <w:rPr>
                <w:rFonts w:ascii="Times New Roman" w:eastAsia="Arial" w:hAnsi="Times New Roman" w:cs="Times New Roman"/>
                <w:color w:val="111111"/>
              </w:rPr>
            </w:pPr>
            <w:r w:rsidRPr="000304E2">
              <w:rPr>
                <w:rFonts w:ascii="Times New Roman" w:eastAsia="Arial" w:hAnsi="Times New Roman" w:cs="Times New Roman"/>
                <w:color w:val="111111"/>
              </w:rPr>
              <w:t>Climate/Storms</w:t>
            </w:r>
          </w:p>
        </w:tc>
        <w:tc>
          <w:tcPr>
            <w:tcW w:w="6066" w:type="dxa"/>
            <w:vAlign w:val="center"/>
          </w:tcPr>
          <w:p w14:paraId="145A8F39" w14:textId="77777777" w:rsidR="00A60899" w:rsidRPr="000304E2" w:rsidRDefault="00A60899" w:rsidP="000F3F19">
            <w:pPr>
              <w:rPr>
                <w:rFonts w:ascii="Times New Roman" w:hAnsi="Times New Roman" w:cs="Times New Roman"/>
              </w:rPr>
            </w:pPr>
            <w:r w:rsidRPr="000304E2">
              <w:rPr>
                <w:rFonts w:ascii="Times New Roman" w:eastAsia="Arial" w:hAnsi="Times New Roman" w:cs="Times New Roman"/>
                <w:color w:val="111111"/>
              </w:rPr>
              <w:t>Precipitation, temperature, drought, warming, above average wet seasons, El Niño, ice cover, hurricanes/typhoons, flooding, storm swell, wind velocity.</w:t>
            </w:r>
          </w:p>
        </w:tc>
      </w:tr>
    </w:tbl>
    <w:p w14:paraId="7CAB3B9E" w14:textId="77777777" w:rsidR="00A60899" w:rsidRPr="000304E2" w:rsidRDefault="00A60899" w:rsidP="009F5507">
      <w:pPr>
        <w:rPr>
          <w:rFonts w:ascii="Times New Roman" w:hAnsi="Times New Roman" w:cs="Times New Roman"/>
          <w:b/>
          <w:bCs/>
        </w:rPr>
      </w:pPr>
    </w:p>
    <w:p w14:paraId="01CC9F81" w14:textId="57FF6AA6" w:rsidR="009F5507" w:rsidRPr="000304E2" w:rsidRDefault="009F5507" w:rsidP="009F5507">
      <w:pPr>
        <w:rPr>
          <w:rFonts w:ascii="Times New Roman" w:hAnsi="Times New Roman" w:cs="Times New Roman"/>
          <w:b/>
          <w:bCs/>
        </w:rPr>
      </w:pPr>
      <w:r w:rsidRPr="000304E2">
        <w:rPr>
          <w:rFonts w:ascii="Times New Roman" w:hAnsi="Times New Roman" w:cs="Times New Roman"/>
          <w:b/>
          <w:bCs/>
        </w:rPr>
        <w:t>Appendix 1: Supplemental methods</w:t>
      </w:r>
    </w:p>
    <w:p w14:paraId="233B96AB" w14:textId="77777777" w:rsidR="000304E2" w:rsidRDefault="009F5507" w:rsidP="000304E2">
      <w:pPr>
        <w:rPr>
          <w:rFonts w:ascii="Times New Roman" w:hAnsi="Times New Roman" w:cs="Times New Roman"/>
        </w:rPr>
      </w:pPr>
      <w:r w:rsidRPr="000304E2">
        <w:rPr>
          <w:rFonts w:ascii="Times New Roman" w:hAnsi="Times New Roman" w:cs="Times New Roman"/>
        </w:rPr>
        <w:t xml:space="preserve">Azerbaijan, </w:t>
      </w:r>
      <w:proofErr w:type="gramStart"/>
      <w:r w:rsidRPr="000304E2">
        <w:rPr>
          <w:rFonts w:ascii="Times New Roman" w:hAnsi="Times New Roman" w:cs="Times New Roman"/>
        </w:rPr>
        <w:t>Turkmenistan</w:t>
      </w:r>
      <w:proofErr w:type="gramEnd"/>
      <w:r w:rsidRPr="000304E2">
        <w:rPr>
          <w:rFonts w:ascii="Times New Roman" w:hAnsi="Times New Roman" w:cs="Times New Roman"/>
        </w:rPr>
        <w:t xml:space="preserve"> and Kazakhstan EEZ boundaries intersected with seagrass in the landlocked Caspian Sea but were not included in our analysis due to lack of oceanic coastline. Indicator coefficients were estimated with Markov Chain Monte Carlo (MCMC) sampling using weakly informative normal priors (mean = 0 and variance = 10) and likelihoods appropriate to the distributions of each indicator (i.e., a normal distribution (with identity link) for continuous response variables, a Poisson (with log link) for count response variables, and a binomial (with </w:t>
      </w:r>
      <w:proofErr w:type="spellStart"/>
      <w:r w:rsidRPr="000304E2">
        <w:rPr>
          <w:rFonts w:ascii="Times New Roman" w:hAnsi="Times New Roman" w:cs="Times New Roman"/>
        </w:rPr>
        <w:t>probit</w:t>
      </w:r>
      <w:proofErr w:type="spellEnd"/>
      <w:r w:rsidRPr="000304E2">
        <w:rPr>
          <w:rFonts w:ascii="Times New Roman" w:hAnsi="Times New Roman" w:cs="Times New Roman"/>
        </w:rPr>
        <w:t xml:space="preserve"> link) for binary response variables). We set the length of the MCMC chain to 50,000, discarded 2,000 in the burn-in period, and used a thinning rate of 5, leaving 9,600 samples. The convergence of MCMC chains was verified with </w:t>
      </w:r>
      <w:proofErr w:type="spellStart"/>
      <w:r w:rsidRPr="000304E2">
        <w:rPr>
          <w:rFonts w:ascii="Times New Roman" w:hAnsi="Times New Roman" w:cs="Times New Roman"/>
        </w:rPr>
        <w:t>Geweke</w:t>
      </w:r>
      <w:proofErr w:type="spellEnd"/>
      <w:r w:rsidRPr="000304E2">
        <w:rPr>
          <w:rFonts w:ascii="Times New Roman" w:hAnsi="Times New Roman" w:cs="Times New Roman"/>
        </w:rPr>
        <w:t xml:space="preserve"> convergence diagnostics adjusted for multiple comparisons </w:t>
      </w:r>
      <w:r w:rsidRPr="000304E2">
        <w:rPr>
          <w:rFonts w:ascii="Times New Roman" w:hAnsi="Times New Roman" w:cs="Times New Roman"/>
          <w:noProof/>
        </w:rPr>
        <w:t>(Geweke 1992)</w:t>
      </w:r>
      <w:r w:rsidRPr="000304E2">
        <w:rPr>
          <w:rFonts w:ascii="Times New Roman" w:hAnsi="Times New Roman" w:cs="Times New Roman"/>
        </w:rPr>
        <w:t xml:space="preserve"> and visual inspection of MCMC trace plots. Model fit was assessed with randomized quantile residuals </w:t>
      </w:r>
      <w:r w:rsidRPr="000304E2">
        <w:rPr>
          <w:rFonts w:ascii="Times New Roman" w:hAnsi="Times New Roman" w:cs="Times New Roman"/>
          <w:noProof/>
        </w:rPr>
        <w:t xml:space="preserve">(Dunn and Smyth 1996). </w:t>
      </w:r>
      <w:r w:rsidRPr="000304E2">
        <w:rPr>
          <w:rFonts w:ascii="Times New Roman" w:hAnsi="Times New Roman" w:cs="Times New Roman"/>
        </w:rPr>
        <w:t xml:space="preserve">Analyses were performed in R version 3.5.2 </w:t>
      </w:r>
      <w:r w:rsidRPr="000304E2">
        <w:rPr>
          <w:rFonts w:ascii="Times New Roman" w:hAnsi="Times New Roman" w:cs="Times New Roman"/>
          <w:noProof/>
        </w:rPr>
        <w:t>(R Core Team 2018)</w:t>
      </w:r>
      <w:r w:rsidRPr="000304E2">
        <w:rPr>
          <w:rFonts w:ascii="Times New Roman" w:hAnsi="Times New Roman" w:cs="Times New Roman"/>
        </w:rPr>
        <w:t>. LVMs were fit in using the R package ‘boral’ (‘Bayesian ordination and regression analysis’;</w:t>
      </w:r>
      <w:r w:rsidRPr="000304E2">
        <w:rPr>
          <w:rFonts w:ascii="Times New Roman" w:hAnsi="Times New Roman" w:cs="Times New Roman"/>
          <w:noProof/>
        </w:rPr>
        <w:t xml:space="preserve"> Hui 2020)</w:t>
      </w:r>
      <w:r w:rsidRPr="000304E2">
        <w:rPr>
          <w:rFonts w:ascii="Times New Roman" w:hAnsi="Times New Roman" w:cs="Times New Roman"/>
        </w:rPr>
        <w:t xml:space="preserve">, cluster analysis with the R package ‘cluster’ </w:t>
      </w:r>
      <w:r w:rsidRPr="000304E2">
        <w:rPr>
          <w:rFonts w:ascii="Times New Roman" w:hAnsi="Times New Roman" w:cs="Times New Roman"/>
          <w:noProof/>
        </w:rPr>
        <w:t xml:space="preserve">(Maechler et al. 2019), </w:t>
      </w:r>
      <w:r w:rsidRPr="000304E2">
        <w:rPr>
          <w:rFonts w:ascii="Times New Roman" w:hAnsi="Times New Roman" w:cs="Times New Roman"/>
        </w:rPr>
        <w:t>and classification trees with the R package ‘</w:t>
      </w:r>
      <w:proofErr w:type="spellStart"/>
      <w:r w:rsidRPr="000304E2">
        <w:rPr>
          <w:rFonts w:ascii="Times New Roman" w:hAnsi="Times New Roman" w:cs="Times New Roman"/>
        </w:rPr>
        <w:t>rpart</w:t>
      </w:r>
      <w:proofErr w:type="spellEnd"/>
      <w:r w:rsidRPr="000304E2">
        <w:rPr>
          <w:rFonts w:ascii="Times New Roman" w:hAnsi="Times New Roman" w:cs="Times New Roman"/>
        </w:rPr>
        <w:t xml:space="preserve">’ </w:t>
      </w:r>
      <w:r w:rsidRPr="000304E2">
        <w:rPr>
          <w:rFonts w:ascii="Times New Roman" w:hAnsi="Times New Roman" w:cs="Times New Roman"/>
          <w:noProof/>
        </w:rPr>
        <w:t>(Therneau and Atkinson 2018)</w:t>
      </w:r>
      <w:r w:rsidRPr="000304E2">
        <w:rPr>
          <w:rFonts w:ascii="Times New Roman" w:hAnsi="Times New Roman" w:cs="Times New Roman"/>
        </w:rPr>
        <w:t>.</w:t>
      </w:r>
    </w:p>
    <w:p w14:paraId="2C928766" w14:textId="7FFDCC13" w:rsidR="009F5507" w:rsidRPr="004F6BE4" w:rsidRDefault="009F5507" w:rsidP="004F6BE4">
      <w:pPr>
        <w:rPr>
          <w:rFonts w:ascii="Times New Roman" w:hAnsi="Times New Roman" w:cs="Times New Roman"/>
        </w:rPr>
      </w:pPr>
      <w:r w:rsidRPr="004F6BE4">
        <w:rPr>
          <w:rFonts w:ascii="Times New Roman" w:hAnsi="Times New Roman" w:cs="Times New Roman"/>
          <w:b/>
          <w:bCs/>
        </w:rPr>
        <w:lastRenderedPageBreak/>
        <w:t>References</w:t>
      </w:r>
    </w:p>
    <w:p w14:paraId="1E575CF6" w14:textId="468AE91E" w:rsidR="00A41BD3" w:rsidRPr="004F6BE4" w:rsidRDefault="00A41BD3" w:rsidP="009F5507">
      <w:pPr>
        <w:pStyle w:val="BodyText"/>
        <w:rPr>
          <w:sz w:val="22"/>
          <w:szCs w:val="22"/>
          <w:lang w:val="en-AU"/>
        </w:rPr>
      </w:pPr>
      <w:r w:rsidRPr="004F6BE4">
        <w:rPr>
          <w:sz w:val="22"/>
          <w:szCs w:val="22"/>
          <w:lang w:val="en-AU"/>
        </w:rPr>
        <w:t xml:space="preserve">Brodie, G., Holland, E., </w:t>
      </w:r>
      <w:proofErr w:type="spellStart"/>
      <w:r w:rsidRPr="004F6BE4">
        <w:rPr>
          <w:sz w:val="22"/>
          <w:szCs w:val="22"/>
          <w:lang w:val="en-AU"/>
        </w:rPr>
        <w:t>N’Yeurt</w:t>
      </w:r>
      <w:proofErr w:type="spellEnd"/>
      <w:r w:rsidRPr="004F6BE4">
        <w:rPr>
          <w:sz w:val="22"/>
          <w:szCs w:val="22"/>
          <w:lang w:val="en-AU"/>
        </w:rPr>
        <w:t xml:space="preserve">, A. D. R., </w:t>
      </w:r>
      <w:proofErr w:type="spellStart"/>
      <w:r w:rsidRPr="004F6BE4">
        <w:rPr>
          <w:sz w:val="22"/>
          <w:szCs w:val="22"/>
          <w:lang w:val="en-AU"/>
        </w:rPr>
        <w:t>Soapi</w:t>
      </w:r>
      <w:proofErr w:type="spellEnd"/>
      <w:r w:rsidRPr="004F6BE4">
        <w:rPr>
          <w:sz w:val="22"/>
          <w:szCs w:val="22"/>
          <w:lang w:val="en-AU"/>
        </w:rPr>
        <w:t>, K., &amp; Hills, J. (2020). Seagrasses and seagrass habitats in</w:t>
      </w:r>
      <w:r w:rsidRPr="004F6BE4">
        <w:rPr>
          <w:sz w:val="22"/>
          <w:szCs w:val="22"/>
          <w:lang w:val="en-AU"/>
        </w:rPr>
        <w:tab/>
        <w:t>Pacific small island developing states: Potential loss of benefits via human disturbance and climate</w:t>
      </w:r>
      <w:r w:rsidRPr="004F6BE4">
        <w:rPr>
          <w:sz w:val="22"/>
          <w:szCs w:val="22"/>
          <w:lang w:val="en-AU"/>
        </w:rPr>
        <w:tab/>
        <w:t xml:space="preserve">change. </w:t>
      </w:r>
      <w:r w:rsidRPr="004F6BE4">
        <w:rPr>
          <w:i/>
          <w:iCs/>
          <w:sz w:val="22"/>
          <w:szCs w:val="22"/>
          <w:lang w:val="en-AU"/>
        </w:rPr>
        <w:t>Marine Pollution Bulletin</w:t>
      </w:r>
      <w:r w:rsidRPr="004F6BE4">
        <w:rPr>
          <w:sz w:val="22"/>
          <w:szCs w:val="22"/>
          <w:lang w:val="en-AU"/>
        </w:rPr>
        <w:t xml:space="preserve">, </w:t>
      </w:r>
      <w:r w:rsidRPr="004F6BE4">
        <w:rPr>
          <w:i/>
          <w:iCs/>
          <w:sz w:val="22"/>
          <w:szCs w:val="22"/>
          <w:lang w:val="en-AU"/>
        </w:rPr>
        <w:t>160</w:t>
      </w:r>
      <w:r w:rsidRPr="004F6BE4">
        <w:rPr>
          <w:sz w:val="22"/>
          <w:szCs w:val="22"/>
          <w:lang w:val="en-AU"/>
        </w:rPr>
        <w:t xml:space="preserve">. </w:t>
      </w:r>
      <w:hyperlink r:id="rId18" w:history="1">
        <w:r w:rsidRPr="004F6BE4">
          <w:rPr>
            <w:rStyle w:val="Hyperlink"/>
            <w:sz w:val="22"/>
            <w:szCs w:val="22"/>
            <w:lang w:val="en-AU"/>
          </w:rPr>
          <w:t>https://doi.org/10.1016/j.marpolbul.2020.111573</w:t>
        </w:r>
      </w:hyperlink>
    </w:p>
    <w:p w14:paraId="0C612907" w14:textId="36A487B3" w:rsidR="009F5507" w:rsidRPr="004F6BE4" w:rsidRDefault="009F5507" w:rsidP="009F5507">
      <w:pPr>
        <w:pStyle w:val="BodyText"/>
        <w:rPr>
          <w:sz w:val="22"/>
          <w:szCs w:val="22"/>
        </w:rPr>
      </w:pPr>
      <w:r w:rsidRPr="004F6BE4">
        <w:rPr>
          <w:sz w:val="22"/>
          <w:szCs w:val="22"/>
        </w:rPr>
        <w:t xml:space="preserve">de </w:t>
      </w:r>
      <w:proofErr w:type="spellStart"/>
      <w:r w:rsidRPr="004F6BE4">
        <w:rPr>
          <w:sz w:val="22"/>
          <w:szCs w:val="22"/>
        </w:rPr>
        <w:t>los</w:t>
      </w:r>
      <w:proofErr w:type="spellEnd"/>
      <w:r w:rsidRPr="004F6BE4">
        <w:rPr>
          <w:sz w:val="22"/>
          <w:szCs w:val="22"/>
        </w:rPr>
        <w:t xml:space="preserve"> Santos, C. B., Krause-Jensen, D., </w:t>
      </w:r>
      <w:proofErr w:type="spellStart"/>
      <w:r w:rsidRPr="004F6BE4">
        <w:rPr>
          <w:sz w:val="22"/>
          <w:szCs w:val="22"/>
        </w:rPr>
        <w:t>Alcoverro</w:t>
      </w:r>
      <w:proofErr w:type="spellEnd"/>
      <w:r w:rsidRPr="004F6BE4">
        <w:rPr>
          <w:sz w:val="22"/>
          <w:szCs w:val="22"/>
        </w:rPr>
        <w:t xml:space="preserve">, T., </w:t>
      </w:r>
      <w:proofErr w:type="spellStart"/>
      <w:r w:rsidRPr="004F6BE4">
        <w:rPr>
          <w:sz w:val="22"/>
          <w:szCs w:val="22"/>
        </w:rPr>
        <w:t>Marbà</w:t>
      </w:r>
      <w:proofErr w:type="spellEnd"/>
      <w:r w:rsidRPr="004F6BE4">
        <w:rPr>
          <w:sz w:val="22"/>
          <w:szCs w:val="22"/>
        </w:rPr>
        <w:t xml:space="preserve">, N., Duarte, C. M., van </w:t>
      </w:r>
      <w:proofErr w:type="spellStart"/>
      <w:r w:rsidRPr="004F6BE4">
        <w:rPr>
          <w:sz w:val="22"/>
          <w:szCs w:val="22"/>
        </w:rPr>
        <w:t>Katwijk</w:t>
      </w:r>
      <w:proofErr w:type="spellEnd"/>
      <w:r w:rsidRPr="004F6BE4">
        <w:rPr>
          <w:sz w:val="22"/>
          <w:szCs w:val="22"/>
        </w:rPr>
        <w:t xml:space="preserve">, M. M., Pérez, </w:t>
      </w:r>
      <w:r w:rsidRPr="004F6BE4">
        <w:rPr>
          <w:sz w:val="22"/>
          <w:szCs w:val="22"/>
        </w:rPr>
        <w:tab/>
      </w:r>
      <w:r w:rsidRPr="004F6BE4">
        <w:rPr>
          <w:sz w:val="22"/>
          <w:szCs w:val="22"/>
        </w:rPr>
        <w:tab/>
        <w:t>M., Romero, J., Sánchez-</w:t>
      </w:r>
      <w:proofErr w:type="spellStart"/>
      <w:r w:rsidRPr="004F6BE4">
        <w:rPr>
          <w:sz w:val="22"/>
          <w:szCs w:val="22"/>
        </w:rPr>
        <w:t>Lizaso</w:t>
      </w:r>
      <w:proofErr w:type="spellEnd"/>
      <w:r w:rsidRPr="004F6BE4">
        <w:rPr>
          <w:sz w:val="22"/>
          <w:szCs w:val="22"/>
        </w:rPr>
        <w:t xml:space="preserve">, J. L., Roca, G., </w:t>
      </w:r>
      <w:proofErr w:type="spellStart"/>
      <w:r w:rsidRPr="004F6BE4">
        <w:rPr>
          <w:sz w:val="22"/>
          <w:szCs w:val="22"/>
        </w:rPr>
        <w:t>Jankowska</w:t>
      </w:r>
      <w:proofErr w:type="spellEnd"/>
      <w:r w:rsidRPr="004F6BE4">
        <w:rPr>
          <w:sz w:val="22"/>
          <w:szCs w:val="22"/>
        </w:rPr>
        <w:t>, E., Pérez-</w:t>
      </w:r>
      <w:proofErr w:type="spellStart"/>
      <w:r w:rsidRPr="004F6BE4">
        <w:rPr>
          <w:sz w:val="22"/>
          <w:szCs w:val="22"/>
        </w:rPr>
        <w:t>Lloréns</w:t>
      </w:r>
      <w:proofErr w:type="spellEnd"/>
      <w:r w:rsidRPr="004F6BE4">
        <w:rPr>
          <w:sz w:val="22"/>
          <w:szCs w:val="22"/>
        </w:rPr>
        <w:t>, J. L., Fournier, J.,</w:t>
      </w:r>
      <w:r w:rsidRPr="004F6BE4">
        <w:rPr>
          <w:sz w:val="22"/>
          <w:szCs w:val="22"/>
        </w:rPr>
        <w:tab/>
        <w:t xml:space="preserve"> </w:t>
      </w:r>
      <w:r w:rsidRPr="004F6BE4">
        <w:rPr>
          <w:sz w:val="22"/>
          <w:szCs w:val="22"/>
        </w:rPr>
        <w:tab/>
      </w:r>
      <w:proofErr w:type="spellStart"/>
      <w:r w:rsidRPr="004F6BE4">
        <w:rPr>
          <w:sz w:val="22"/>
          <w:szCs w:val="22"/>
        </w:rPr>
        <w:t>Montefalcone</w:t>
      </w:r>
      <w:proofErr w:type="spellEnd"/>
      <w:r w:rsidRPr="004F6BE4">
        <w:rPr>
          <w:sz w:val="22"/>
          <w:szCs w:val="22"/>
        </w:rPr>
        <w:t xml:space="preserve">, M., </w:t>
      </w:r>
      <w:proofErr w:type="spellStart"/>
      <w:r w:rsidRPr="004F6BE4">
        <w:rPr>
          <w:sz w:val="22"/>
          <w:szCs w:val="22"/>
        </w:rPr>
        <w:t>Pergent</w:t>
      </w:r>
      <w:proofErr w:type="spellEnd"/>
      <w:r w:rsidRPr="004F6BE4">
        <w:rPr>
          <w:sz w:val="22"/>
          <w:szCs w:val="22"/>
        </w:rPr>
        <w:t xml:space="preserve">, G., Ruiz, J. M., </w:t>
      </w:r>
      <w:proofErr w:type="spellStart"/>
      <w:r w:rsidRPr="004F6BE4">
        <w:rPr>
          <w:sz w:val="22"/>
          <w:szCs w:val="22"/>
        </w:rPr>
        <w:t>Cabaço</w:t>
      </w:r>
      <w:proofErr w:type="spellEnd"/>
      <w:r w:rsidRPr="004F6BE4">
        <w:rPr>
          <w:sz w:val="22"/>
          <w:szCs w:val="22"/>
        </w:rPr>
        <w:t xml:space="preserve">, S., Cook, K., Wilkes, R. J., … Santos, R. (2019). </w:t>
      </w:r>
      <w:r w:rsidRPr="004F6BE4">
        <w:rPr>
          <w:sz w:val="22"/>
          <w:szCs w:val="22"/>
        </w:rPr>
        <w:tab/>
        <w:t xml:space="preserve">Recent trend reversal for declining European seagrass meadows. </w:t>
      </w:r>
      <w:r w:rsidRPr="004F6BE4">
        <w:rPr>
          <w:i/>
          <w:iCs/>
          <w:sz w:val="22"/>
          <w:szCs w:val="22"/>
        </w:rPr>
        <w:t>Nature Communications</w:t>
      </w:r>
      <w:r w:rsidRPr="004F6BE4">
        <w:rPr>
          <w:sz w:val="22"/>
          <w:szCs w:val="22"/>
        </w:rPr>
        <w:t xml:space="preserve">, </w:t>
      </w:r>
      <w:r w:rsidRPr="004F6BE4">
        <w:rPr>
          <w:i/>
          <w:iCs/>
          <w:sz w:val="22"/>
          <w:szCs w:val="22"/>
        </w:rPr>
        <w:t>10</w:t>
      </w:r>
      <w:r w:rsidRPr="004F6BE4">
        <w:rPr>
          <w:sz w:val="22"/>
          <w:szCs w:val="22"/>
        </w:rPr>
        <w:t xml:space="preserve">(1). </w:t>
      </w:r>
      <w:r w:rsidRPr="004F6BE4">
        <w:rPr>
          <w:sz w:val="22"/>
          <w:szCs w:val="22"/>
        </w:rPr>
        <w:tab/>
      </w:r>
      <w:hyperlink r:id="rId19" w:history="1">
        <w:r w:rsidRPr="004F6BE4">
          <w:rPr>
            <w:rStyle w:val="Hyperlink"/>
            <w:sz w:val="22"/>
            <w:szCs w:val="22"/>
          </w:rPr>
          <w:t>https://doi.org/10.1038/s41467-019-11340-4</w:t>
        </w:r>
      </w:hyperlink>
    </w:p>
    <w:p w14:paraId="066FA446" w14:textId="77777777" w:rsidR="009F5507" w:rsidRPr="004F6BE4" w:rsidRDefault="009F5507" w:rsidP="009F5507">
      <w:pPr>
        <w:autoSpaceDE w:val="0"/>
        <w:autoSpaceDN w:val="0"/>
        <w:rPr>
          <w:rFonts w:ascii="Times New Roman" w:eastAsia="Times New Roman" w:hAnsi="Times New Roman" w:cs="Times New Roman"/>
        </w:rPr>
      </w:pPr>
      <w:r w:rsidRPr="004F6BE4">
        <w:rPr>
          <w:rFonts w:ascii="Times New Roman" w:eastAsia="Times New Roman" w:hAnsi="Times New Roman" w:cs="Times New Roman"/>
        </w:rPr>
        <w:t xml:space="preserve">Duke, N. C., Bell, A. M., Pederson, D. K., </w:t>
      </w:r>
      <w:proofErr w:type="spellStart"/>
      <w:r w:rsidRPr="004F6BE4">
        <w:rPr>
          <w:rFonts w:ascii="Times New Roman" w:eastAsia="Times New Roman" w:hAnsi="Times New Roman" w:cs="Times New Roman"/>
        </w:rPr>
        <w:t>Roelfsema</w:t>
      </w:r>
      <w:proofErr w:type="spellEnd"/>
      <w:r w:rsidRPr="004F6BE4">
        <w:rPr>
          <w:rFonts w:ascii="Times New Roman" w:eastAsia="Times New Roman" w:hAnsi="Times New Roman" w:cs="Times New Roman"/>
        </w:rPr>
        <w:t xml:space="preserve">, C. M., &amp; Nash, S. B. (2005). Herbicides implicated as the </w:t>
      </w:r>
      <w:r w:rsidRPr="004F6BE4">
        <w:rPr>
          <w:rFonts w:ascii="Times New Roman" w:eastAsia="Times New Roman" w:hAnsi="Times New Roman" w:cs="Times New Roman"/>
        </w:rPr>
        <w:tab/>
        <w:t>cause of severe mangrove dieback in the Mackay region, NE Australia: Consequences for marine plant</w:t>
      </w:r>
      <w:r w:rsidRPr="004F6BE4">
        <w:rPr>
          <w:rFonts w:ascii="Times New Roman" w:eastAsia="Times New Roman" w:hAnsi="Times New Roman" w:cs="Times New Roman"/>
        </w:rPr>
        <w:tab/>
      </w:r>
      <w:r w:rsidRPr="004F6BE4">
        <w:rPr>
          <w:rFonts w:ascii="Times New Roman" w:eastAsia="Times New Roman" w:hAnsi="Times New Roman" w:cs="Times New Roman"/>
        </w:rPr>
        <w:tab/>
        <w:t xml:space="preserve"> habitats of the GBR World Heritage Area. </w:t>
      </w:r>
      <w:r w:rsidRPr="004F6BE4">
        <w:rPr>
          <w:rFonts w:ascii="Times New Roman" w:eastAsia="Times New Roman" w:hAnsi="Times New Roman" w:cs="Times New Roman"/>
          <w:i/>
          <w:iCs/>
        </w:rPr>
        <w:t>Marine Pollution Bulletin</w:t>
      </w:r>
      <w:r w:rsidRPr="004F6BE4">
        <w:rPr>
          <w:rFonts w:ascii="Times New Roman" w:eastAsia="Times New Roman" w:hAnsi="Times New Roman" w:cs="Times New Roman"/>
        </w:rPr>
        <w:t xml:space="preserve">, </w:t>
      </w:r>
      <w:r w:rsidRPr="004F6BE4">
        <w:rPr>
          <w:rFonts w:ascii="Times New Roman" w:eastAsia="Times New Roman" w:hAnsi="Times New Roman" w:cs="Times New Roman"/>
          <w:i/>
          <w:iCs/>
        </w:rPr>
        <w:t>51</w:t>
      </w:r>
      <w:r w:rsidRPr="004F6BE4">
        <w:rPr>
          <w:rFonts w:ascii="Times New Roman" w:eastAsia="Times New Roman" w:hAnsi="Times New Roman" w:cs="Times New Roman"/>
        </w:rPr>
        <w:t>(1–4), 308–324</w:t>
      </w:r>
      <w:r w:rsidRPr="004F6BE4">
        <w:rPr>
          <w:rFonts w:ascii="Times New Roman" w:eastAsia="Times New Roman" w:hAnsi="Times New Roman" w:cs="Times New Roman"/>
        </w:rPr>
        <w:tab/>
      </w:r>
      <w:r w:rsidRPr="004F6BE4">
        <w:rPr>
          <w:rFonts w:ascii="Times New Roman" w:eastAsia="Times New Roman" w:hAnsi="Times New Roman" w:cs="Times New Roman"/>
        </w:rPr>
        <w:tab/>
      </w:r>
      <w:r w:rsidRPr="004F6BE4">
        <w:rPr>
          <w:rFonts w:ascii="Times New Roman" w:eastAsia="Times New Roman" w:hAnsi="Times New Roman" w:cs="Times New Roman"/>
        </w:rPr>
        <w:tab/>
      </w:r>
      <w:r w:rsidRPr="004F6BE4">
        <w:rPr>
          <w:rFonts w:ascii="Times New Roman" w:eastAsia="Times New Roman" w:hAnsi="Times New Roman" w:cs="Times New Roman"/>
        </w:rPr>
        <w:tab/>
        <w:t xml:space="preserve"> https://doi.org/10.1016/j.marpolbul.2004.10.040</w:t>
      </w:r>
    </w:p>
    <w:p w14:paraId="03FDC3C9" w14:textId="77777777"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lang w:val="en-GB"/>
        </w:rPr>
      </w:pPr>
      <w:r w:rsidRPr="004F6BE4">
        <w:rPr>
          <w:rFonts w:ascii="Times New Roman" w:hAnsi="Times New Roman" w:cs="Times New Roman"/>
        </w:rPr>
        <w:fldChar w:fldCharType="begin" w:fldLock="1"/>
      </w:r>
      <w:r w:rsidRPr="004F6BE4">
        <w:rPr>
          <w:rFonts w:ascii="Times New Roman" w:hAnsi="Times New Roman" w:cs="Times New Roman"/>
        </w:rPr>
        <w:instrText xml:space="preserve">ADDIN Mendeley Bibliography CSL_BIBLIOGRAPHY </w:instrText>
      </w:r>
      <w:r w:rsidRPr="004F6BE4">
        <w:rPr>
          <w:rFonts w:ascii="Times New Roman" w:hAnsi="Times New Roman" w:cs="Times New Roman"/>
        </w:rPr>
        <w:fldChar w:fldCharType="separate"/>
      </w:r>
      <w:r w:rsidRPr="004F6BE4">
        <w:rPr>
          <w:rFonts w:ascii="Times New Roman" w:hAnsi="Times New Roman" w:cs="Times New Roman"/>
          <w:noProof/>
          <w:lang w:val="en-GB"/>
        </w:rPr>
        <w:t xml:space="preserve">Dunic, J. C., Brown, C. J., Connolly, R. M., Turschwell, M. P., &amp; Côté, I. M. (2021). Long-term declines and recovery of meadow area across the world’s seagrass bioregions. </w:t>
      </w:r>
      <w:r w:rsidRPr="004F6BE4">
        <w:rPr>
          <w:rFonts w:ascii="Times New Roman" w:hAnsi="Times New Roman" w:cs="Times New Roman"/>
          <w:i/>
          <w:iCs/>
          <w:noProof/>
          <w:lang w:val="en-GB"/>
        </w:rPr>
        <w:t>Global Change Biology</w:t>
      </w:r>
      <w:r w:rsidRPr="004F6BE4">
        <w:rPr>
          <w:rFonts w:ascii="Times New Roman" w:hAnsi="Times New Roman" w:cs="Times New Roman"/>
          <w:noProof/>
          <w:lang w:val="en-GB"/>
        </w:rPr>
        <w:t xml:space="preserve">, </w:t>
      </w:r>
      <w:r w:rsidRPr="004F6BE4">
        <w:rPr>
          <w:rFonts w:ascii="Times New Roman" w:hAnsi="Times New Roman" w:cs="Times New Roman"/>
          <w:i/>
          <w:iCs/>
          <w:noProof/>
          <w:lang w:val="en-GB"/>
        </w:rPr>
        <w:t>27</w:t>
      </w:r>
      <w:r w:rsidRPr="004F6BE4">
        <w:rPr>
          <w:rFonts w:ascii="Times New Roman" w:hAnsi="Times New Roman" w:cs="Times New Roman"/>
          <w:noProof/>
          <w:lang w:val="en-GB"/>
        </w:rPr>
        <w:t>, 4096–4109. https://doi.org/10.1111/gcb.15684</w:t>
      </w:r>
    </w:p>
    <w:p w14:paraId="394CABE5" w14:textId="77777777"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lang w:val="en-GB"/>
        </w:rPr>
      </w:pPr>
    </w:p>
    <w:p w14:paraId="4D6B3AAB" w14:textId="77777777"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lang w:val="en-GB"/>
        </w:rPr>
      </w:pPr>
      <w:r w:rsidRPr="004F6BE4">
        <w:rPr>
          <w:rFonts w:ascii="Times New Roman" w:hAnsi="Times New Roman" w:cs="Times New Roman"/>
          <w:noProof/>
          <w:lang w:val="en-GB"/>
        </w:rPr>
        <w:t xml:space="preserve">Dunn, P. K., &amp; Smyth, G. K. (1996). Randomized Quantile Residuals. </w:t>
      </w:r>
      <w:r w:rsidRPr="004F6BE4">
        <w:rPr>
          <w:rFonts w:ascii="Times New Roman" w:hAnsi="Times New Roman" w:cs="Times New Roman"/>
          <w:i/>
          <w:iCs/>
          <w:noProof/>
          <w:lang w:val="en-GB"/>
        </w:rPr>
        <w:t>Journal of Computational and Graphical Statistics</w:t>
      </w:r>
      <w:r w:rsidRPr="004F6BE4">
        <w:rPr>
          <w:rFonts w:ascii="Times New Roman" w:hAnsi="Times New Roman" w:cs="Times New Roman"/>
          <w:noProof/>
          <w:lang w:val="en-GB"/>
        </w:rPr>
        <w:t xml:space="preserve">, </w:t>
      </w:r>
      <w:r w:rsidRPr="004F6BE4">
        <w:rPr>
          <w:rFonts w:ascii="Times New Roman" w:hAnsi="Times New Roman" w:cs="Times New Roman"/>
          <w:i/>
          <w:iCs/>
          <w:noProof/>
          <w:lang w:val="en-GB"/>
        </w:rPr>
        <w:t>5</w:t>
      </w:r>
      <w:r w:rsidRPr="004F6BE4">
        <w:rPr>
          <w:rFonts w:ascii="Times New Roman" w:hAnsi="Times New Roman" w:cs="Times New Roman"/>
          <w:noProof/>
          <w:lang w:val="en-GB"/>
        </w:rPr>
        <w:t>(3), 236–244.</w:t>
      </w:r>
    </w:p>
    <w:p w14:paraId="25B6A118" w14:textId="77777777"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lang w:val="en-GB"/>
        </w:rPr>
      </w:pPr>
    </w:p>
    <w:p w14:paraId="6A4EC991" w14:textId="77777777"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lang w:val="en-GB"/>
        </w:rPr>
      </w:pPr>
      <w:r w:rsidRPr="004F6BE4">
        <w:rPr>
          <w:rFonts w:ascii="Times New Roman" w:hAnsi="Times New Roman" w:cs="Times New Roman"/>
          <w:noProof/>
          <w:lang w:val="en-GB"/>
        </w:rPr>
        <w:t xml:space="preserve">Geweke, J. (1992). Evaluating the accuracy of sampling-based approaches to the calculations of posterior moments. </w:t>
      </w:r>
      <w:r w:rsidRPr="004F6BE4">
        <w:rPr>
          <w:rFonts w:ascii="Times New Roman" w:hAnsi="Times New Roman" w:cs="Times New Roman"/>
          <w:i/>
          <w:iCs/>
          <w:noProof/>
          <w:lang w:val="en-GB"/>
        </w:rPr>
        <w:t>Bayesian Statistics</w:t>
      </w:r>
      <w:r w:rsidRPr="004F6BE4">
        <w:rPr>
          <w:rFonts w:ascii="Times New Roman" w:hAnsi="Times New Roman" w:cs="Times New Roman"/>
          <w:noProof/>
          <w:lang w:val="en-GB"/>
        </w:rPr>
        <w:t xml:space="preserve">, </w:t>
      </w:r>
      <w:r w:rsidRPr="004F6BE4">
        <w:rPr>
          <w:rFonts w:ascii="Times New Roman" w:hAnsi="Times New Roman" w:cs="Times New Roman"/>
          <w:i/>
          <w:iCs/>
          <w:noProof/>
          <w:lang w:val="en-GB"/>
        </w:rPr>
        <w:t>4</w:t>
      </w:r>
      <w:r w:rsidRPr="004F6BE4">
        <w:rPr>
          <w:rFonts w:ascii="Times New Roman" w:hAnsi="Times New Roman" w:cs="Times New Roman"/>
          <w:noProof/>
          <w:lang w:val="en-GB"/>
        </w:rPr>
        <w:t>, 641–649.</w:t>
      </w:r>
    </w:p>
    <w:p w14:paraId="6B97B430" w14:textId="77777777"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lang w:val="en-GB"/>
        </w:rPr>
      </w:pPr>
    </w:p>
    <w:p w14:paraId="35E88096" w14:textId="77777777"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lang w:val="en-GB"/>
        </w:rPr>
      </w:pPr>
      <w:r w:rsidRPr="004F6BE4">
        <w:rPr>
          <w:rFonts w:ascii="Times New Roman" w:hAnsi="Times New Roman" w:cs="Times New Roman"/>
          <w:noProof/>
          <w:lang w:val="en-GB"/>
        </w:rPr>
        <w:t xml:space="preserve">Goldberg, L., Lagomasino, D., Thomas, N., &amp; Fatoyinbo, T. (2020). Global declines in human‐driven mangrove loss. </w:t>
      </w:r>
      <w:r w:rsidRPr="004F6BE4">
        <w:rPr>
          <w:rFonts w:ascii="Times New Roman" w:hAnsi="Times New Roman" w:cs="Times New Roman"/>
          <w:i/>
          <w:iCs/>
          <w:noProof/>
          <w:lang w:val="en-GB"/>
        </w:rPr>
        <w:t>Global Change Biology</w:t>
      </w:r>
      <w:r w:rsidRPr="004F6BE4">
        <w:rPr>
          <w:rFonts w:ascii="Times New Roman" w:hAnsi="Times New Roman" w:cs="Times New Roman"/>
          <w:noProof/>
          <w:lang w:val="en-GB"/>
        </w:rPr>
        <w:t>, gcb.15275. https://doi.org/10.1111/gcb.15275</w:t>
      </w:r>
    </w:p>
    <w:p w14:paraId="3399CABE" w14:textId="77777777"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lang w:val="en-GB"/>
        </w:rPr>
      </w:pPr>
    </w:p>
    <w:p w14:paraId="2E03A31B" w14:textId="77777777"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lang w:val="en-GB"/>
        </w:rPr>
      </w:pPr>
      <w:r w:rsidRPr="004F6BE4">
        <w:rPr>
          <w:rFonts w:ascii="Times New Roman" w:hAnsi="Times New Roman" w:cs="Times New Roman"/>
          <w:noProof/>
          <w:lang w:val="en-GB"/>
        </w:rPr>
        <w:t xml:space="preserve">Hui, F. (2020). boral: Bayesian Ordination and Regression Analysis. </w:t>
      </w:r>
      <w:r w:rsidRPr="004F6BE4">
        <w:rPr>
          <w:rFonts w:ascii="Times New Roman" w:hAnsi="Times New Roman" w:cs="Times New Roman"/>
          <w:i/>
          <w:iCs/>
          <w:noProof/>
          <w:lang w:val="en-GB"/>
        </w:rPr>
        <w:t>R Package Version 1.8.1</w:t>
      </w:r>
      <w:r w:rsidRPr="004F6BE4">
        <w:rPr>
          <w:rFonts w:ascii="Times New Roman" w:hAnsi="Times New Roman" w:cs="Times New Roman"/>
          <w:noProof/>
          <w:lang w:val="en-GB"/>
        </w:rPr>
        <w:t>.</w:t>
      </w:r>
    </w:p>
    <w:p w14:paraId="5C95129B" w14:textId="77777777"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lang w:val="en-GB"/>
        </w:rPr>
      </w:pPr>
    </w:p>
    <w:p w14:paraId="5DF7AF4E" w14:textId="77777777" w:rsidR="009F5507" w:rsidRPr="004F6BE4" w:rsidRDefault="009F5507" w:rsidP="00930918">
      <w:pPr>
        <w:autoSpaceDE w:val="0"/>
        <w:autoSpaceDN w:val="0"/>
        <w:spacing w:line="240" w:lineRule="auto"/>
        <w:rPr>
          <w:rFonts w:ascii="Times New Roman" w:eastAsia="Times New Roman" w:hAnsi="Times New Roman" w:cs="Times New Roman"/>
        </w:rPr>
      </w:pPr>
      <w:r w:rsidRPr="004F6BE4">
        <w:rPr>
          <w:rFonts w:ascii="Times New Roman" w:eastAsia="Times New Roman" w:hAnsi="Times New Roman" w:cs="Times New Roman"/>
        </w:rPr>
        <w:t xml:space="preserve">King, J., Alexander, F., &amp; Brodie, J. (2013). Regulation of pesticides in Australia: The Great Barrier Reef as a case </w:t>
      </w:r>
      <w:r w:rsidRPr="004F6BE4">
        <w:rPr>
          <w:rFonts w:ascii="Times New Roman" w:eastAsia="Times New Roman" w:hAnsi="Times New Roman" w:cs="Times New Roman"/>
        </w:rPr>
        <w:tab/>
        <w:t xml:space="preserve">study for evaluating effectiveness. </w:t>
      </w:r>
      <w:r w:rsidRPr="004F6BE4">
        <w:rPr>
          <w:rFonts w:ascii="Times New Roman" w:eastAsia="Times New Roman" w:hAnsi="Times New Roman" w:cs="Times New Roman"/>
          <w:i/>
          <w:iCs/>
        </w:rPr>
        <w:t>Agriculture, Ecosystems and Environment</w:t>
      </w:r>
      <w:r w:rsidRPr="004F6BE4">
        <w:rPr>
          <w:rFonts w:ascii="Times New Roman" w:eastAsia="Times New Roman" w:hAnsi="Times New Roman" w:cs="Times New Roman"/>
        </w:rPr>
        <w:t xml:space="preserve">, </w:t>
      </w:r>
      <w:r w:rsidRPr="004F6BE4">
        <w:rPr>
          <w:rFonts w:ascii="Times New Roman" w:eastAsia="Times New Roman" w:hAnsi="Times New Roman" w:cs="Times New Roman"/>
          <w:i/>
          <w:iCs/>
        </w:rPr>
        <w:t>180</w:t>
      </w:r>
      <w:r w:rsidRPr="004F6BE4">
        <w:rPr>
          <w:rFonts w:ascii="Times New Roman" w:eastAsia="Times New Roman" w:hAnsi="Times New Roman" w:cs="Times New Roman"/>
        </w:rPr>
        <w:t xml:space="preserve">, 54–67. </w:t>
      </w:r>
      <w:r w:rsidRPr="004F6BE4">
        <w:rPr>
          <w:rFonts w:ascii="Times New Roman" w:eastAsia="Times New Roman" w:hAnsi="Times New Roman" w:cs="Times New Roman"/>
        </w:rPr>
        <w:tab/>
        <w:t>https://doi.org/10.1016/j.agee.2012.07.001</w:t>
      </w:r>
    </w:p>
    <w:p w14:paraId="020D2BDD" w14:textId="1175A950" w:rsidR="009F5507" w:rsidRPr="004F6BE4" w:rsidRDefault="009F5507" w:rsidP="00930918">
      <w:pPr>
        <w:autoSpaceDE w:val="0"/>
        <w:autoSpaceDN w:val="0"/>
        <w:spacing w:line="240" w:lineRule="auto"/>
        <w:rPr>
          <w:rFonts w:ascii="Times New Roman" w:eastAsia="Times New Roman" w:hAnsi="Times New Roman" w:cs="Times New Roman"/>
        </w:rPr>
      </w:pPr>
      <w:r w:rsidRPr="004F6BE4">
        <w:rPr>
          <w:rFonts w:ascii="Times New Roman" w:eastAsia="Times New Roman" w:hAnsi="Times New Roman" w:cs="Times New Roman"/>
        </w:rPr>
        <w:t xml:space="preserve">Kletou, D., Kleitou, P., Savva, I., Attrill, M. J., Antoniou, C., &amp; Hall-Spencer, J. M. (2018). Seagrass recovery after </w:t>
      </w:r>
      <w:r w:rsidRPr="004F6BE4">
        <w:rPr>
          <w:rFonts w:ascii="Times New Roman" w:eastAsia="Times New Roman" w:hAnsi="Times New Roman" w:cs="Times New Roman"/>
        </w:rPr>
        <w:tab/>
        <w:t xml:space="preserve">fish farm relocation in the eastern Mediterranean. </w:t>
      </w:r>
      <w:r w:rsidRPr="004F6BE4">
        <w:rPr>
          <w:rFonts w:ascii="Times New Roman" w:eastAsia="Times New Roman" w:hAnsi="Times New Roman" w:cs="Times New Roman"/>
          <w:i/>
          <w:iCs/>
        </w:rPr>
        <w:t>Marine Environmental Research</w:t>
      </w:r>
      <w:r w:rsidRPr="004F6BE4">
        <w:rPr>
          <w:rFonts w:ascii="Times New Roman" w:eastAsia="Times New Roman" w:hAnsi="Times New Roman" w:cs="Times New Roman"/>
        </w:rPr>
        <w:t xml:space="preserve">, </w:t>
      </w:r>
      <w:r w:rsidRPr="004F6BE4">
        <w:rPr>
          <w:rFonts w:ascii="Times New Roman" w:eastAsia="Times New Roman" w:hAnsi="Times New Roman" w:cs="Times New Roman"/>
          <w:i/>
          <w:iCs/>
        </w:rPr>
        <w:t>140</w:t>
      </w:r>
      <w:r w:rsidRPr="004F6BE4">
        <w:rPr>
          <w:rFonts w:ascii="Times New Roman" w:eastAsia="Times New Roman" w:hAnsi="Times New Roman" w:cs="Times New Roman"/>
        </w:rPr>
        <w:t xml:space="preserve">, 221–233. </w:t>
      </w:r>
      <w:r w:rsidRPr="004F6BE4">
        <w:rPr>
          <w:rFonts w:ascii="Times New Roman" w:eastAsia="Times New Roman" w:hAnsi="Times New Roman" w:cs="Times New Roman"/>
        </w:rPr>
        <w:tab/>
        <w:t>https://doi.org/10.1016/j.marenvres.2018.06.007</w:t>
      </w:r>
    </w:p>
    <w:p w14:paraId="4E587FAC" w14:textId="77777777" w:rsidR="009F5507" w:rsidRPr="004F6BE4" w:rsidRDefault="009F5507" w:rsidP="00930918">
      <w:pPr>
        <w:autoSpaceDE w:val="0"/>
        <w:autoSpaceDN w:val="0"/>
        <w:spacing w:line="240" w:lineRule="auto"/>
        <w:rPr>
          <w:rFonts w:ascii="Times New Roman" w:eastAsia="Times New Roman" w:hAnsi="Times New Roman" w:cs="Times New Roman"/>
        </w:rPr>
      </w:pPr>
      <w:r w:rsidRPr="004F6BE4">
        <w:rPr>
          <w:rFonts w:ascii="Times New Roman" w:eastAsia="Times New Roman" w:hAnsi="Times New Roman" w:cs="Times New Roman"/>
        </w:rPr>
        <w:t xml:space="preserve">Long, S., Jones, P. J. S., Randriana, Z., &amp; Hadj-Hammou, J. (2021). Governance analysis of a community managed </w:t>
      </w:r>
      <w:r w:rsidRPr="004F6BE4">
        <w:rPr>
          <w:rFonts w:ascii="Times New Roman" w:eastAsia="Times New Roman" w:hAnsi="Times New Roman" w:cs="Times New Roman"/>
        </w:rPr>
        <w:tab/>
        <w:t xml:space="preserve">small-scale crab fishery in Madagascar: novel use of an empirical framework. </w:t>
      </w:r>
      <w:r w:rsidRPr="004F6BE4">
        <w:rPr>
          <w:rFonts w:ascii="Times New Roman" w:eastAsia="Times New Roman" w:hAnsi="Times New Roman" w:cs="Times New Roman"/>
          <w:i/>
          <w:iCs/>
        </w:rPr>
        <w:t>Marine Policy</w:t>
      </w:r>
      <w:r w:rsidRPr="004F6BE4">
        <w:rPr>
          <w:rFonts w:ascii="Times New Roman" w:eastAsia="Times New Roman" w:hAnsi="Times New Roman" w:cs="Times New Roman"/>
        </w:rPr>
        <w:t xml:space="preserve">, </w:t>
      </w:r>
      <w:r w:rsidRPr="004F6BE4">
        <w:rPr>
          <w:rFonts w:ascii="Times New Roman" w:eastAsia="Times New Roman" w:hAnsi="Times New Roman" w:cs="Times New Roman"/>
          <w:i/>
          <w:iCs/>
        </w:rPr>
        <w:t>127</w:t>
      </w:r>
      <w:r w:rsidRPr="004F6BE4">
        <w:rPr>
          <w:rFonts w:ascii="Times New Roman" w:eastAsia="Times New Roman" w:hAnsi="Times New Roman" w:cs="Times New Roman"/>
        </w:rPr>
        <w:t xml:space="preserve">. </w:t>
      </w:r>
      <w:r w:rsidRPr="004F6BE4">
        <w:rPr>
          <w:rFonts w:ascii="Times New Roman" w:eastAsia="Times New Roman" w:hAnsi="Times New Roman" w:cs="Times New Roman"/>
        </w:rPr>
        <w:tab/>
        <w:t>https://doi.org/10.1016/j.marpol.2017.11.022</w:t>
      </w:r>
    </w:p>
    <w:p w14:paraId="3426C0C7" w14:textId="77777777"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lang w:val="en-GB"/>
        </w:rPr>
      </w:pPr>
      <w:r w:rsidRPr="004F6BE4">
        <w:rPr>
          <w:rFonts w:ascii="Times New Roman" w:hAnsi="Times New Roman" w:cs="Times New Roman"/>
          <w:noProof/>
          <w:lang w:val="en-GB"/>
        </w:rPr>
        <w:t xml:space="preserve">Maechler, M., Rousseeuw, P., Struyf, A., Hubert, M., &amp; Hornik, K. (2019). cluster: Cluster Analysis Basics and Extensions. </w:t>
      </w:r>
      <w:r w:rsidRPr="004F6BE4">
        <w:rPr>
          <w:rFonts w:ascii="Times New Roman" w:hAnsi="Times New Roman" w:cs="Times New Roman"/>
          <w:i/>
          <w:iCs/>
          <w:noProof/>
          <w:lang w:val="en-GB"/>
        </w:rPr>
        <w:t>R Package Version 2.1.0</w:t>
      </w:r>
      <w:r w:rsidRPr="004F6BE4">
        <w:rPr>
          <w:rFonts w:ascii="Times New Roman" w:hAnsi="Times New Roman" w:cs="Times New Roman"/>
          <w:noProof/>
          <w:lang w:val="en-GB"/>
        </w:rPr>
        <w:t>.</w:t>
      </w:r>
    </w:p>
    <w:p w14:paraId="4DBE7439" w14:textId="77777777"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lang w:val="en-GB"/>
        </w:rPr>
      </w:pPr>
    </w:p>
    <w:p w14:paraId="1E7D980F" w14:textId="113F3EC9"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lang w:val="en-GB"/>
        </w:rPr>
      </w:pPr>
      <w:r w:rsidRPr="004F6BE4">
        <w:rPr>
          <w:rFonts w:ascii="Times New Roman" w:hAnsi="Times New Roman" w:cs="Times New Roman"/>
          <w:noProof/>
          <w:lang w:val="en-GB"/>
        </w:rPr>
        <w:t xml:space="preserve">R Core Team. (2018). R: A language and environment for statistical computing. </w:t>
      </w:r>
      <w:r w:rsidRPr="004F6BE4">
        <w:rPr>
          <w:rFonts w:ascii="Times New Roman" w:hAnsi="Times New Roman" w:cs="Times New Roman"/>
          <w:i/>
          <w:iCs/>
          <w:noProof/>
          <w:lang w:val="en-GB"/>
        </w:rPr>
        <w:t>R Foundation for Statistical Computing, Vienna, Austria</w:t>
      </w:r>
      <w:r w:rsidRPr="004F6BE4">
        <w:rPr>
          <w:rFonts w:ascii="Times New Roman" w:hAnsi="Times New Roman" w:cs="Times New Roman"/>
          <w:noProof/>
          <w:lang w:val="en-GB"/>
        </w:rPr>
        <w:t>.</w:t>
      </w:r>
    </w:p>
    <w:p w14:paraId="4258538D" w14:textId="518A1A58" w:rsidR="00930918" w:rsidRPr="004F6BE4" w:rsidRDefault="00930918" w:rsidP="00930918">
      <w:pPr>
        <w:widowControl w:val="0"/>
        <w:autoSpaceDE w:val="0"/>
        <w:autoSpaceDN w:val="0"/>
        <w:adjustRightInd w:val="0"/>
        <w:spacing w:after="0" w:line="240" w:lineRule="auto"/>
        <w:ind w:left="480" w:hanging="480"/>
        <w:rPr>
          <w:rFonts w:ascii="Times New Roman" w:hAnsi="Times New Roman" w:cs="Times New Roman"/>
          <w:noProof/>
          <w:lang w:val="en-GB"/>
        </w:rPr>
      </w:pPr>
    </w:p>
    <w:p w14:paraId="0F7955A4" w14:textId="77777777" w:rsidR="00930918" w:rsidRPr="004F6BE4" w:rsidRDefault="00930918" w:rsidP="00930918">
      <w:pPr>
        <w:widowControl w:val="0"/>
        <w:autoSpaceDE w:val="0"/>
        <w:autoSpaceDN w:val="0"/>
        <w:adjustRightInd w:val="0"/>
        <w:spacing w:after="0" w:line="240" w:lineRule="auto"/>
        <w:ind w:left="480" w:hanging="480"/>
        <w:rPr>
          <w:rFonts w:ascii="Times New Roman" w:hAnsi="Times New Roman" w:cs="Times New Roman"/>
          <w:noProof/>
          <w:lang w:val="en-US"/>
        </w:rPr>
      </w:pPr>
      <w:r w:rsidRPr="004F6BE4">
        <w:rPr>
          <w:rFonts w:ascii="Times New Roman" w:hAnsi="Times New Roman" w:cs="Times New Roman"/>
          <w:noProof/>
          <w:lang w:val="en-US"/>
        </w:rPr>
        <w:t xml:space="preserve">Shilland, R., Grimsditch, G., Ahmed, M., Bandeira, S., Kennedy, H., Potouroglou, M., &amp; Huxham, M. (2021). A question of standards: Adapting carbon and other PES markets to work for community seagrass conservation. </w:t>
      </w:r>
      <w:r w:rsidRPr="004F6BE4">
        <w:rPr>
          <w:rFonts w:ascii="Times New Roman" w:hAnsi="Times New Roman" w:cs="Times New Roman"/>
          <w:i/>
          <w:iCs/>
          <w:noProof/>
          <w:lang w:val="en-US"/>
        </w:rPr>
        <w:t>Marine Policy</w:t>
      </w:r>
      <w:r w:rsidRPr="004F6BE4">
        <w:rPr>
          <w:rFonts w:ascii="Times New Roman" w:hAnsi="Times New Roman" w:cs="Times New Roman"/>
          <w:noProof/>
          <w:lang w:val="en-US"/>
        </w:rPr>
        <w:t xml:space="preserve">, </w:t>
      </w:r>
      <w:r w:rsidRPr="004F6BE4">
        <w:rPr>
          <w:rFonts w:ascii="Times New Roman" w:hAnsi="Times New Roman" w:cs="Times New Roman"/>
          <w:i/>
          <w:iCs/>
          <w:noProof/>
          <w:lang w:val="en-US"/>
        </w:rPr>
        <w:t>129</w:t>
      </w:r>
      <w:r w:rsidRPr="004F6BE4">
        <w:rPr>
          <w:rFonts w:ascii="Times New Roman" w:hAnsi="Times New Roman" w:cs="Times New Roman"/>
          <w:noProof/>
          <w:lang w:val="en-US"/>
        </w:rPr>
        <w:t>. https://doi.org/10.1016/j.marpol.2021.104574</w:t>
      </w:r>
    </w:p>
    <w:p w14:paraId="533F39C3" w14:textId="77777777" w:rsidR="009F5507" w:rsidRPr="004F6BE4" w:rsidRDefault="009F5507" w:rsidP="00930918">
      <w:pPr>
        <w:widowControl w:val="0"/>
        <w:autoSpaceDE w:val="0"/>
        <w:autoSpaceDN w:val="0"/>
        <w:adjustRightInd w:val="0"/>
        <w:spacing w:after="0" w:line="240" w:lineRule="auto"/>
        <w:rPr>
          <w:rFonts w:ascii="Times New Roman" w:hAnsi="Times New Roman" w:cs="Times New Roman"/>
          <w:noProof/>
          <w:lang w:val="en-GB"/>
        </w:rPr>
      </w:pPr>
    </w:p>
    <w:p w14:paraId="4767204F" w14:textId="5A1DF33F" w:rsidR="009F5507" w:rsidRPr="004F6BE4" w:rsidRDefault="009F5507" w:rsidP="004F6BE4">
      <w:pPr>
        <w:autoSpaceDE w:val="0"/>
        <w:autoSpaceDN w:val="0"/>
        <w:spacing w:line="240" w:lineRule="auto"/>
        <w:rPr>
          <w:rFonts w:ascii="Times New Roman" w:eastAsia="Times New Roman" w:hAnsi="Times New Roman" w:cs="Times New Roman"/>
        </w:rPr>
      </w:pPr>
      <w:r w:rsidRPr="004F6BE4">
        <w:rPr>
          <w:rFonts w:ascii="Times New Roman" w:eastAsia="Times New Roman" w:hAnsi="Times New Roman" w:cs="Times New Roman"/>
        </w:rPr>
        <w:t xml:space="preserve">Smith, A. H., &amp; Berkes, F. (1993). Community-based use of mangrove resources in st. lucia. </w:t>
      </w:r>
      <w:r w:rsidRPr="004F6BE4">
        <w:rPr>
          <w:rFonts w:ascii="Times New Roman" w:eastAsia="Times New Roman" w:hAnsi="Times New Roman" w:cs="Times New Roman"/>
          <w:i/>
          <w:iCs/>
        </w:rPr>
        <w:t xml:space="preserve">International Journal of </w:t>
      </w:r>
      <w:r w:rsidRPr="004F6BE4">
        <w:rPr>
          <w:rFonts w:ascii="Times New Roman" w:eastAsia="Times New Roman" w:hAnsi="Times New Roman" w:cs="Times New Roman"/>
          <w:i/>
          <w:iCs/>
        </w:rPr>
        <w:tab/>
        <w:t>Environmental Studies</w:t>
      </w:r>
      <w:r w:rsidRPr="004F6BE4">
        <w:rPr>
          <w:rFonts w:ascii="Times New Roman" w:eastAsia="Times New Roman" w:hAnsi="Times New Roman" w:cs="Times New Roman"/>
        </w:rPr>
        <w:t xml:space="preserve">, </w:t>
      </w:r>
      <w:r w:rsidRPr="004F6BE4">
        <w:rPr>
          <w:rFonts w:ascii="Times New Roman" w:eastAsia="Times New Roman" w:hAnsi="Times New Roman" w:cs="Times New Roman"/>
          <w:i/>
          <w:iCs/>
        </w:rPr>
        <w:t>43</w:t>
      </w:r>
      <w:r w:rsidRPr="004F6BE4">
        <w:rPr>
          <w:rFonts w:ascii="Times New Roman" w:eastAsia="Times New Roman" w:hAnsi="Times New Roman" w:cs="Times New Roman"/>
        </w:rPr>
        <w:t>(2–3), 123–131. https://doi.org/10.1080/00207239308710819</w:t>
      </w:r>
    </w:p>
    <w:p w14:paraId="5A4F4260" w14:textId="77777777" w:rsidR="009F5507" w:rsidRPr="004F6BE4" w:rsidRDefault="009F5507" w:rsidP="00930918">
      <w:pPr>
        <w:widowControl w:val="0"/>
        <w:autoSpaceDE w:val="0"/>
        <w:autoSpaceDN w:val="0"/>
        <w:adjustRightInd w:val="0"/>
        <w:spacing w:after="0" w:line="240" w:lineRule="auto"/>
        <w:ind w:left="480" w:hanging="480"/>
        <w:rPr>
          <w:rFonts w:ascii="Times New Roman" w:hAnsi="Times New Roman" w:cs="Times New Roman"/>
          <w:noProof/>
        </w:rPr>
      </w:pPr>
      <w:r w:rsidRPr="004F6BE4">
        <w:rPr>
          <w:rFonts w:ascii="Times New Roman" w:hAnsi="Times New Roman" w:cs="Times New Roman"/>
          <w:noProof/>
          <w:lang w:val="en-GB"/>
        </w:rPr>
        <w:t xml:space="preserve">Therneau, T., &amp; Atkinson, B. (2018). rpart: Recursive Partitioning and Regression Trees. </w:t>
      </w:r>
      <w:r w:rsidRPr="004F6BE4">
        <w:rPr>
          <w:rFonts w:ascii="Times New Roman" w:hAnsi="Times New Roman" w:cs="Times New Roman"/>
          <w:i/>
          <w:iCs/>
          <w:noProof/>
          <w:lang w:val="en-GB"/>
        </w:rPr>
        <w:t>R Package Version 4.1-13</w:t>
      </w:r>
      <w:r w:rsidRPr="004F6BE4">
        <w:rPr>
          <w:rFonts w:ascii="Times New Roman" w:hAnsi="Times New Roman" w:cs="Times New Roman"/>
          <w:noProof/>
          <w:lang w:val="en-GB"/>
        </w:rPr>
        <w:t>.</w:t>
      </w:r>
    </w:p>
    <w:p w14:paraId="18D277FD" w14:textId="77777777" w:rsidR="00930918" w:rsidRPr="004F6BE4" w:rsidRDefault="009F5507" w:rsidP="00930918">
      <w:pPr>
        <w:widowControl w:val="0"/>
        <w:autoSpaceDE w:val="0"/>
        <w:autoSpaceDN w:val="0"/>
        <w:adjustRightInd w:val="0"/>
        <w:spacing w:after="0" w:line="240" w:lineRule="auto"/>
        <w:rPr>
          <w:rFonts w:ascii="Times New Roman" w:hAnsi="Times New Roman" w:cs="Times New Roman"/>
        </w:rPr>
      </w:pPr>
      <w:r w:rsidRPr="004F6BE4">
        <w:rPr>
          <w:rFonts w:ascii="Times New Roman" w:hAnsi="Times New Roman" w:cs="Times New Roman"/>
        </w:rPr>
        <w:fldChar w:fldCharType="end"/>
      </w:r>
    </w:p>
    <w:p w14:paraId="2B8A7DE4" w14:textId="155C7307" w:rsidR="009F5507" w:rsidRPr="004F6BE4" w:rsidRDefault="009F5507" w:rsidP="00930918">
      <w:pPr>
        <w:widowControl w:val="0"/>
        <w:autoSpaceDE w:val="0"/>
        <w:autoSpaceDN w:val="0"/>
        <w:adjustRightInd w:val="0"/>
        <w:spacing w:after="0" w:line="240" w:lineRule="auto"/>
        <w:rPr>
          <w:rFonts w:ascii="Times New Roman" w:eastAsia="Times New Roman" w:hAnsi="Times New Roman" w:cs="Times New Roman"/>
        </w:rPr>
      </w:pPr>
      <w:proofErr w:type="spellStart"/>
      <w:r w:rsidRPr="004F6BE4">
        <w:rPr>
          <w:rFonts w:ascii="Times New Roman" w:eastAsia="Times New Roman" w:hAnsi="Times New Roman" w:cs="Times New Roman"/>
        </w:rPr>
        <w:t>Winterwerp</w:t>
      </w:r>
      <w:proofErr w:type="spellEnd"/>
      <w:r w:rsidRPr="004F6BE4">
        <w:rPr>
          <w:rFonts w:ascii="Times New Roman" w:eastAsia="Times New Roman" w:hAnsi="Times New Roman" w:cs="Times New Roman"/>
        </w:rPr>
        <w:t xml:space="preserve">, J. C., Albers, T., Anthony, E. J., </w:t>
      </w:r>
      <w:proofErr w:type="spellStart"/>
      <w:r w:rsidRPr="004F6BE4">
        <w:rPr>
          <w:rFonts w:ascii="Times New Roman" w:eastAsia="Times New Roman" w:hAnsi="Times New Roman" w:cs="Times New Roman"/>
        </w:rPr>
        <w:t>Friess</w:t>
      </w:r>
      <w:proofErr w:type="spellEnd"/>
      <w:r w:rsidRPr="004F6BE4">
        <w:rPr>
          <w:rFonts w:ascii="Times New Roman" w:eastAsia="Times New Roman" w:hAnsi="Times New Roman" w:cs="Times New Roman"/>
        </w:rPr>
        <w:t xml:space="preserve">, D. A., </w:t>
      </w:r>
      <w:proofErr w:type="spellStart"/>
      <w:r w:rsidRPr="004F6BE4">
        <w:rPr>
          <w:rFonts w:ascii="Times New Roman" w:eastAsia="Times New Roman" w:hAnsi="Times New Roman" w:cs="Times New Roman"/>
        </w:rPr>
        <w:t>Mancheño</w:t>
      </w:r>
      <w:proofErr w:type="spellEnd"/>
      <w:r w:rsidRPr="004F6BE4">
        <w:rPr>
          <w:rFonts w:ascii="Times New Roman" w:eastAsia="Times New Roman" w:hAnsi="Times New Roman" w:cs="Times New Roman"/>
        </w:rPr>
        <w:t xml:space="preserve">, A. G., Moseley, K., </w:t>
      </w:r>
      <w:proofErr w:type="spellStart"/>
      <w:r w:rsidRPr="004F6BE4">
        <w:rPr>
          <w:rFonts w:ascii="Times New Roman" w:eastAsia="Times New Roman" w:hAnsi="Times New Roman" w:cs="Times New Roman"/>
        </w:rPr>
        <w:t>Muhari</w:t>
      </w:r>
      <w:proofErr w:type="spellEnd"/>
      <w:r w:rsidRPr="004F6BE4">
        <w:rPr>
          <w:rFonts w:ascii="Times New Roman" w:eastAsia="Times New Roman" w:hAnsi="Times New Roman" w:cs="Times New Roman"/>
        </w:rPr>
        <w:t xml:space="preserve">, A., </w:t>
      </w:r>
      <w:proofErr w:type="spellStart"/>
      <w:r w:rsidRPr="004F6BE4">
        <w:rPr>
          <w:rFonts w:ascii="Times New Roman" w:eastAsia="Times New Roman" w:hAnsi="Times New Roman" w:cs="Times New Roman"/>
        </w:rPr>
        <w:t>Naipal</w:t>
      </w:r>
      <w:proofErr w:type="spellEnd"/>
      <w:r w:rsidRPr="004F6BE4">
        <w:rPr>
          <w:rFonts w:ascii="Times New Roman" w:eastAsia="Times New Roman" w:hAnsi="Times New Roman" w:cs="Times New Roman"/>
        </w:rPr>
        <w:t xml:space="preserve">, S., </w:t>
      </w:r>
      <w:r w:rsidRPr="004F6BE4">
        <w:rPr>
          <w:rFonts w:ascii="Times New Roman" w:eastAsia="Times New Roman" w:hAnsi="Times New Roman" w:cs="Times New Roman"/>
        </w:rPr>
        <w:tab/>
      </w:r>
      <w:proofErr w:type="spellStart"/>
      <w:r w:rsidRPr="004F6BE4">
        <w:rPr>
          <w:rFonts w:ascii="Times New Roman" w:eastAsia="Times New Roman" w:hAnsi="Times New Roman" w:cs="Times New Roman"/>
        </w:rPr>
        <w:t>Noordermeer</w:t>
      </w:r>
      <w:proofErr w:type="spellEnd"/>
      <w:r w:rsidRPr="004F6BE4">
        <w:rPr>
          <w:rFonts w:ascii="Times New Roman" w:eastAsia="Times New Roman" w:hAnsi="Times New Roman" w:cs="Times New Roman"/>
        </w:rPr>
        <w:t xml:space="preserve">, J., Oost, A., </w:t>
      </w:r>
      <w:proofErr w:type="spellStart"/>
      <w:r w:rsidRPr="004F6BE4">
        <w:rPr>
          <w:rFonts w:ascii="Times New Roman" w:eastAsia="Times New Roman" w:hAnsi="Times New Roman" w:cs="Times New Roman"/>
        </w:rPr>
        <w:t>Saengsupavanich</w:t>
      </w:r>
      <w:proofErr w:type="spellEnd"/>
      <w:r w:rsidRPr="004F6BE4">
        <w:rPr>
          <w:rFonts w:ascii="Times New Roman" w:eastAsia="Times New Roman" w:hAnsi="Times New Roman" w:cs="Times New Roman"/>
        </w:rPr>
        <w:t xml:space="preserve">, C., Tas, S. A. J., </w:t>
      </w:r>
      <w:proofErr w:type="spellStart"/>
      <w:r w:rsidRPr="004F6BE4">
        <w:rPr>
          <w:rFonts w:ascii="Times New Roman" w:eastAsia="Times New Roman" w:hAnsi="Times New Roman" w:cs="Times New Roman"/>
        </w:rPr>
        <w:t>Tonneijck</w:t>
      </w:r>
      <w:proofErr w:type="spellEnd"/>
      <w:r w:rsidRPr="004F6BE4">
        <w:rPr>
          <w:rFonts w:ascii="Times New Roman" w:eastAsia="Times New Roman" w:hAnsi="Times New Roman" w:cs="Times New Roman"/>
        </w:rPr>
        <w:t xml:space="preserve">, F. H., Wilms, T., van </w:t>
      </w:r>
      <w:proofErr w:type="spellStart"/>
      <w:r w:rsidRPr="004F6BE4">
        <w:rPr>
          <w:rFonts w:ascii="Times New Roman" w:eastAsia="Times New Roman" w:hAnsi="Times New Roman" w:cs="Times New Roman"/>
        </w:rPr>
        <w:t>Bijsterveldt</w:t>
      </w:r>
      <w:proofErr w:type="spellEnd"/>
      <w:r w:rsidRPr="004F6BE4">
        <w:rPr>
          <w:rFonts w:ascii="Times New Roman" w:eastAsia="Times New Roman" w:hAnsi="Times New Roman" w:cs="Times New Roman"/>
        </w:rPr>
        <w:t xml:space="preserve">, </w:t>
      </w:r>
      <w:r w:rsidRPr="004F6BE4">
        <w:rPr>
          <w:rFonts w:ascii="Times New Roman" w:eastAsia="Times New Roman" w:hAnsi="Times New Roman" w:cs="Times New Roman"/>
        </w:rPr>
        <w:tab/>
        <w:t xml:space="preserve">C., van </w:t>
      </w:r>
      <w:proofErr w:type="spellStart"/>
      <w:r w:rsidRPr="004F6BE4">
        <w:rPr>
          <w:rFonts w:ascii="Times New Roman" w:eastAsia="Times New Roman" w:hAnsi="Times New Roman" w:cs="Times New Roman"/>
        </w:rPr>
        <w:t>Eijk</w:t>
      </w:r>
      <w:proofErr w:type="spellEnd"/>
      <w:r w:rsidRPr="004F6BE4">
        <w:rPr>
          <w:rFonts w:ascii="Times New Roman" w:eastAsia="Times New Roman" w:hAnsi="Times New Roman" w:cs="Times New Roman"/>
        </w:rPr>
        <w:t xml:space="preserve">, P., van </w:t>
      </w:r>
      <w:proofErr w:type="spellStart"/>
      <w:r w:rsidRPr="004F6BE4">
        <w:rPr>
          <w:rFonts w:ascii="Times New Roman" w:eastAsia="Times New Roman" w:hAnsi="Times New Roman" w:cs="Times New Roman"/>
        </w:rPr>
        <w:t>Lavieren</w:t>
      </w:r>
      <w:proofErr w:type="spellEnd"/>
      <w:r w:rsidRPr="004F6BE4">
        <w:rPr>
          <w:rFonts w:ascii="Times New Roman" w:eastAsia="Times New Roman" w:hAnsi="Times New Roman" w:cs="Times New Roman"/>
        </w:rPr>
        <w:t xml:space="preserve">, E., &amp; van </w:t>
      </w:r>
      <w:proofErr w:type="spellStart"/>
      <w:r w:rsidRPr="004F6BE4">
        <w:rPr>
          <w:rFonts w:ascii="Times New Roman" w:eastAsia="Times New Roman" w:hAnsi="Times New Roman" w:cs="Times New Roman"/>
        </w:rPr>
        <w:t>Wesenbeeck</w:t>
      </w:r>
      <w:proofErr w:type="spellEnd"/>
      <w:r w:rsidRPr="004F6BE4">
        <w:rPr>
          <w:rFonts w:ascii="Times New Roman" w:eastAsia="Times New Roman" w:hAnsi="Times New Roman" w:cs="Times New Roman"/>
        </w:rPr>
        <w:t>, B. K. (2020). Managing erosion of mangrove-mud</w:t>
      </w:r>
      <w:r w:rsidRPr="004F6BE4">
        <w:rPr>
          <w:rFonts w:ascii="Times New Roman" w:eastAsia="Times New Roman" w:hAnsi="Times New Roman" w:cs="Times New Roman"/>
        </w:rPr>
        <w:tab/>
      </w:r>
      <w:r w:rsidRPr="004F6BE4">
        <w:rPr>
          <w:rFonts w:ascii="Times New Roman" w:eastAsia="Times New Roman" w:hAnsi="Times New Roman" w:cs="Times New Roman"/>
        </w:rPr>
        <w:tab/>
        <w:t xml:space="preserve"> coasts with permeable dams – lessons learned. </w:t>
      </w:r>
      <w:r w:rsidRPr="004F6BE4">
        <w:rPr>
          <w:rFonts w:ascii="Times New Roman" w:eastAsia="Times New Roman" w:hAnsi="Times New Roman" w:cs="Times New Roman"/>
          <w:i/>
          <w:iCs/>
        </w:rPr>
        <w:t>Ecological Engineering</w:t>
      </w:r>
      <w:r w:rsidRPr="004F6BE4">
        <w:rPr>
          <w:rFonts w:ascii="Times New Roman" w:eastAsia="Times New Roman" w:hAnsi="Times New Roman" w:cs="Times New Roman"/>
        </w:rPr>
        <w:t xml:space="preserve">, </w:t>
      </w:r>
      <w:r w:rsidRPr="004F6BE4">
        <w:rPr>
          <w:rFonts w:ascii="Times New Roman" w:eastAsia="Times New Roman" w:hAnsi="Times New Roman" w:cs="Times New Roman"/>
          <w:i/>
          <w:iCs/>
        </w:rPr>
        <w:t>158</w:t>
      </w:r>
      <w:r w:rsidRPr="004F6BE4">
        <w:rPr>
          <w:rFonts w:ascii="Times New Roman" w:eastAsia="Times New Roman" w:hAnsi="Times New Roman" w:cs="Times New Roman"/>
        </w:rPr>
        <w:t xml:space="preserve">. </w:t>
      </w:r>
      <w:r w:rsidRPr="004F6BE4">
        <w:rPr>
          <w:rFonts w:ascii="Times New Roman" w:eastAsia="Times New Roman" w:hAnsi="Times New Roman" w:cs="Times New Roman"/>
        </w:rPr>
        <w:lastRenderedPageBreak/>
        <w:tab/>
      </w:r>
      <w:hyperlink r:id="rId20" w:history="1">
        <w:r w:rsidR="00DB6073" w:rsidRPr="004F6BE4">
          <w:rPr>
            <w:rStyle w:val="Hyperlink"/>
            <w:rFonts w:ascii="Times New Roman" w:eastAsia="Times New Roman" w:hAnsi="Times New Roman" w:cs="Times New Roman"/>
          </w:rPr>
          <w:t>https://doi.org/10.1016/j.ecoleng.2020.106078</w:t>
        </w:r>
      </w:hyperlink>
    </w:p>
    <w:p w14:paraId="324FB9F4" w14:textId="77777777" w:rsidR="00DB6073" w:rsidRPr="004F6BE4" w:rsidRDefault="00DB6073" w:rsidP="00930918">
      <w:pPr>
        <w:widowControl w:val="0"/>
        <w:autoSpaceDE w:val="0"/>
        <w:autoSpaceDN w:val="0"/>
        <w:adjustRightInd w:val="0"/>
        <w:spacing w:after="0" w:line="240" w:lineRule="auto"/>
        <w:rPr>
          <w:rFonts w:ascii="Times New Roman" w:hAnsi="Times New Roman" w:cs="Times New Roman"/>
        </w:rPr>
      </w:pPr>
    </w:p>
    <w:p w14:paraId="7CE1B607" w14:textId="005F85E7" w:rsidR="009F5507" w:rsidRPr="004F6BE4" w:rsidRDefault="009F5507" w:rsidP="00E30F8E">
      <w:pPr>
        <w:autoSpaceDE w:val="0"/>
        <w:autoSpaceDN w:val="0"/>
        <w:spacing w:line="240" w:lineRule="auto"/>
        <w:rPr>
          <w:rFonts w:ascii="Times New Roman" w:eastAsia="Times New Roman" w:hAnsi="Times New Roman" w:cs="Times New Roman"/>
        </w:rPr>
      </w:pPr>
      <w:proofErr w:type="spellStart"/>
      <w:r w:rsidRPr="004F6BE4">
        <w:rPr>
          <w:rFonts w:ascii="Times New Roman" w:eastAsia="Times New Roman" w:hAnsi="Times New Roman" w:cs="Times New Roman"/>
        </w:rPr>
        <w:t>WorldFish</w:t>
      </w:r>
      <w:proofErr w:type="spellEnd"/>
      <w:r w:rsidRPr="004F6BE4">
        <w:rPr>
          <w:rFonts w:ascii="Times New Roman" w:eastAsia="Times New Roman" w:hAnsi="Times New Roman" w:cs="Times New Roman"/>
        </w:rPr>
        <w:t xml:space="preserve">. (2018). Conservation strategy for dugongs and seagrass habitats in Solomon Islands. </w:t>
      </w:r>
      <w:r w:rsidRPr="004F6BE4">
        <w:rPr>
          <w:rFonts w:ascii="Times New Roman" w:eastAsia="Times New Roman" w:hAnsi="Times New Roman" w:cs="Times New Roman"/>
          <w:i/>
          <w:iCs/>
        </w:rPr>
        <w:t xml:space="preserve">Penang, Malaysia: </w:t>
      </w:r>
      <w:r w:rsidRPr="004F6BE4">
        <w:rPr>
          <w:rFonts w:ascii="Times New Roman" w:eastAsia="Times New Roman" w:hAnsi="Times New Roman" w:cs="Times New Roman"/>
          <w:i/>
          <w:iCs/>
        </w:rPr>
        <w:tab/>
      </w:r>
      <w:proofErr w:type="spellStart"/>
      <w:r w:rsidRPr="004F6BE4">
        <w:rPr>
          <w:rFonts w:ascii="Times New Roman" w:eastAsia="Times New Roman" w:hAnsi="Times New Roman" w:cs="Times New Roman"/>
          <w:i/>
          <w:iCs/>
        </w:rPr>
        <w:t>WorldFish</w:t>
      </w:r>
      <w:proofErr w:type="spellEnd"/>
      <w:r w:rsidRPr="004F6BE4">
        <w:rPr>
          <w:rFonts w:ascii="Times New Roman" w:eastAsia="Times New Roman" w:hAnsi="Times New Roman" w:cs="Times New Roman"/>
          <w:i/>
          <w:iCs/>
        </w:rPr>
        <w:t>. Strategy 2018-22</w:t>
      </w:r>
      <w:r w:rsidRPr="004F6BE4">
        <w:rPr>
          <w:rFonts w:ascii="Times New Roman" w:eastAsia="Times New Roman" w:hAnsi="Times New Roman" w:cs="Times New Roman"/>
        </w:rPr>
        <w:t>.</w:t>
      </w:r>
    </w:p>
    <w:p w14:paraId="3EF93E79" w14:textId="77777777" w:rsidR="00620F3C" w:rsidRDefault="00620F3C"/>
    <w:sectPr w:rsidR="00620F3C" w:rsidSect="00DF12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C3D"/>
    <w:rsid w:val="0000706B"/>
    <w:rsid w:val="000304E2"/>
    <w:rsid w:val="0003436D"/>
    <w:rsid w:val="00113515"/>
    <w:rsid w:val="00125384"/>
    <w:rsid w:val="00414792"/>
    <w:rsid w:val="004F6BE4"/>
    <w:rsid w:val="005B7107"/>
    <w:rsid w:val="00617C3D"/>
    <w:rsid w:val="00620F3C"/>
    <w:rsid w:val="00930918"/>
    <w:rsid w:val="0099026A"/>
    <w:rsid w:val="009F5507"/>
    <w:rsid w:val="00A14B56"/>
    <w:rsid w:val="00A41BD3"/>
    <w:rsid w:val="00A578B3"/>
    <w:rsid w:val="00A60899"/>
    <w:rsid w:val="00AF15CF"/>
    <w:rsid w:val="00B36335"/>
    <w:rsid w:val="00CF5E2D"/>
    <w:rsid w:val="00D203EA"/>
    <w:rsid w:val="00D52104"/>
    <w:rsid w:val="00DB6073"/>
    <w:rsid w:val="00DD54CE"/>
    <w:rsid w:val="00DE70F9"/>
    <w:rsid w:val="00DF1220"/>
    <w:rsid w:val="00E30D19"/>
    <w:rsid w:val="00E30F8E"/>
    <w:rsid w:val="00F307E0"/>
    <w:rsid w:val="00FE3D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8C4EF"/>
  <w15:chartTrackingRefBased/>
  <w15:docId w15:val="{38AB6BF0-0D56-2B4E-9A77-A6A7BBD2B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C3D"/>
    <w:pPr>
      <w:spacing w:after="160" w:line="259"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7C3D"/>
    <w:rPr>
      <w:color w:val="0563C1"/>
      <w:u w:val="single"/>
    </w:rPr>
  </w:style>
  <w:style w:type="paragraph" w:styleId="NoSpacing">
    <w:name w:val="No Spacing"/>
    <w:uiPriority w:val="1"/>
    <w:qFormat/>
    <w:rsid w:val="00A14B56"/>
    <w:rPr>
      <w:rFonts w:eastAsiaTheme="minorEastAsia"/>
    </w:rPr>
  </w:style>
  <w:style w:type="table" w:styleId="TableGrid">
    <w:name w:val="Table Grid"/>
    <w:basedOn w:val="TableNormal"/>
    <w:uiPriority w:val="39"/>
    <w:rsid w:val="00DF1220"/>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9F5507"/>
    <w:pPr>
      <w:spacing w:after="12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9F5507"/>
    <w:rPr>
      <w:rFonts w:ascii="Times New Roman" w:eastAsia="Times New Roman" w:hAnsi="Times New Roman" w:cs="Times New Roman"/>
      <w:szCs w:val="20"/>
      <w:lang w:val="en-US"/>
    </w:rPr>
  </w:style>
  <w:style w:type="character" w:styleId="UnresolvedMention">
    <w:name w:val="Unresolved Mention"/>
    <w:basedOn w:val="DefaultParagraphFont"/>
    <w:uiPriority w:val="99"/>
    <w:semiHidden/>
    <w:unhideWhenUsed/>
    <w:rsid w:val="00A41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2.png"/><Relationship Id="rId18" Type="http://schemas.openxmlformats.org/officeDocument/2006/relationships/hyperlink" Target="https://doi.org/10.1016/j.marpolbul.2020.111573"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about:blank"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hyperlink" Target="https://doi.org/10.1016/j.ecoleng.2020.106078" TargetMode="Externa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hyperlink" Target="about:blank" TargetMode="Externa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about:blank" TargetMode="External"/><Relationship Id="rId19" Type="http://schemas.openxmlformats.org/officeDocument/2006/relationships/hyperlink" Target="https://doi.org/10.1038/s41467-019-11340-4" TargetMode="External"/><Relationship Id="rId4" Type="http://schemas.openxmlformats.org/officeDocument/2006/relationships/hyperlink" Target="about:blank" TargetMode="Externa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68ADF46F7C75479F74145949A46017"/>
        <w:category>
          <w:name w:val="General"/>
          <w:gallery w:val="placeholder"/>
        </w:category>
        <w:types>
          <w:type w:val="bbPlcHdr"/>
        </w:types>
        <w:behaviors>
          <w:behavior w:val="content"/>
        </w:behaviors>
        <w:guid w:val="{F66D2F91-6504-7C47-A454-7CC6069E26F4}"/>
      </w:docPartPr>
      <w:docPartBody>
        <w:p w:rsidR="00A15844" w:rsidRDefault="00DE4634" w:rsidP="00DE4634">
          <w:pPr>
            <w:pStyle w:val="9168ADF46F7C75479F74145949A46017"/>
          </w:pPr>
          <w:r w:rsidRPr="00395E6A">
            <w:rPr>
              <w:rStyle w:val="PlaceholderText"/>
            </w:rPr>
            <w:t>Click or tap here to enter text.</w:t>
          </w:r>
        </w:p>
      </w:docPartBody>
    </w:docPart>
    <w:docPart>
      <w:docPartPr>
        <w:name w:val="6580BDEC67CC9B44A80F4A90B41B2671"/>
        <w:category>
          <w:name w:val="General"/>
          <w:gallery w:val="placeholder"/>
        </w:category>
        <w:types>
          <w:type w:val="bbPlcHdr"/>
        </w:types>
        <w:behaviors>
          <w:behavior w:val="content"/>
        </w:behaviors>
        <w:guid w:val="{9E04C914-64F6-E140-B474-6369C4215C17}"/>
      </w:docPartPr>
      <w:docPartBody>
        <w:p w:rsidR="00A15844" w:rsidRDefault="00DE4634" w:rsidP="00DE4634">
          <w:pPr>
            <w:pStyle w:val="6580BDEC67CC9B44A80F4A90B41B2671"/>
          </w:pPr>
          <w:r w:rsidRPr="00395E6A">
            <w:rPr>
              <w:rStyle w:val="PlaceholderText"/>
            </w:rPr>
            <w:t>Click or tap here to enter text.</w:t>
          </w:r>
        </w:p>
      </w:docPartBody>
    </w:docPart>
    <w:docPart>
      <w:docPartPr>
        <w:name w:val="9D6DCD739DB95042B96C812F88AD6F6E"/>
        <w:category>
          <w:name w:val="General"/>
          <w:gallery w:val="placeholder"/>
        </w:category>
        <w:types>
          <w:type w:val="bbPlcHdr"/>
        </w:types>
        <w:behaviors>
          <w:behavior w:val="content"/>
        </w:behaviors>
        <w:guid w:val="{69582CE5-4C91-3141-BDFF-83C03557AFD9}"/>
      </w:docPartPr>
      <w:docPartBody>
        <w:p w:rsidR="00A15844" w:rsidRDefault="00DE4634" w:rsidP="00DE4634">
          <w:pPr>
            <w:pStyle w:val="9D6DCD739DB95042B96C812F88AD6F6E"/>
          </w:pPr>
          <w:r w:rsidRPr="00395E6A">
            <w:rPr>
              <w:rStyle w:val="PlaceholderText"/>
            </w:rPr>
            <w:t>Click or tap here to enter text.</w:t>
          </w:r>
        </w:p>
      </w:docPartBody>
    </w:docPart>
    <w:docPart>
      <w:docPartPr>
        <w:name w:val="E5349711032D804293BF84FC573085A0"/>
        <w:category>
          <w:name w:val="General"/>
          <w:gallery w:val="placeholder"/>
        </w:category>
        <w:types>
          <w:type w:val="bbPlcHdr"/>
        </w:types>
        <w:behaviors>
          <w:behavior w:val="content"/>
        </w:behaviors>
        <w:guid w:val="{C6447A7B-0FA2-2A41-8E48-A6B0FEA8E3A8}"/>
      </w:docPartPr>
      <w:docPartBody>
        <w:p w:rsidR="00A15844" w:rsidRDefault="00DE4634" w:rsidP="00DE4634">
          <w:pPr>
            <w:pStyle w:val="E5349711032D804293BF84FC573085A0"/>
          </w:pPr>
          <w:r w:rsidRPr="00395E6A">
            <w:rPr>
              <w:rStyle w:val="PlaceholderText"/>
            </w:rPr>
            <w:t>Click or tap here to enter text.</w:t>
          </w:r>
        </w:p>
      </w:docPartBody>
    </w:docPart>
    <w:docPart>
      <w:docPartPr>
        <w:name w:val="F6EA0D9C170B214395315D0030F83A87"/>
        <w:category>
          <w:name w:val="General"/>
          <w:gallery w:val="placeholder"/>
        </w:category>
        <w:types>
          <w:type w:val="bbPlcHdr"/>
        </w:types>
        <w:behaviors>
          <w:behavior w:val="content"/>
        </w:behaviors>
        <w:guid w:val="{910688EC-7B5B-F34C-9F36-A1FFB915EC2F}"/>
      </w:docPartPr>
      <w:docPartBody>
        <w:p w:rsidR="00A15844" w:rsidRDefault="00DE4634" w:rsidP="00DE4634">
          <w:pPr>
            <w:pStyle w:val="F6EA0D9C170B214395315D0030F83A87"/>
          </w:pPr>
          <w:r w:rsidRPr="00395E6A">
            <w:rPr>
              <w:rStyle w:val="PlaceholderText"/>
            </w:rPr>
            <w:t>Click or tap here to enter text.</w:t>
          </w:r>
        </w:p>
      </w:docPartBody>
    </w:docPart>
    <w:docPart>
      <w:docPartPr>
        <w:name w:val="3BDB7A862842464B887151F4F05DEAB7"/>
        <w:category>
          <w:name w:val="General"/>
          <w:gallery w:val="placeholder"/>
        </w:category>
        <w:types>
          <w:type w:val="bbPlcHdr"/>
        </w:types>
        <w:behaviors>
          <w:behavior w:val="content"/>
        </w:behaviors>
        <w:guid w:val="{E10B9CD3-9A7F-714A-9A68-2520D4E35856}"/>
      </w:docPartPr>
      <w:docPartBody>
        <w:p w:rsidR="00A15844" w:rsidRDefault="00DE4634" w:rsidP="00DE4634">
          <w:pPr>
            <w:pStyle w:val="3BDB7A862842464B887151F4F05DEAB7"/>
          </w:pPr>
          <w:r w:rsidRPr="00395E6A">
            <w:rPr>
              <w:rStyle w:val="PlaceholderText"/>
            </w:rPr>
            <w:t>Click or tap here to enter text.</w:t>
          </w:r>
        </w:p>
      </w:docPartBody>
    </w:docPart>
    <w:docPart>
      <w:docPartPr>
        <w:name w:val="881D8F167B32B845BACC20C957195E6B"/>
        <w:category>
          <w:name w:val="General"/>
          <w:gallery w:val="placeholder"/>
        </w:category>
        <w:types>
          <w:type w:val="bbPlcHdr"/>
        </w:types>
        <w:behaviors>
          <w:behavior w:val="content"/>
        </w:behaviors>
        <w:guid w:val="{A58CDE01-854A-5741-8509-96F55BB734EE}"/>
      </w:docPartPr>
      <w:docPartBody>
        <w:p w:rsidR="00A15844" w:rsidRDefault="00DE4634" w:rsidP="00DE4634">
          <w:pPr>
            <w:pStyle w:val="881D8F167B32B845BACC20C957195E6B"/>
          </w:pPr>
          <w:r w:rsidRPr="00395E6A">
            <w:rPr>
              <w:rStyle w:val="PlaceholderText"/>
            </w:rPr>
            <w:t>Click or tap here to enter text.</w:t>
          </w:r>
        </w:p>
      </w:docPartBody>
    </w:docPart>
    <w:docPart>
      <w:docPartPr>
        <w:name w:val="D790BB07E3D6D949914FC20ACE1B8771"/>
        <w:category>
          <w:name w:val="General"/>
          <w:gallery w:val="placeholder"/>
        </w:category>
        <w:types>
          <w:type w:val="bbPlcHdr"/>
        </w:types>
        <w:behaviors>
          <w:behavior w:val="content"/>
        </w:behaviors>
        <w:guid w:val="{D0217242-31E2-AD40-89D9-80F28012576E}"/>
      </w:docPartPr>
      <w:docPartBody>
        <w:p w:rsidR="00A15844" w:rsidRDefault="00DE4634" w:rsidP="00DE4634">
          <w:pPr>
            <w:pStyle w:val="D790BB07E3D6D949914FC20ACE1B8771"/>
          </w:pPr>
          <w:r w:rsidRPr="00395E6A">
            <w:rPr>
              <w:rStyle w:val="PlaceholderText"/>
            </w:rPr>
            <w:t>Click or tap here to enter text.</w:t>
          </w:r>
        </w:p>
      </w:docPartBody>
    </w:docPart>
    <w:docPart>
      <w:docPartPr>
        <w:name w:val="EBD142610B330E469EFBA0228E9089BE"/>
        <w:category>
          <w:name w:val="General"/>
          <w:gallery w:val="placeholder"/>
        </w:category>
        <w:types>
          <w:type w:val="bbPlcHdr"/>
        </w:types>
        <w:behaviors>
          <w:behavior w:val="content"/>
        </w:behaviors>
        <w:guid w:val="{D25DE159-9884-704C-B0E5-BE23BF4A4500}"/>
      </w:docPartPr>
      <w:docPartBody>
        <w:p w:rsidR="00A15844" w:rsidRDefault="00DE4634" w:rsidP="00DE4634">
          <w:pPr>
            <w:pStyle w:val="EBD142610B330E469EFBA0228E9089BE"/>
          </w:pPr>
          <w:r w:rsidRPr="00395E6A">
            <w:rPr>
              <w:rStyle w:val="PlaceholderText"/>
            </w:rPr>
            <w:t>Click or tap here to enter text.</w:t>
          </w:r>
        </w:p>
      </w:docPartBody>
    </w:docPart>
    <w:docPart>
      <w:docPartPr>
        <w:name w:val="A32FB8B43215DC4AAB26DFF0237BDDF9"/>
        <w:category>
          <w:name w:val="General"/>
          <w:gallery w:val="placeholder"/>
        </w:category>
        <w:types>
          <w:type w:val="bbPlcHdr"/>
        </w:types>
        <w:behaviors>
          <w:behavior w:val="content"/>
        </w:behaviors>
        <w:guid w:val="{1B9C536E-D3F3-E04E-BBDF-8E08F751EDE6}"/>
      </w:docPartPr>
      <w:docPartBody>
        <w:p w:rsidR="00A15844" w:rsidRDefault="00DE4634" w:rsidP="00DE4634">
          <w:pPr>
            <w:pStyle w:val="A32FB8B43215DC4AAB26DFF0237BDDF9"/>
          </w:pPr>
          <w:r w:rsidRPr="00395E6A">
            <w:rPr>
              <w:rStyle w:val="PlaceholderText"/>
            </w:rPr>
            <w:t>Click or tap here to enter text.</w:t>
          </w:r>
        </w:p>
      </w:docPartBody>
    </w:docPart>
    <w:docPart>
      <w:docPartPr>
        <w:name w:val="FCE25E896B99B54C94CF6DEB9F0AEA0D"/>
        <w:category>
          <w:name w:val="General"/>
          <w:gallery w:val="placeholder"/>
        </w:category>
        <w:types>
          <w:type w:val="bbPlcHdr"/>
        </w:types>
        <w:behaviors>
          <w:behavior w:val="content"/>
        </w:behaviors>
        <w:guid w:val="{A79AB257-10A0-7948-AA75-989655D8B9F7}"/>
      </w:docPartPr>
      <w:docPartBody>
        <w:p w:rsidR="00A15844" w:rsidRDefault="00DE4634" w:rsidP="00DE4634">
          <w:pPr>
            <w:pStyle w:val="FCE25E896B99B54C94CF6DEB9F0AEA0D"/>
          </w:pPr>
          <w:r w:rsidRPr="00395E6A">
            <w:rPr>
              <w:rStyle w:val="PlaceholderText"/>
            </w:rPr>
            <w:t>Click or tap here to enter text.</w:t>
          </w:r>
        </w:p>
      </w:docPartBody>
    </w:docPart>
    <w:docPart>
      <w:docPartPr>
        <w:name w:val="81593B0246EAAC43B7BACF12C7CD5979"/>
        <w:category>
          <w:name w:val="General"/>
          <w:gallery w:val="placeholder"/>
        </w:category>
        <w:types>
          <w:type w:val="bbPlcHdr"/>
        </w:types>
        <w:behaviors>
          <w:behavior w:val="content"/>
        </w:behaviors>
        <w:guid w:val="{24CF5360-AA80-3948-BBD3-DF30502DA372}"/>
      </w:docPartPr>
      <w:docPartBody>
        <w:p w:rsidR="00A15844" w:rsidRDefault="00DE4634" w:rsidP="00DE4634">
          <w:pPr>
            <w:pStyle w:val="81593B0246EAAC43B7BACF12C7CD5979"/>
          </w:pPr>
          <w:r w:rsidRPr="00395E6A">
            <w:rPr>
              <w:rStyle w:val="PlaceholderText"/>
            </w:rPr>
            <w:t>Click or tap here to enter text.</w:t>
          </w:r>
        </w:p>
      </w:docPartBody>
    </w:docPart>
    <w:docPart>
      <w:docPartPr>
        <w:name w:val="EDA5F15C6E01C44FB33363DE6E342A74"/>
        <w:category>
          <w:name w:val="General"/>
          <w:gallery w:val="placeholder"/>
        </w:category>
        <w:types>
          <w:type w:val="bbPlcHdr"/>
        </w:types>
        <w:behaviors>
          <w:behavior w:val="content"/>
        </w:behaviors>
        <w:guid w:val="{F2A1E0CB-5A92-3B4C-ACAA-FF2137DFCDC9}"/>
      </w:docPartPr>
      <w:docPartBody>
        <w:p w:rsidR="00A15844" w:rsidRDefault="00DE4634" w:rsidP="00DE4634">
          <w:pPr>
            <w:pStyle w:val="EDA5F15C6E01C44FB33363DE6E342A74"/>
          </w:pPr>
          <w:r w:rsidRPr="00395E6A">
            <w:rPr>
              <w:rStyle w:val="PlaceholderText"/>
            </w:rPr>
            <w:t>Click or tap here to enter text.</w:t>
          </w:r>
        </w:p>
      </w:docPartBody>
    </w:docPart>
    <w:docPart>
      <w:docPartPr>
        <w:name w:val="84CC71572527A1488CDE727DD878FFB7"/>
        <w:category>
          <w:name w:val="General"/>
          <w:gallery w:val="placeholder"/>
        </w:category>
        <w:types>
          <w:type w:val="bbPlcHdr"/>
        </w:types>
        <w:behaviors>
          <w:behavior w:val="content"/>
        </w:behaviors>
        <w:guid w:val="{957B5D27-42DE-2849-A25C-7407624B9A73}"/>
      </w:docPartPr>
      <w:docPartBody>
        <w:p w:rsidR="00A15844" w:rsidRDefault="00DE4634" w:rsidP="00DE4634">
          <w:pPr>
            <w:pStyle w:val="84CC71572527A1488CDE727DD878FFB7"/>
          </w:pPr>
          <w:r w:rsidRPr="00395E6A">
            <w:rPr>
              <w:rStyle w:val="PlaceholderText"/>
            </w:rPr>
            <w:t>Click or tap here to enter text.</w:t>
          </w:r>
        </w:p>
      </w:docPartBody>
    </w:docPart>
    <w:docPart>
      <w:docPartPr>
        <w:name w:val="DE1D3F53A0CFCC48B7E3930A868E61B5"/>
        <w:category>
          <w:name w:val="General"/>
          <w:gallery w:val="placeholder"/>
        </w:category>
        <w:types>
          <w:type w:val="bbPlcHdr"/>
        </w:types>
        <w:behaviors>
          <w:behavior w:val="content"/>
        </w:behaviors>
        <w:guid w:val="{E49ACC6E-90C5-CA40-9F43-D4252A6F4766}"/>
      </w:docPartPr>
      <w:docPartBody>
        <w:p w:rsidR="00A15844" w:rsidRDefault="00DE4634" w:rsidP="00DE4634">
          <w:pPr>
            <w:pStyle w:val="DE1D3F53A0CFCC48B7E3930A868E61B5"/>
          </w:pPr>
          <w:r w:rsidRPr="00395E6A">
            <w:rPr>
              <w:rStyle w:val="PlaceholderText"/>
            </w:rPr>
            <w:t>Click or tap here to enter text.</w:t>
          </w:r>
        </w:p>
      </w:docPartBody>
    </w:docPart>
    <w:docPart>
      <w:docPartPr>
        <w:name w:val="B85ED1F9906BE149A4B77F9F9D06B2B1"/>
        <w:category>
          <w:name w:val="General"/>
          <w:gallery w:val="placeholder"/>
        </w:category>
        <w:types>
          <w:type w:val="bbPlcHdr"/>
        </w:types>
        <w:behaviors>
          <w:behavior w:val="content"/>
        </w:behaviors>
        <w:guid w:val="{27E94FA4-1DAC-5846-AC5A-783C5222F073}"/>
      </w:docPartPr>
      <w:docPartBody>
        <w:p w:rsidR="00A15844" w:rsidRDefault="00DE4634" w:rsidP="00DE4634">
          <w:pPr>
            <w:pStyle w:val="B85ED1F9906BE149A4B77F9F9D06B2B1"/>
          </w:pPr>
          <w:r w:rsidRPr="00395E6A">
            <w:rPr>
              <w:rStyle w:val="PlaceholderText"/>
            </w:rPr>
            <w:t>Click or tap here to enter text.</w:t>
          </w:r>
        </w:p>
      </w:docPartBody>
    </w:docPart>
    <w:docPart>
      <w:docPartPr>
        <w:name w:val="31874E2C361AFF4892FC6E7342BA57A1"/>
        <w:category>
          <w:name w:val="General"/>
          <w:gallery w:val="placeholder"/>
        </w:category>
        <w:types>
          <w:type w:val="bbPlcHdr"/>
        </w:types>
        <w:behaviors>
          <w:behavior w:val="content"/>
        </w:behaviors>
        <w:guid w:val="{EF3D161F-97B8-B84C-95DD-53E16A1538BB}"/>
      </w:docPartPr>
      <w:docPartBody>
        <w:p w:rsidR="00A15844" w:rsidRDefault="00DE4634" w:rsidP="00DE4634">
          <w:pPr>
            <w:pStyle w:val="31874E2C361AFF4892FC6E7342BA57A1"/>
          </w:pPr>
          <w:r w:rsidRPr="00395E6A">
            <w:rPr>
              <w:rStyle w:val="PlaceholderText"/>
            </w:rPr>
            <w:t>Click or tap here to enter text.</w:t>
          </w:r>
        </w:p>
      </w:docPartBody>
    </w:docPart>
    <w:docPart>
      <w:docPartPr>
        <w:name w:val="AD31723261124A41906E8EDA23E782FE"/>
        <w:category>
          <w:name w:val="General"/>
          <w:gallery w:val="placeholder"/>
        </w:category>
        <w:types>
          <w:type w:val="bbPlcHdr"/>
        </w:types>
        <w:behaviors>
          <w:behavior w:val="content"/>
        </w:behaviors>
        <w:guid w:val="{9756CC06-8AB5-E945-8FE7-64CFCF1C675F}"/>
      </w:docPartPr>
      <w:docPartBody>
        <w:p w:rsidR="00A15844" w:rsidRDefault="00DE4634" w:rsidP="00DE4634">
          <w:pPr>
            <w:pStyle w:val="AD31723261124A41906E8EDA23E782FE"/>
          </w:pPr>
          <w:r w:rsidRPr="00395E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34"/>
    <w:rsid w:val="00022197"/>
    <w:rsid w:val="00097210"/>
    <w:rsid w:val="000A7B82"/>
    <w:rsid w:val="002749CC"/>
    <w:rsid w:val="00743299"/>
    <w:rsid w:val="00927BC9"/>
    <w:rsid w:val="00A15844"/>
    <w:rsid w:val="00AB4980"/>
    <w:rsid w:val="00DE4634"/>
    <w:rsid w:val="00FF3A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634"/>
    <w:rPr>
      <w:color w:val="808080"/>
    </w:rPr>
  </w:style>
  <w:style w:type="paragraph" w:customStyle="1" w:styleId="9168ADF46F7C75479F74145949A46017">
    <w:name w:val="9168ADF46F7C75479F74145949A46017"/>
    <w:rsid w:val="00DE4634"/>
  </w:style>
  <w:style w:type="paragraph" w:customStyle="1" w:styleId="6580BDEC67CC9B44A80F4A90B41B2671">
    <w:name w:val="6580BDEC67CC9B44A80F4A90B41B2671"/>
    <w:rsid w:val="00DE4634"/>
  </w:style>
  <w:style w:type="paragraph" w:customStyle="1" w:styleId="9D6DCD739DB95042B96C812F88AD6F6E">
    <w:name w:val="9D6DCD739DB95042B96C812F88AD6F6E"/>
    <w:rsid w:val="00DE4634"/>
  </w:style>
  <w:style w:type="paragraph" w:customStyle="1" w:styleId="E5349711032D804293BF84FC573085A0">
    <w:name w:val="E5349711032D804293BF84FC573085A0"/>
    <w:rsid w:val="00DE4634"/>
  </w:style>
  <w:style w:type="paragraph" w:customStyle="1" w:styleId="F6EA0D9C170B214395315D0030F83A87">
    <w:name w:val="F6EA0D9C170B214395315D0030F83A87"/>
    <w:rsid w:val="00DE4634"/>
  </w:style>
  <w:style w:type="paragraph" w:customStyle="1" w:styleId="3BDB7A862842464B887151F4F05DEAB7">
    <w:name w:val="3BDB7A862842464B887151F4F05DEAB7"/>
    <w:rsid w:val="00DE4634"/>
  </w:style>
  <w:style w:type="paragraph" w:customStyle="1" w:styleId="881D8F167B32B845BACC20C957195E6B">
    <w:name w:val="881D8F167B32B845BACC20C957195E6B"/>
    <w:rsid w:val="00DE4634"/>
  </w:style>
  <w:style w:type="paragraph" w:customStyle="1" w:styleId="D790BB07E3D6D949914FC20ACE1B8771">
    <w:name w:val="D790BB07E3D6D949914FC20ACE1B8771"/>
    <w:rsid w:val="00DE4634"/>
  </w:style>
  <w:style w:type="paragraph" w:customStyle="1" w:styleId="EBD142610B330E469EFBA0228E9089BE">
    <w:name w:val="EBD142610B330E469EFBA0228E9089BE"/>
    <w:rsid w:val="00DE4634"/>
  </w:style>
  <w:style w:type="paragraph" w:customStyle="1" w:styleId="A32FB8B43215DC4AAB26DFF0237BDDF9">
    <w:name w:val="A32FB8B43215DC4AAB26DFF0237BDDF9"/>
    <w:rsid w:val="00DE4634"/>
  </w:style>
  <w:style w:type="paragraph" w:customStyle="1" w:styleId="FCE25E896B99B54C94CF6DEB9F0AEA0D">
    <w:name w:val="FCE25E896B99B54C94CF6DEB9F0AEA0D"/>
    <w:rsid w:val="00DE4634"/>
  </w:style>
  <w:style w:type="paragraph" w:customStyle="1" w:styleId="81593B0246EAAC43B7BACF12C7CD5979">
    <w:name w:val="81593B0246EAAC43B7BACF12C7CD5979"/>
    <w:rsid w:val="00DE4634"/>
  </w:style>
  <w:style w:type="paragraph" w:customStyle="1" w:styleId="EDA5F15C6E01C44FB33363DE6E342A74">
    <w:name w:val="EDA5F15C6E01C44FB33363DE6E342A74"/>
    <w:rsid w:val="00DE4634"/>
  </w:style>
  <w:style w:type="paragraph" w:customStyle="1" w:styleId="84CC71572527A1488CDE727DD878FFB7">
    <w:name w:val="84CC71572527A1488CDE727DD878FFB7"/>
    <w:rsid w:val="00DE4634"/>
  </w:style>
  <w:style w:type="paragraph" w:customStyle="1" w:styleId="DE1D3F53A0CFCC48B7E3930A868E61B5">
    <w:name w:val="DE1D3F53A0CFCC48B7E3930A868E61B5"/>
    <w:rsid w:val="00DE4634"/>
  </w:style>
  <w:style w:type="paragraph" w:customStyle="1" w:styleId="B85ED1F9906BE149A4B77F9F9D06B2B1">
    <w:name w:val="B85ED1F9906BE149A4B77F9F9D06B2B1"/>
    <w:rsid w:val="00DE4634"/>
  </w:style>
  <w:style w:type="paragraph" w:customStyle="1" w:styleId="31874E2C361AFF4892FC6E7342BA57A1">
    <w:name w:val="31874E2C361AFF4892FC6E7342BA57A1"/>
    <w:rsid w:val="00DE4634"/>
  </w:style>
  <w:style w:type="paragraph" w:customStyle="1" w:styleId="AD31723261124A41906E8EDA23E782FE">
    <w:name w:val="AD31723261124A41906E8EDA23E782FE"/>
    <w:rsid w:val="00DE4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17</Pages>
  <Words>4869</Words>
  <Characters>27756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Buelow</dc:creator>
  <cp:keywords/>
  <dc:description/>
  <cp:lastModifiedBy>Christina Buelow</cp:lastModifiedBy>
  <cp:revision>26</cp:revision>
  <dcterms:created xsi:type="dcterms:W3CDTF">2022-10-02T23:12:00Z</dcterms:created>
  <dcterms:modified xsi:type="dcterms:W3CDTF">2022-10-19T23:05:00Z</dcterms:modified>
</cp:coreProperties>
</file>