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4310" cy="49466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</w:rPr>
        <w:t>Fig.</w:t>
      </w:r>
      <w:r>
        <w:rPr>
          <w:b/>
          <w:bCs/>
        </w:rPr>
        <w:t xml:space="preserve"> supplementary </w:t>
      </w:r>
      <w:r>
        <w:rPr>
          <w:rFonts w:hint="eastAsia"/>
          <w:b/>
          <w:bCs/>
        </w:rPr>
        <w:t>Fig.</w:t>
      </w:r>
      <w:r>
        <w:rPr>
          <w:b/>
          <w:bCs/>
        </w:rPr>
        <w:t xml:space="preserve"> S1 </w:t>
      </w:r>
      <w:r>
        <w:t xml:space="preserve">Analysis of the relationship between </w:t>
      </w:r>
      <w:r>
        <w:rPr>
          <w:rFonts w:hint="eastAsia"/>
        </w:rPr>
        <w:t>CD276</w:t>
      </w:r>
      <w:r>
        <w:t xml:space="preserve"> expression and clinicopathological parameters in cancers. (A-T) The clinical relevance of </w:t>
      </w:r>
      <w:r>
        <w:rPr>
          <w:rFonts w:hint="eastAsia"/>
        </w:rPr>
        <w:t>CD276</w:t>
      </w:r>
      <w:r>
        <w:t xml:space="preserve"> in different cancer stages was analyzed using UALCAN database. </w:t>
      </w:r>
    </w:p>
    <w:p>
      <w:r>
        <w:drawing>
          <wp:inline distT="0" distB="0" distL="0" distR="0">
            <wp:extent cx="5274310" cy="264223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</w:rPr>
        <w:t>Fig.</w:t>
      </w:r>
      <w:r>
        <w:rPr>
          <w:b/>
          <w:bCs/>
        </w:rPr>
        <w:t xml:space="preserve"> supplementary </w:t>
      </w:r>
      <w:r>
        <w:rPr>
          <w:rFonts w:hint="eastAsia"/>
          <w:b/>
          <w:bCs/>
        </w:rPr>
        <w:t>Fig.</w:t>
      </w:r>
      <w:r>
        <w:rPr>
          <w:b/>
          <w:bCs/>
        </w:rPr>
        <w:t xml:space="preserve"> S2 </w:t>
      </w:r>
      <w:r>
        <w:t xml:space="preserve">Analysis of the relevance between </w:t>
      </w:r>
      <w:r>
        <w:rPr>
          <w:rFonts w:hint="eastAsia"/>
        </w:rPr>
        <w:t>CD276</w:t>
      </w:r>
      <w:r>
        <w:t xml:space="preserve"> expression and clinicopathological parameters in different cancers. (A-F) The clinical correlation of </w:t>
      </w:r>
      <w:r>
        <w:rPr>
          <w:rFonts w:hint="eastAsia"/>
        </w:rPr>
        <w:t>CD276</w:t>
      </w:r>
      <w:r>
        <w:t xml:space="preserve"> in different cancer stages was analyzed using UALCAN database, and the expression of </w:t>
      </w:r>
      <w:r>
        <w:rPr>
          <w:rFonts w:hint="eastAsia"/>
        </w:rPr>
        <w:t>CD276</w:t>
      </w:r>
      <w:r>
        <w:t xml:space="preserve"> in different cancer stages shown in the </w:t>
      </w:r>
      <w:r>
        <w:rPr>
          <w:rFonts w:hint="eastAsia"/>
        </w:rPr>
        <w:t>Fig.</w:t>
      </w:r>
      <w:r>
        <w:t xml:space="preserve"> was not statistically significant.</w:t>
      </w:r>
    </w:p>
    <w:p>
      <w:r>
        <w:drawing>
          <wp:inline distT="0" distB="0" distL="0" distR="0">
            <wp:extent cx="5274310" cy="3958590"/>
            <wp:effectExtent l="0" t="0" r="254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</w:rPr>
        <w:t>Fig.</w:t>
      </w:r>
      <w:r>
        <w:rPr>
          <w:b/>
          <w:bCs/>
        </w:rPr>
        <w:t xml:space="preserve"> supplementary </w:t>
      </w:r>
      <w:r>
        <w:rPr>
          <w:rFonts w:hint="eastAsia"/>
          <w:b/>
          <w:bCs/>
        </w:rPr>
        <w:t>Fig.</w:t>
      </w:r>
      <w:r>
        <w:rPr>
          <w:b/>
          <w:bCs/>
        </w:rPr>
        <w:t xml:space="preserve"> S3 </w:t>
      </w:r>
      <w:r>
        <w:t xml:space="preserve">Analysis of DNA methylation in pan-cancer. (A-I) UALCAN database was used to explore promoter methylation levels of </w:t>
      </w:r>
      <w:r>
        <w:rPr>
          <w:rFonts w:hint="eastAsia"/>
        </w:rPr>
        <w:t>CD276</w:t>
      </w:r>
      <w:r>
        <w:t xml:space="preserve"> in different cancers, and the cancers selected in the </w:t>
      </w:r>
      <w:r>
        <w:rPr>
          <w:rFonts w:hint="eastAsia"/>
        </w:rPr>
        <w:t>Fig.</w:t>
      </w:r>
      <w:r>
        <w:t xml:space="preserve"> showed statistical differences between tumors and normal tissues.</w:t>
      </w:r>
    </w:p>
    <w:p>
      <w:r>
        <w:drawing>
          <wp:inline distT="0" distB="0" distL="0" distR="0">
            <wp:extent cx="5274310" cy="6043930"/>
            <wp:effectExtent l="0" t="0" r="254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</w:rPr>
        <w:t>Fig.</w:t>
      </w:r>
      <w:r>
        <w:rPr>
          <w:b/>
          <w:bCs/>
        </w:rPr>
        <w:t xml:space="preserve"> supplementary </w:t>
      </w:r>
      <w:r>
        <w:rPr>
          <w:rFonts w:hint="eastAsia"/>
          <w:b/>
          <w:bCs/>
        </w:rPr>
        <w:t>Fig.</w:t>
      </w:r>
      <w:r>
        <w:rPr>
          <w:b/>
          <w:bCs/>
        </w:rPr>
        <w:t xml:space="preserve"> S4</w:t>
      </w:r>
      <w:r>
        <w:t xml:space="preserve"> </w:t>
      </w:r>
      <w:r>
        <w:rPr>
          <w:rFonts w:hint="eastAsia"/>
        </w:rPr>
        <w:t>CD276</w:t>
      </w:r>
      <w:r>
        <w:t xml:space="preserve"> is highly expressed in many cancers and normal tissues. Immunohistochemical results of HPA dataset showed that protein expression of </w:t>
      </w:r>
      <w:r>
        <w:rPr>
          <w:rFonts w:hint="eastAsia"/>
        </w:rPr>
        <w:t>CD276</w:t>
      </w:r>
      <w:r>
        <w:t xml:space="preserve"> was high in various cancers, just as shown in </w:t>
      </w:r>
      <w:r>
        <w:rPr>
          <w:rFonts w:hint="eastAsia"/>
        </w:rPr>
        <w:t>Fig.</w:t>
      </w:r>
      <w:r>
        <w:t xml:space="preserve"> A-E, and protein expression of </w:t>
      </w:r>
      <w:r>
        <w:rPr>
          <w:rFonts w:hint="eastAsia"/>
        </w:rPr>
        <w:t>CD276</w:t>
      </w:r>
      <w:r>
        <w:t xml:space="preserve"> was also high in various normal tissues, just as shown in </w:t>
      </w:r>
      <w:r>
        <w:rPr>
          <w:rFonts w:hint="eastAsia"/>
        </w:rPr>
        <w:t>Fig.</w:t>
      </w:r>
      <w:r>
        <w:t xml:space="preserve"> F-I.</w:t>
      </w:r>
    </w:p>
    <w:p>
      <w:r>
        <w:drawing>
          <wp:inline distT="0" distB="0" distL="0" distR="0">
            <wp:extent cx="2879725" cy="2517775"/>
            <wp:effectExtent l="0" t="0" r="635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</w:rPr>
        <w:t>Fig.</w:t>
      </w:r>
      <w:r>
        <w:rPr>
          <w:b/>
          <w:bCs/>
        </w:rPr>
        <w:t xml:space="preserve"> supplementary </w:t>
      </w:r>
      <w:r>
        <w:rPr>
          <w:rFonts w:hint="eastAsia"/>
          <w:b/>
          <w:bCs/>
        </w:rPr>
        <w:t>Fig.</w:t>
      </w:r>
      <w:r>
        <w:rPr>
          <w:b/>
          <w:bCs/>
        </w:rPr>
        <w:t xml:space="preserve"> S5 </w:t>
      </w:r>
      <w:r>
        <w:t xml:space="preserve">After constructing PPI network, we obtained a series of proteins closely related to </w:t>
      </w:r>
      <w:r>
        <w:rPr>
          <w:rFonts w:hint="eastAsia"/>
        </w:rPr>
        <w:t>CD276</w:t>
      </w:r>
      <w:r>
        <w:t xml:space="preserve">. DAVID database was used to conduct GO and KEGG enrichment analysis on </w:t>
      </w:r>
      <w:r>
        <w:rPr>
          <w:rFonts w:hint="eastAsia"/>
        </w:rPr>
        <w:t>CD276</w:t>
      </w:r>
      <w:r>
        <w:t xml:space="preserve"> and its related genes, so as to explore the biological functions associated with </w:t>
      </w:r>
      <w:r>
        <w:rPr>
          <w:rFonts w:hint="eastAsia"/>
        </w:rPr>
        <w:t>CD276</w:t>
      </w:r>
    </w:p>
    <w:p>
      <w:r>
        <w:drawing>
          <wp:inline distT="0" distB="0" distL="0" distR="0">
            <wp:extent cx="5274310" cy="2642235"/>
            <wp:effectExtent l="0" t="0" r="254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</w:rPr>
        <w:t>Fig.</w:t>
      </w:r>
      <w:r>
        <w:rPr>
          <w:b/>
          <w:bCs/>
        </w:rPr>
        <w:t xml:space="preserve"> supplementary </w:t>
      </w:r>
      <w:r>
        <w:rPr>
          <w:rFonts w:hint="eastAsia"/>
          <w:b/>
          <w:bCs/>
        </w:rPr>
        <w:t>Fig.</w:t>
      </w:r>
      <w:r>
        <w:rPr>
          <w:b/>
          <w:bCs/>
        </w:rPr>
        <w:t xml:space="preserve"> S6 </w:t>
      </w:r>
      <w:r>
        <w:t xml:space="preserve">Merged enrichment plots for </w:t>
      </w:r>
      <w:r>
        <w:rPr>
          <w:rFonts w:hint="eastAsia"/>
        </w:rPr>
        <w:t>CD276</w:t>
      </w:r>
      <w:r>
        <w:t xml:space="preserve"> on the basis of GSEA in pan-cancer. </w:t>
      </w:r>
      <w:r>
        <w:rPr>
          <w:rFonts w:hint="eastAsia"/>
        </w:rPr>
        <w:t>Fig.</w:t>
      </w:r>
      <w:r>
        <w:t xml:space="preserve"> A-</w:t>
      </w:r>
      <w:r>
        <w:rPr>
          <w:rFonts w:hint="eastAsia"/>
          <w:lang w:val="en-US" w:eastAsia="zh-CN"/>
        </w:rPr>
        <w:t>H</w:t>
      </w:r>
      <w:bookmarkStart w:id="0" w:name="_GoBack"/>
      <w:bookmarkEnd w:id="0"/>
      <w:r>
        <w:t xml:space="preserve"> shows the signaling pathways associated with </w:t>
      </w:r>
      <w:r>
        <w:rPr>
          <w:rFonts w:hint="eastAsia"/>
        </w:rPr>
        <w:t>CD276</w:t>
      </w:r>
      <w:r>
        <w:t xml:space="preserve"> by GO, KEGG and Reactome analysis, including those involved in neutrophil degranulation and signaling by interleukins. </w:t>
      </w:r>
    </w:p>
    <w:p>
      <w:r>
        <w:drawing>
          <wp:inline distT="0" distB="0" distL="0" distR="0">
            <wp:extent cx="5274310" cy="4538345"/>
            <wp:effectExtent l="0" t="0" r="254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</w:rPr>
        <w:t>Fig.</w:t>
      </w:r>
      <w:r>
        <w:rPr>
          <w:b/>
          <w:bCs/>
        </w:rPr>
        <w:t xml:space="preserve"> supplementary </w:t>
      </w:r>
      <w:r>
        <w:rPr>
          <w:rFonts w:hint="eastAsia"/>
          <w:b/>
          <w:bCs/>
        </w:rPr>
        <w:t>Fig.</w:t>
      </w:r>
      <w:r>
        <w:rPr>
          <w:b/>
          <w:bCs/>
        </w:rPr>
        <w:t xml:space="preserve"> S7 </w:t>
      </w:r>
      <w:r>
        <w:t xml:space="preserve">The relationship between </w:t>
      </w:r>
      <w:r>
        <w:rPr>
          <w:rFonts w:hint="eastAsia"/>
        </w:rPr>
        <w:t>CD276</w:t>
      </w:r>
      <w:r>
        <w:t xml:space="preserve"> and immunoregulation-related genes. The relevance between the expression of </w:t>
      </w:r>
      <w:r>
        <w:rPr>
          <w:rFonts w:hint="eastAsia"/>
        </w:rPr>
        <w:t>CD276</w:t>
      </w:r>
      <w:r>
        <w:t xml:space="preserve"> and immune-activating genes, immunosuppressive genes, chemokine receptors and chemokines were analyzed using TISDB database.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MWFiMmNkYTYzNDUzMDg5ZmRjOTg4NmVhNTExZTYifQ=="/>
  </w:docVars>
  <w:rsids>
    <w:rsidRoot w:val="00000000"/>
    <w:rsid w:val="35BF6BEA"/>
    <w:rsid w:val="7AE5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292</Words>
  <Characters>1707</Characters>
  <Lines>0</Lines>
  <Paragraphs>0</Paragraphs>
  <TotalTime>5</TotalTime>
  <ScaleCrop>false</ScaleCrop>
  <LinksUpToDate>false</LinksUpToDate>
  <CharactersWithSpaces>1994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2022-11-04T11:50:24Z</dcterms:created>
  <dc:creator>HilarioFurors</dc:creator>
  <cp:lastModifiedBy>戴礼瑞</cp:lastModifiedBy>
  <dcterms:modified xsi:type="dcterms:W3CDTF">2022-11-04T11:56:37Z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953141043D1E42AC96B229039FAE0BA6</vt:lpwstr>
  </property>
</Properties>
</file>