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77C82" w14:textId="1D2BF238" w:rsidR="008B487D" w:rsidRDefault="008B487D" w:rsidP="000F1835">
      <w:pPr>
        <w:pStyle w:val="Heading1"/>
      </w:pPr>
      <w:r>
        <w:t>Supplementary Material</w:t>
      </w:r>
    </w:p>
    <w:p w14:paraId="1DF23B35" w14:textId="0A82A21D" w:rsidR="008B487D" w:rsidRDefault="008B487D" w:rsidP="008B487D">
      <w:pPr>
        <w:rPr>
          <w:u w:val="single"/>
        </w:rPr>
      </w:pPr>
      <w:r>
        <w:rPr>
          <w:u w:val="single"/>
        </w:rPr>
        <w:t>Fourier Analysis of AMR Signals</w:t>
      </w:r>
    </w:p>
    <w:p w14:paraId="33C03FD9" w14:textId="77777777" w:rsidR="006A3A94" w:rsidRDefault="006A3A94" w:rsidP="000F1835">
      <w:pPr>
        <w:keepNext/>
        <w:spacing w:line="240" w:lineRule="auto"/>
      </w:pPr>
      <w:r w:rsidRPr="006A3A94">
        <w:rPr>
          <w:noProof/>
        </w:rPr>
        <w:drawing>
          <wp:inline distT="0" distB="0" distL="0" distR="0" wp14:anchorId="1BC31A15" wp14:editId="5BC6104B">
            <wp:extent cx="4907328" cy="3641010"/>
            <wp:effectExtent l="0" t="0" r="7620" b="0"/>
            <wp:docPr id="2" name="Picture 2"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 histo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07328" cy="3641010"/>
                    </a:xfrm>
                    <a:prstGeom prst="rect">
                      <a:avLst/>
                    </a:prstGeom>
                  </pic:spPr>
                </pic:pic>
              </a:graphicData>
            </a:graphic>
          </wp:inline>
        </w:drawing>
      </w:r>
    </w:p>
    <w:p w14:paraId="5091E2F0" w14:textId="6971716C" w:rsidR="008B487D" w:rsidRDefault="006A3A94" w:rsidP="000F1835">
      <w:pPr>
        <w:pStyle w:val="Caption"/>
      </w:pPr>
      <w:r>
        <w:t>Figure S</w:t>
      </w:r>
      <w:fldSimple w:instr=" SEQ Figure \* ARABIC ">
        <w:r w:rsidR="000739C7">
          <w:rPr>
            <w:noProof/>
          </w:rPr>
          <w:t>1</w:t>
        </w:r>
      </w:fldSimple>
      <w:r>
        <w:t>- Fast-Fourier transformation of AMR signals over 20 rotations of applied rotating fields of magnitude (top left to bottom right) 20, 25, 30, and 35 Oe at 37Hz, with peaks at 37 Hz (1f) and 74 Hz (2f).</w:t>
      </w:r>
    </w:p>
    <w:p w14:paraId="419D5C75" w14:textId="7F6E1A0F" w:rsidR="00CE0428" w:rsidRDefault="00CE0428" w:rsidP="000F1835">
      <w:pPr>
        <w:pStyle w:val="Caption"/>
        <w:rPr>
          <w:rFonts w:asciiTheme="minorHAnsi" w:hAnsiTheme="minorHAnsi" w:cstheme="minorHAnsi"/>
          <w:i w:val="0"/>
          <w:iCs w:val="0"/>
          <w:u w:val="single"/>
        </w:rPr>
      </w:pPr>
      <w:r>
        <w:rPr>
          <w:rFonts w:asciiTheme="minorHAnsi" w:hAnsiTheme="minorHAnsi" w:cstheme="minorHAnsi"/>
          <w:i w:val="0"/>
          <w:iCs w:val="0"/>
          <w:u w:val="single"/>
        </w:rPr>
        <w:t>Memory Comparison between Reservoir Configurations</w:t>
      </w:r>
    </w:p>
    <w:p w14:paraId="3370843A" w14:textId="77777777" w:rsidR="000739C7" w:rsidRDefault="000739C7" w:rsidP="000739C7">
      <w:pPr>
        <w:pStyle w:val="Caption"/>
        <w:keepNext/>
      </w:pPr>
      <w:r w:rsidRPr="000739C7">
        <w:rPr>
          <w:rFonts w:asciiTheme="minorHAnsi" w:hAnsiTheme="minorHAnsi" w:cstheme="minorHAnsi"/>
          <w:i w:val="0"/>
          <w:iCs w:val="0"/>
          <w:noProof/>
        </w:rPr>
        <w:drawing>
          <wp:inline distT="0" distB="0" distL="0" distR="0" wp14:anchorId="5A650FF4" wp14:editId="34CC7F3C">
            <wp:extent cx="5679359" cy="1640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83675" cy="1641452"/>
                    </a:xfrm>
                    <a:prstGeom prst="rect">
                      <a:avLst/>
                    </a:prstGeom>
                  </pic:spPr>
                </pic:pic>
              </a:graphicData>
            </a:graphic>
          </wp:inline>
        </w:drawing>
      </w:r>
    </w:p>
    <w:p w14:paraId="4442F079" w14:textId="3C8D8DAB" w:rsidR="000739C7" w:rsidRPr="00CE0428" w:rsidRDefault="000739C7" w:rsidP="000F1835">
      <w:pPr>
        <w:pStyle w:val="Caption"/>
        <w:rPr>
          <w:rFonts w:asciiTheme="minorHAnsi" w:hAnsiTheme="minorHAnsi" w:cstheme="minorHAnsi"/>
          <w:i w:val="0"/>
          <w:iCs w:val="0"/>
          <w:u w:val="single"/>
        </w:rPr>
      </w:pPr>
      <w:r>
        <w:t>Figure S</w:t>
      </w:r>
      <w:fldSimple w:instr=" SEQ Figure \* ARABIC ">
        <w:r>
          <w:rPr>
            <w:noProof/>
          </w:rPr>
          <w:t>2</w:t>
        </w:r>
      </w:fldSimple>
      <w:r>
        <w:t>- Comparison of linear memory capacity between the three reservoir configurations, (A) signal sub-sample reservoir, (B) Single dynamical node reservoir, and (C) rotating neurons reservoir.</w:t>
      </w:r>
    </w:p>
    <w:p w14:paraId="283AA532" w14:textId="77777777" w:rsidR="003D4D11" w:rsidRDefault="003D4D11" w:rsidP="000F1835">
      <w:pPr>
        <w:pStyle w:val="Standard"/>
        <w:jc w:val="both"/>
        <w:rPr>
          <w:rFonts w:ascii="Times New Roman" w:hAnsi="Times New Roman" w:cs="Times New Roman"/>
          <w:u w:val="single"/>
        </w:rPr>
      </w:pPr>
      <w:r>
        <w:rPr>
          <w:rFonts w:ascii="Times New Roman" w:hAnsi="Times New Roman" w:cs="Times New Roman"/>
          <w:u w:val="single"/>
        </w:rPr>
        <w:t>Pre-Processing of Spoken Digit Recognition Data</w:t>
      </w:r>
    </w:p>
    <w:p w14:paraId="708EF45E" w14:textId="71B30F00" w:rsidR="003D4D11" w:rsidRPr="003D4D11" w:rsidRDefault="003D4D11" w:rsidP="000F1835">
      <w:pPr>
        <w:pStyle w:val="Standard"/>
        <w:jc w:val="both"/>
        <w:rPr>
          <w:rFonts w:ascii="Times New Roman" w:hAnsi="Times New Roman" w:cs="Times New Roman"/>
        </w:rPr>
      </w:pPr>
      <w:r w:rsidRPr="001341E7">
        <w:rPr>
          <w:rFonts w:ascii="Times New Roman" w:hAnsi="Times New Roman" w:cs="Times New Roman"/>
        </w:rPr>
        <w:t>The speech data was taken from a subsample of the TI-46 database</w:t>
      </w:r>
      <w:sdt>
        <w:sdtPr>
          <w:rPr>
            <w:rFonts w:ascii="Times New Roman" w:hAnsi="Times New Roman" w:cs="Times New Roman"/>
            <w:color w:val="000000"/>
            <w:vertAlign w:val="superscript"/>
          </w:rPr>
          <w:tag w:val="MENDELEY_CITATION_v3_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"/>
          <w:id w:val="649251455"/>
          <w:placeholder>
            <w:docPart w:val="45F1FDAB45504656BDB05E45582BDBBF"/>
          </w:placeholder>
        </w:sdtPr>
        <w:sdtEndPr>
          <w:rPr>
            <w:rFonts w:ascii="Liberation Serif" w:hAnsi="Liberation Serif" w:cs="Lohit Devanagari"/>
          </w:rPr>
        </w:sdtEndPr>
        <w:sdtContent>
          <w:r w:rsidR="00CE0428" w:rsidRPr="00CE0428">
            <w:rPr>
              <w:color w:val="000000"/>
              <w:vertAlign w:val="superscript"/>
            </w:rPr>
            <w:t>1</w:t>
          </w:r>
        </w:sdtContent>
      </w:sdt>
      <w:r w:rsidRPr="001341E7">
        <w:rPr>
          <w:rFonts w:ascii="Times New Roman" w:hAnsi="Times New Roman" w:cs="Times New Roman"/>
        </w:rPr>
        <w:t>, where each of five female speakers provided ten utterances of each digit. Audio features were extracted from the raw-audio waves using a Mel-Frequency Cepstral filter</w:t>
      </w:r>
      <w:sdt>
        <w:sdtPr>
          <w:rPr>
            <w:rFonts w:ascii="Times New Roman" w:hAnsi="Times New Roman" w:cs="Times New Roman"/>
            <w:color w:val="000000"/>
            <w:vertAlign w:val="superscript"/>
          </w:rPr>
          <w:tag w:val="MENDELEY_CITATION_v3_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"/>
          <w:id w:val="1226567261"/>
          <w:placeholder>
            <w:docPart w:val="45F1FDAB45504656BDB05E45582BDBBF"/>
          </w:placeholder>
        </w:sdtPr>
        <w:sdtEndPr>
          <w:rPr>
            <w:rFonts w:ascii="Liberation Serif" w:hAnsi="Liberation Serif" w:cs="Lohit Devanagari"/>
          </w:rPr>
        </w:sdtEndPr>
        <w:sdtContent>
          <w:r w:rsidR="00CE0428" w:rsidRPr="00CE0428">
            <w:rPr>
              <w:color w:val="000000"/>
              <w:vertAlign w:val="superscript"/>
            </w:rPr>
            <w:t>2</w:t>
          </w:r>
        </w:sdtContent>
      </w:sdt>
      <w:r>
        <w:rPr>
          <w:rFonts w:ascii="Times New Roman" w:hAnsi="Times New Roman" w:cs="Times New Roman"/>
        </w:rPr>
        <w:t xml:space="preserve"> </w:t>
      </w:r>
      <w:r w:rsidRPr="001341E7">
        <w:rPr>
          <w:rFonts w:ascii="Times New Roman" w:hAnsi="Times New Roman" w:cs="Times New Roman"/>
        </w:rPr>
        <w:t xml:space="preserve">which produced a discrete-time power response in 13 frequency bands across 50 ms windows. This produced an unmasked signal of length [13, τ], where τ is equal to the number of windows generated by a given utterance. These signals were time-multiplexed using the masking procedure described previously and a mask </w:t>
      </w:r>
      <w:r w:rsidRPr="001341E7">
        <w:rPr>
          <w:rFonts w:ascii="Times New Roman" w:hAnsi="Times New Roman" w:cs="Times New Roman"/>
        </w:rPr>
        <w:lastRenderedPageBreak/>
        <w:t xml:space="preserve">of size [13, </w:t>
      </w:r>
      <w:r w:rsidR="00647A96">
        <w:rPr>
          <w:rFonts w:ascii="Times New Roman" w:hAnsi="Times New Roman" w:cs="Times New Roman"/>
        </w:rPr>
        <w:t>50</w:t>
      </w:r>
      <w:r w:rsidRPr="001341E7">
        <w:rPr>
          <w:rFonts w:ascii="Times New Roman" w:hAnsi="Times New Roman" w:cs="Times New Roman"/>
        </w:rPr>
        <w:t xml:space="preserve">], producing a 1D input vector of length </w:t>
      </w:r>
      <m:oMath>
        <m:r>
          <w:rPr>
            <w:rFonts w:ascii="Cambria Math" w:hAnsi="Cambria Math" w:cs="Times New Roman"/>
          </w:rPr>
          <m:t>48*τ</m:t>
        </m:r>
      </m:oMath>
      <w:r w:rsidRPr="001341E7">
        <w:rPr>
          <w:rFonts w:ascii="Times New Roman" w:hAnsi="Times New Roman" w:cs="Times New Roman"/>
        </w:rPr>
        <w:t xml:space="preserve">. The number of virtual nodes was kept at </w:t>
      </w:r>
      <w:r w:rsidR="00647A96">
        <w:rPr>
          <w:rFonts w:ascii="Times New Roman" w:hAnsi="Times New Roman" w:cs="Times New Roman"/>
        </w:rPr>
        <w:t>50</w:t>
      </w:r>
      <w:r w:rsidRPr="001341E7">
        <w:rPr>
          <w:rFonts w:ascii="Times New Roman" w:hAnsi="Times New Roman" w:cs="Times New Roman"/>
        </w:rPr>
        <w:t xml:space="preserve"> as a compromise between providing a thorough mix of input dimensions, while keeping the number of datapoints</w:t>
      </w:r>
      <w:r w:rsidR="00647A96">
        <w:rPr>
          <w:rFonts w:ascii="Times New Roman" w:hAnsi="Times New Roman" w:cs="Times New Roman"/>
        </w:rPr>
        <w:t xml:space="preserve"> low</w:t>
      </w:r>
      <w:r w:rsidRPr="001341E7">
        <w:rPr>
          <w:rFonts w:ascii="Times New Roman" w:hAnsi="Times New Roman" w:cs="Times New Roman"/>
        </w:rPr>
        <w:t>. The process was repeated for each of the 500 raw input signals, which were then normalised against the maximum value from the resulting pre-processed dataset.</w:t>
      </w:r>
    </w:p>
    <w:p w14:paraId="07377221" w14:textId="6CE03645" w:rsidR="00125A0D" w:rsidRDefault="00705684" w:rsidP="000F1835">
      <w:pPr>
        <w:pStyle w:val="Standard"/>
        <w:jc w:val="both"/>
        <w:rPr>
          <w:rFonts w:ascii="Times New Roman" w:hAnsi="Times New Roman" w:cs="Times New Roman"/>
          <w:u w:val="single"/>
        </w:rPr>
      </w:pPr>
      <w:r>
        <w:rPr>
          <w:rFonts w:ascii="Times New Roman" w:hAnsi="Times New Roman" w:cs="Times New Roman"/>
          <w:u w:val="single"/>
        </w:rPr>
        <w:t xml:space="preserve"> </w:t>
      </w:r>
    </w:p>
    <w:p w14:paraId="2852E25E" w14:textId="5B68CB2D" w:rsidR="00125A0D" w:rsidRDefault="00125A0D" w:rsidP="000F1835">
      <w:pPr>
        <w:pStyle w:val="Standard"/>
        <w:jc w:val="both"/>
        <w:rPr>
          <w:rFonts w:ascii="Times New Roman" w:hAnsi="Times New Roman" w:cs="Times New Roman"/>
          <w:u w:val="single"/>
        </w:rPr>
      </w:pPr>
      <w:r w:rsidRPr="00977027">
        <w:rPr>
          <w:rFonts w:ascii="Times New Roman" w:hAnsi="Times New Roman" w:cs="Times New Roman"/>
          <w:u w:val="single"/>
        </w:rPr>
        <w:t>SpaRCe</w:t>
      </w:r>
    </w:p>
    <w:p w14:paraId="43A8F3B9" w14:textId="55BEAFCC" w:rsidR="004D4367" w:rsidRDefault="004D4367" w:rsidP="000F1835">
      <w:pPr>
        <w:pStyle w:val="Caption"/>
        <w:jc w:val="both"/>
        <w:rPr>
          <w:rFonts w:ascii="Times New Roman" w:hAnsi="Times New Roman" w:cs="Times New Roman"/>
          <w:i w:val="0"/>
          <w:iCs w:val="0"/>
        </w:rPr>
      </w:pPr>
      <w:r>
        <w:rPr>
          <w:rFonts w:ascii="Times New Roman" w:hAnsi="Times New Roman" w:cs="Times New Roman"/>
          <w:i w:val="0"/>
          <w:iCs w:val="0"/>
        </w:rPr>
        <w:t>While simple linear regression techniques like ridge regression can be used to analytically find the weights that provide the least-squares difference between training data and target labels, more advanced learning rules are able to converge to different sets of output weights which provide a more robust classification platform. One such learning rule that has been demonstrated to be effective for RC is SpaRCe</w:t>
      </w:r>
      <w:sdt>
        <w:sdtPr>
          <w:rPr>
            <w:rFonts w:ascii="Times New Roman" w:hAnsi="Times New Roman" w:cs="Times New Roman"/>
            <w:i w:val="0"/>
            <w:iCs w:val="0"/>
            <w:color w:val="000000"/>
            <w:vertAlign w:val="superscript"/>
          </w:rPr>
          <w:tag w:val="MENDELEY_CITATION_v3_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"/>
          <w:id w:val="1084873891"/>
          <w:placeholder>
            <w:docPart w:val="F751EF83EB424FFFA48B589D9E5B4607"/>
          </w:placeholder>
        </w:sdtPr>
        <w:sdtContent>
          <w:r w:rsidR="00CE0428" w:rsidRPr="00CE0428">
            <w:rPr>
              <w:rFonts w:ascii="Times New Roman" w:hAnsi="Times New Roman" w:cs="Times New Roman"/>
              <w:i w:val="0"/>
              <w:iCs w:val="0"/>
              <w:color w:val="000000"/>
              <w:vertAlign w:val="superscript"/>
            </w:rPr>
            <w:t>3</w:t>
          </w:r>
        </w:sdtContent>
      </w:sdt>
      <w:r>
        <w:rPr>
          <w:rFonts w:ascii="Times New Roman" w:hAnsi="Times New Roman" w:cs="Times New Roman"/>
          <w:i w:val="0"/>
          <w:iCs w:val="0"/>
        </w:rPr>
        <w:t xml:space="preserve"> - a bio-inspired algorithm that utilises learnable thresholds on output neurons to introduce sparse representations of data and promote more specialised features. SpaRCe has been shown to improve classification accuracy in common benchmark tasks, as well as alleviating the problem of catastrophic forgetting associated with online learning of sequential tasks/classes</w:t>
      </w:r>
      <w:sdt>
        <w:sdtPr>
          <w:rPr>
            <w:rFonts w:ascii="Times New Roman" w:hAnsi="Times New Roman" w:cs="Times New Roman"/>
            <w:i w:val="0"/>
            <w:iCs w:val="0"/>
            <w:color w:val="000000"/>
            <w:vertAlign w:val="superscript"/>
          </w:rPr>
          <w:tag w:val="MENDELEY_CITATION_v3_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"/>
          <w:id w:val="2123879142"/>
          <w:placeholder>
            <w:docPart w:val="F751EF83EB424FFFA48B589D9E5B4607"/>
          </w:placeholder>
        </w:sdtPr>
        <w:sdtContent>
          <w:r w:rsidR="00CE0428" w:rsidRPr="00CE0428">
            <w:rPr>
              <w:rFonts w:ascii="Times New Roman" w:hAnsi="Times New Roman" w:cs="Times New Roman"/>
              <w:i w:val="0"/>
              <w:iCs w:val="0"/>
              <w:color w:val="000000"/>
              <w:vertAlign w:val="superscript"/>
            </w:rPr>
            <w:t>3</w:t>
          </w:r>
        </w:sdtContent>
      </w:sdt>
      <w:r>
        <w:rPr>
          <w:rFonts w:ascii="Times New Roman" w:hAnsi="Times New Roman" w:cs="Times New Roman"/>
          <w:i w:val="0"/>
          <w:iCs w:val="0"/>
        </w:rPr>
        <w:t xml:space="preserve">. It is an on-line algorithm, which is likely more suited to real-world implementations of RC where the system learns continuously as new data is presented, rather than through storing many input patterns before changing parameters. </w:t>
      </w:r>
    </w:p>
    <w:p w14:paraId="19CC0A04" w14:textId="77777777" w:rsidR="004D4367" w:rsidRDefault="004D4367" w:rsidP="000F1835">
      <w:pPr>
        <w:pStyle w:val="Standard"/>
        <w:jc w:val="both"/>
        <w:rPr>
          <w:rFonts w:ascii="Times New Roman" w:hAnsi="Times New Roman" w:cs="Times New Roman"/>
          <w:u w:val="single"/>
        </w:rPr>
      </w:pPr>
    </w:p>
    <w:p w14:paraId="0EC2FDA1" w14:textId="77777777" w:rsidR="00125A0D" w:rsidRDefault="00125A0D" w:rsidP="000F1835">
      <w:pPr>
        <w:pStyle w:val="Standard"/>
        <w:jc w:val="both"/>
        <w:rPr>
          <w:rFonts w:ascii="Times New Roman" w:hAnsi="Times New Roman" w:cs="Times New Roman"/>
        </w:rPr>
      </w:pPr>
      <w:r>
        <w:rPr>
          <w:rFonts w:ascii="Times New Roman" w:hAnsi="Times New Roman" w:cs="Times New Roman"/>
        </w:rPr>
        <w:t>The SpaRCe algorithm was also trained in an online manner using the sigmoid cross-entropy loss function outlined earlier. Additionally, a learnable threshold,</w:t>
      </w:r>
      <m:oMath>
        <m:r>
          <w:rPr>
            <w:rFonts w:ascii="Cambria Math" w:hAnsi="Cambria Math" w:cs="Times New Roman"/>
          </w:rPr>
          <m:t xml:space="preserve"> </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θ</m:t>
                </m:r>
              </m:e>
            </m:acc>
          </m:e>
          <m:sub>
            <m:r>
              <w:rPr>
                <w:rFonts w:ascii="Cambria Math" w:hAnsi="Cambria Math" w:cs="Times New Roman"/>
              </w:rPr>
              <m:t>k</m:t>
            </m:r>
          </m:sub>
        </m:sSub>
      </m:oMath>
      <w:r>
        <w:rPr>
          <w:rFonts w:ascii="Times New Roman" w:hAnsi="Times New Roman" w:cs="Times New Roman"/>
        </w:rPr>
        <w:t>, was applied to each output neuron k (thereby doubling the number of trainable parameters), and was updated according to a pair of opposing update rules:</w:t>
      </w:r>
    </w:p>
    <w:p w14:paraId="6988B5EB" w14:textId="77777777" w:rsidR="00125A0D" w:rsidRPr="00A749E8" w:rsidRDefault="00125A0D" w:rsidP="000F1835">
      <w:pPr>
        <w:pStyle w:val="Standard"/>
        <w:jc w:val="both"/>
        <w:rPr>
          <w:rFonts w:ascii="Times New Roman" w:hAnsi="Times New Roman" w:cs="Times New Roman"/>
        </w:rPr>
      </w:pPr>
      <m:oMathPara>
        <m:oMath>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θ</m:t>
                  </m:r>
                </m:e>
              </m:acc>
            </m:e>
            <m:sub>
              <m:r>
                <w:rPr>
                  <w:rFonts w:ascii="Cambria Math" w:hAnsi="Cambria Math" w:cs="Times New Roman"/>
                </w:rPr>
                <m:t>k</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θ</m:t>
              </m:r>
            </m:sub>
          </m:sSub>
          <m:d>
            <m:dPr>
              <m:begChr m:val="["/>
              <m:endChr m:val="]"/>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k</m:t>
                      </m:r>
                    </m:sub>
                  </m:sSub>
                </m:e>
                <m:sup>
                  <m:d>
                    <m:dPr>
                      <m:ctrlPr>
                        <w:rPr>
                          <w:rFonts w:ascii="Cambria Math" w:hAnsi="Cambria Math" w:cs="Times New Roman"/>
                          <w:i/>
                        </w:rPr>
                      </m:ctrlPr>
                    </m:dPr>
                    <m:e>
                      <m:r>
                        <w:rPr>
                          <w:rFonts w:ascii="Cambria Math" w:hAnsi="Cambria Math" w:cs="Times New Roman"/>
                        </w:rPr>
                        <m:t>1</m:t>
                      </m:r>
                    </m:e>
                  </m:d>
                </m:sup>
              </m:sSup>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k</m:t>
                      </m:r>
                    </m:sub>
                  </m:sSub>
                </m:e>
                <m:sup>
                  <m:d>
                    <m:dPr>
                      <m:ctrlPr>
                        <w:rPr>
                          <w:rFonts w:ascii="Cambria Math" w:hAnsi="Cambria Math" w:cs="Times New Roman"/>
                          <w:i/>
                        </w:rPr>
                      </m:ctrlPr>
                    </m:dPr>
                    <m:e>
                      <m:r>
                        <w:rPr>
                          <w:rFonts w:ascii="Cambria Math" w:hAnsi="Cambria Math" w:cs="Times New Roman"/>
                        </w:rPr>
                        <m:t>2</m:t>
                      </m:r>
                    </m:e>
                  </m:d>
                </m:sup>
              </m:sSup>
            </m:e>
          </m:d>
        </m:oMath>
      </m:oMathPara>
    </w:p>
    <w:p w14:paraId="3CB7ED8F" w14:textId="77777777" w:rsidR="00125A0D" w:rsidRPr="00A9101F" w:rsidRDefault="00125A0D" w:rsidP="000F1835">
      <w:pPr>
        <w:pStyle w:val="Standard"/>
        <w:jc w:val="both"/>
        <w:rPr>
          <w:rFonts w:ascii="Times New Roman" w:hAnsi="Times New Roman" w:cs="Times New Roman"/>
        </w:rPr>
      </w:pPr>
    </w:p>
    <w:p w14:paraId="77216415" w14:textId="77777777" w:rsidR="00125A0D" w:rsidRPr="00A749E8" w:rsidRDefault="00125A0D" w:rsidP="000F1835">
      <w:pPr>
        <w:pStyle w:val="Standard"/>
        <w:jc w:val="both"/>
        <w:rPr>
          <w:rFonts w:ascii="Times New Roman" w:hAnsi="Times New Roman" w:cs="Times New Roman"/>
        </w:rPr>
      </w:pPr>
      <m:oMathPara>
        <m:oMath>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θ</m:t>
                      </m:r>
                    </m:e>
                  </m:acc>
                </m:e>
                <m:sub>
                  <m:r>
                    <w:rPr>
                      <w:rFonts w:ascii="Cambria Math" w:hAnsi="Cambria Math" w:cs="Times New Roman"/>
                    </w:rPr>
                    <m:t>k</m:t>
                  </m:r>
                </m:sub>
              </m:sSub>
            </m:e>
            <m:sup>
              <m:d>
                <m:dPr>
                  <m:ctrlPr>
                    <w:rPr>
                      <w:rFonts w:ascii="Cambria Math" w:hAnsi="Cambria Math" w:cs="Times New Roman"/>
                      <w:i/>
                    </w:rPr>
                  </m:ctrlPr>
                </m:dPr>
                <m:e>
                  <m:r>
                    <w:rPr>
                      <w:rFonts w:ascii="Cambria Math" w:hAnsi="Cambria Math" w:cs="Times New Roman"/>
                    </w:rPr>
                    <m:t>1</m:t>
                  </m:r>
                </m:e>
              </m:d>
            </m:sup>
          </m:sSup>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classes</m:t>
                  </m:r>
                </m:sub>
              </m:sSub>
            </m:sup>
            <m:e>
              <m:nary>
                <m:naryPr>
                  <m:chr m:val="∑"/>
                  <m:limLoc m:val="undOvr"/>
                  <m:ctrlPr>
                    <w:rPr>
                      <w:rFonts w:ascii="Cambria Math" w:hAnsi="Cambria Math" w:cs="Times New Roman"/>
                      <w:i/>
                    </w:rPr>
                  </m:ctrlPr>
                </m:naryPr>
                <m:sub>
                  <m:r>
                    <w:rPr>
                      <w:rFonts w:ascii="Cambria Math" w:hAnsi="Cambria Math" w:cs="Times New Roman"/>
                    </w:rPr>
                    <m:t>l=1</m:t>
                  </m:r>
                </m:sub>
                <m:sup>
                  <m:r>
                    <w:rPr>
                      <w:rFonts w:ascii="Cambria Math" w:hAnsi="Cambria Math" w:cs="Times New Roman"/>
                    </w:rPr>
                    <m:t>N</m:t>
                  </m:r>
                </m:sup>
                <m:e>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jl</m:t>
                          </m:r>
                        </m:sub>
                        <m:sup>
                          <m:r>
                            <w:rPr>
                              <w:rFonts w:ascii="Cambria Math" w:hAnsi="Cambria Math" w:cs="Times New Roman"/>
                            </w:rPr>
                            <m:t>0</m:t>
                          </m:r>
                        </m:sup>
                      </m:sSubSup>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l</m:t>
                          </m:r>
                        </m:sub>
                      </m:sSub>
                    </m:e>
                  </m:d>
                  <m:d>
                    <m:dPr>
                      <m:begChr m:val="["/>
                      <m:endChr m:val="]"/>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jk</m:t>
                          </m:r>
                        </m:sub>
                        <m:sup>
                          <m:r>
                            <w:rPr>
                              <w:rFonts w:ascii="Cambria Math" w:hAnsi="Cambria Math" w:cs="Times New Roman"/>
                            </w:rPr>
                            <m:t>0</m:t>
                          </m:r>
                        </m:sup>
                      </m:sSubSup>
                      <m:r>
                        <w:rPr>
                          <w:rFonts w:ascii="Cambria Math" w:hAnsi="Cambria Math" w:cs="Times New Roman"/>
                        </w:rPr>
                        <m:t xml:space="preserve"> sign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e>
                  </m:d>
                </m:e>
              </m:nary>
            </m:e>
          </m:nary>
        </m:oMath>
      </m:oMathPara>
    </w:p>
    <w:p w14:paraId="5709715D" w14:textId="77777777" w:rsidR="00125A0D" w:rsidRPr="00A9101F" w:rsidRDefault="00125A0D" w:rsidP="000F1835">
      <w:pPr>
        <w:pStyle w:val="Standard"/>
        <w:jc w:val="both"/>
        <w:rPr>
          <w:rFonts w:ascii="Times New Roman" w:hAnsi="Times New Roman" w:cs="Times New Roman"/>
        </w:rPr>
      </w:pPr>
    </w:p>
    <w:p w14:paraId="204EE0D1" w14:textId="77777777" w:rsidR="00125A0D" w:rsidRPr="00A749E8" w:rsidRDefault="00125A0D" w:rsidP="000F1835">
      <w:pPr>
        <w:pStyle w:val="Standard"/>
        <w:jc w:val="both"/>
        <w:rPr>
          <w:rFonts w:ascii="Times New Roman" w:hAnsi="Times New Roman" w:cs="Times New Roman"/>
        </w:rPr>
      </w:pPr>
      <m:oMathPara>
        <m:oMath>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θ</m:t>
                      </m:r>
                    </m:e>
                  </m:acc>
                </m:e>
                <m:sub>
                  <m:r>
                    <w:rPr>
                      <w:rFonts w:ascii="Cambria Math" w:hAnsi="Cambria Math" w:cs="Times New Roman"/>
                    </w:rPr>
                    <m:t>k</m:t>
                  </m:r>
                </m:sub>
              </m:sSub>
            </m:e>
            <m:sup>
              <m:d>
                <m:dPr>
                  <m:ctrlPr>
                    <w:rPr>
                      <w:rFonts w:ascii="Cambria Math" w:hAnsi="Cambria Math" w:cs="Times New Roman"/>
                      <w:i/>
                    </w:rPr>
                  </m:ctrlPr>
                </m:dPr>
                <m:e>
                  <m:r>
                    <w:rPr>
                      <w:rFonts w:ascii="Cambria Math" w:hAnsi="Cambria Math" w:cs="Times New Roman"/>
                    </w:rPr>
                    <m:t>2</m:t>
                  </m:r>
                </m:e>
              </m:d>
            </m:sup>
          </m:sSup>
          <m:r>
            <w:rPr>
              <w:rFonts w:ascii="Cambria Math" w:hAnsi="Cambria Math" w:cs="Times New Roman"/>
            </w:rPr>
            <m:t>= -</m:t>
          </m:r>
          <m:sSubSup>
            <m:sSubSupPr>
              <m:ctrlPr>
                <w:rPr>
                  <w:rFonts w:ascii="Cambria Math" w:hAnsi="Cambria Math" w:cs="Times New Roman"/>
                  <w:i/>
                </w:rPr>
              </m:ctrlPr>
            </m:sSubSupPr>
            <m:e>
              <m:r>
                <w:rPr>
                  <w:rFonts w:ascii="Cambria Math" w:hAnsi="Cambria Math" w:cs="Times New Roman"/>
                </w:rPr>
                <m:t>W</m:t>
              </m:r>
            </m:e>
            <m:sub>
              <m:acc>
                <m:accPr>
                  <m:chr m:val="̃"/>
                  <m:ctrlPr>
                    <w:rPr>
                      <w:rFonts w:ascii="Cambria Math" w:hAnsi="Cambria Math" w:cs="Times New Roman"/>
                      <w:i/>
                    </w:rPr>
                  </m:ctrlPr>
                </m:accPr>
                <m:e>
                  <m:r>
                    <w:rPr>
                      <w:rFonts w:ascii="Cambria Math" w:hAnsi="Cambria Math" w:cs="Times New Roman"/>
                    </w:rPr>
                    <m:t>j</m:t>
                  </m:r>
                </m:e>
              </m:acc>
              <m:r>
                <w:rPr>
                  <w:rFonts w:ascii="Cambria Math" w:hAnsi="Cambria Math" w:cs="Times New Roman"/>
                </w:rPr>
                <m:t>k</m:t>
              </m:r>
            </m:sub>
            <m:sup>
              <m:r>
                <w:rPr>
                  <w:rFonts w:ascii="Cambria Math" w:hAnsi="Cambria Math" w:cs="Times New Roman"/>
                </w:rPr>
                <m:t>0</m:t>
              </m:r>
            </m:sup>
          </m:sSubSup>
          <m:r>
            <w:rPr>
              <w:rFonts w:ascii="Cambria Math" w:hAnsi="Cambria Math" w:cs="Times New Roman"/>
            </w:rPr>
            <m:t xml:space="preserve"> sign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oMath>
      </m:oMathPara>
    </w:p>
    <w:p w14:paraId="0D137836" w14:textId="77777777" w:rsidR="00125A0D" w:rsidRPr="00A9101F" w:rsidRDefault="00125A0D" w:rsidP="000F1835">
      <w:pPr>
        <w:pStyle w:val="Standard"/>
        <w:jc w:val="both"/>
        <w:rPr>
          <w:rFonts w:ascii="Times New Roman" w:hAnsi="Times New Roman" w:cs="Times New Roman"/>
        </w:rPr>
      </w:pPr>
    </w:p>
    <w:p w14:paraId="3EF771A1" w14:textId="77777777" w:rsidR="00125A0D" w:rsidRDefault="00125A0D" w:rsidP="000F1835">
      <w:pPr>
        <w:pStyle w:val="Standard"/>
        <w:jc w:val="both"/>
        <w:rPr>
          <w:rFonts w:ascii="Times New Roman" w:hAnsi="Times New Roman" w:cs="Times New Roman"/>
        </w:rPr>
      </w:pPr>
      <w:r>
        <w:rPr>
          <w:rFonts w:ascii="Times New Roman" w:hAnsi="Times New Roman" w:cs="Times New Roman"/>
        </w:rPr>
        <w:tab/>
        <w:t xml:space="preserve">where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θ</m:t>
            </m:r>
          </m:sub>
        </m:sSub>
      </m:oMath>
      <w:r>
        <w:rPr>
          <w:rFonts w:ascii="Times New Roman" w:hAnsi="Times New Roman" w:cs="Times New Roman"/>
        </w:rPr>
        <w:t xml:space="preserve"> represents the threshold learning rate, </w:t>
      </w:r>
      <m:oMath>
        <m:acc>
          <m:accPr>
            <m:chr m:val="̃"/>
            <m:ctrlPr>
              <w:rPr>
                <w:rFonts w:ascii="Cambria Math" w:hAnsi="Cambria Math" w:cs="Times New Roman"/>
                <w:i/>
              </w:rPr>
            </m:ctrlPr>
          </m:accPr>
          <m:e>
            <m:r>
              <w:rPr>
                <w:rFonts w:ascii="Cambria Math" w:hAnsi="Cambria Math" w:cs="Times New Roman"/>
              </w:rPr>
              <m:t>j</m:t>
            </m:r>
          </m:e>
        </m:acc>
      </m:oMath>
      <w:r>
        <w:rPr>
          <w:rFonts w:ascii="Times New Roman" w:hAnsi="Times New Roman" w:cs="Times New Roman"/>
        </w:rPr>
        <w:t xml:space="preserve"> represents the correct output class for the sample considered, and </w:t>
      </w:r>
      <w:r w:rsidRPr="006E5FA1">
        <w:rPr>
          <w:rFonts w:ascii="Times New Roman" w:hAnsi="Times New Roman" w:cs="Times New Roman"/>
          <w:i/>
          <w:iCs/>
        </w:rPr>
        <w:t>sign</w:t>
      </w:r>
      <w:r>
        <w:rPr>
          <w:rFonts w:ascii="Times New Roman" w:hAnsi="Times New Roman" w:cs="Times New Roman"/>
        </w:rPr>
        <w:t xml:space="preserve"> represents the sign function. </w:t>
      </w:r>
      <m:oMath>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k</m:t>
                </m:r>
              </m:sub>
            </m:sSub>
          </m:e>
          <m:sup>
            <m:d>
              <m:dPr>
                <m:ctrlPr>
                  <w:rPr>
                    <w:rFonts w:ascii="Cambria Math" w:hAnsi="Cambria Math" w:cs="Times New Roman"/>
                    <w:i/>
                  </w:rPr>
                </m:ctrlPr>
              </m:dPr>
              <m:e>
                <m:r>
                  <w:rPr>
                    <w:rFonts w:ascii="Cambria Math" w:hAnsi="Cambria Math" w:cs="Times New Roman"/>
                  </w:rPr>
                  <m:t>1</m:t>
                </m:r>
              </m:e>
            </m:d>
          </m:sup>
        </m:sSup>
      </m:oMath>
      <w:r>
        <w:rPr>
          <w:rFonts w:ascii="Times New Roman" w:hAnsi="Times New Roman" w:cs="Times New Roman"/>
        </w:rPr>
        <w:t xml:space="preserve"> is designed as a measure of the correlation between the outputs of different nodes, and as such will increase the threshold (thus reducing output node activity) when output nodes are correlated. </w:t>
      </w:r>
      <m:oMath>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k</m:t>
                </m:r>
              </m:sub>
            </m:sSub>
          </m:e>
          <m:sup>
            <m:d>
              <m:dPr>
                <m:ctrlPr>
                  <w:rPr>
                    <w:rFonts w:ascii="Cambria Math" w:hAnsi="Cambria Math" w:cs="Times New Roman"/>
                    <w:i/>
                  </w:rPr>
                </m:ctrlPr>
              </m:dPr>
              <m:e>
                <m:r>
                  <w:rPr>
                    <w:rFonts w:ascii="Cambria Math" w:hAnsi="Cambria Math" w:cs="Times New Roman"/>
                  </w:rPr>
                  <m:t>2</m:t>
                </m:r>
              </m:e>
            </m:d>
          </m:sup>
        </m:sSup>
      </m:oMath>
      <w:r>
        <w:rPr>
          <w:rFonts w:ascii="Times New Roman" w:hAnsi="Times New Roman" w:cs="Times New Roman"/>
        </w:rPr>
        <w:t xml:space="preserve"> is determined by the activity of the output node corresponding to the correct output class, and hence reduces the threshold (promotes node activity) in the case where the output is contributing to the correct classification of the input pattern.</w:t>
      </w:r>
    </w:p>
    <w:p w14:paraId="35CF084D" w14:textId="77777777" w:rsidR="00125A0D" w:rsidRDefault="00125A0D" w:rsidP="000F1835">
      <w:pPr>
        <w:pStyle w:val="Standard"/>
        <w:jc w:val="both"/>
        <w:rPr>
          <w:rFonts w:ascii="Times New Roman" w:hAnsi="Times New Roman" w:cs="Times New Roman"/>
        </w:rPr>
      </w:pPr>
    </w:p>
    <w:p w14:paraId="627E5181" w14:textId="77777777" w:rsidR="00125A0D" w:rsidRDefault="00125A0D" w:rsidP="000F1835">
      <w:pPr>
        <w:pStyle w:val="Standard"/>
        <w:jc w:val="both"/>
        <w:rPr>
          <w:rFonts w:ascii="Times New Roman" w:hAnsi="Times New Roman" w:cs="Times New Roman"/>
        </w:rPr>
      </w:pPr>
      <w:r>
        <w:rPr>
          <w:rFonts w:ascii="Times New Roman" w:hAnsi="Times New Roman" w:cs="Times New Roman"/>
        </w:rPr>
        <w:t>The output for each thresholded node,</w:t>
      </w:r>
      <m:oMath>
        <m:r>
          <w:rPr>
            <w:rFonts w:ascii="Cambria Math" w:hAnsi="Cambria Math" w:cs="Times New Roman"/>
          </w:rPr>
          <m:t xml:space="preserve"> </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m:t>
            </m:r>
          </m:sub>
        </m:sSub>
      </m:oMath>
      <w:r>
        <w:rPr>
          <w:rFonts w:ascii="Times New Roman" w:hAnsi="Times New Roman" w:cs="Times New Roman"/>
        </w:rPr>
        <w:t xml:space="preserve">, is given from its activity,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oMath>
      <w:r>
        <w:rPr>
          <w:rFonts w:ascii="Times New Roman" w:hAnsi="Times New Roman" w:cs="Times New Roman"/>
        </w:rPr>
        <w:t>, via</w:t>
      </w:r>
    </w:p>
    <w:p w14:paraId="2309B268" w14:textId="77777777" w:rsidR="00125A0D" w:rsidRDefault="00125A0D" w:rsidP="000F1835">
      <w:pPr>
        <w:pStyle w:val="Standard"/>
        <w:jc w:val="both"/>
        <w:rPr>
          <w:rFonts w:ascii="Times New Roman" w:hAnsi="Times New Roman" w:cs="Times New Roman"/>
        </w:rPr>
      </w:pPr>
    </w:p>
    <w:p w14:paraId="460E12E0" w14:textId="77777777" w:rsidR="00125A0D" w:rsidRPr="009F651A" w:rsidRDefault="00000000" w:rsidP="000F1835">
      <w:pPr>
        <w:pStyle w:val="Standard"/>
        <w:jc w:val="both"/>
        <w:rPr>
          <w:rFonts w:ascii="Times New Roman" w:hAnsi="Times New Roman" w:cs="Times New Roman"/>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k</m:t>
              </m:r>
            </m:sub>
          </m:sSub>
          <m:r>
            <w:rPr>
              <w:rFonts w:ascii="Cambria Math" w:hAnsi="Cambria Math" w:cs="Times New Roman"/>
            </w:rPr>
            <m:t>=sign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r>
            <w:rPr>
              <w:rFonts w:ascii="Cambria Math" w:hAnsi="Cambria Math" w:cs="Times New Roman"/>
            </w:rPr>
            <m:t xml:space="preserve"> ReLU</m:t>
          </m:r>
          <m:d>
            <m:dPr>
              <m:begChr m:val="{"/>
              <m:endChr m:val="}"/>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k</m:t>
                  </m:r>
                </m:sub>
              </m:sSub>
            </m:e>
          </m:d>
        </m:oMath>
      </m:oMathPara>
    </w:p>
    <w:p w14:paraId="24F70613" w14:textId="77777777" w:rsidR="00125A0D" w:rsidRPr="009F651A" w:rsidRDefault="00125A0D" w:rsidP="000F1835">
      <w:pPr>
        <w:pStyle w:val="Standard"/>
        <w:jc w:val="both"/>
        <w:rPr>
          <w:rFonts w:ascii="Times New Roman" w:hAnsi="Times New Roman" w:cs="Times New Roman"/>
        </w:rPr>
      </w:pPr>
    </w:p>
    <w:p w14:paraId="33B0D38E" w14:textId="77777777" w:rsidR="00125A0D" w:rsidRPr="009F651A" w:rsidRDefault="00000000" w:rsidP="000F1835">
      <w:pPr>
        <w:pStyle w:val="Standard"/>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m:t>
              </m:r>
            </m:sub>
          </m:sSub>
          <m:d>
            <m:dPr>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e>
          </m:d>
          <m:r>
            <w:rPr>
              <w:rFonts w:ascii="Cambria Math" w:hAnsi="Cambria Math" w:cs="Times New Roman"/>
            </w:rPr>
            <m:t xml:space="preserve">+ </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θ</m:t>
                  </m:r>
                </m:e>
              </m:acc>
            </m:e>
            <m:sub>
              <m:r>
                <w:rPr>
                  <w:rFonts w:ascii="Cambria Math" w:hAnsi="Cambria Math" w:cs="Times New Roman"/>
                </w:rPr>
                <m:t>k</m:t>
              </m:r>
            </m:sub>
          </m:sSub>
        </m:oMath>
      </m:oMathPara>
    </w:p>
    <w:p w14:paraId="21B0C175" w14:textId="77777777" w:rsidR="00125A0D" w:rsidRPr="009F651A" w:rsidRDefault="00125A0D" w:rsidP="000F1835">
      <w:pPr>
        <w:pStyle w:val="Standard"/>
        <w:jc w:val="both"/>
        <w:rPr>
          <w:rFonts w:ascii="Times New Roman" w:hAnsi="Times New Roman" w:cs="Times New Roman"/>
        </w:rPr>
      </w:pPr>
    </w:p>
    <w:p w14:paraId="71AA69BA" w14:textId="0549AC7B" w:rsidR="008C793A" w:rsidRDefault="00125A0D" w:rsidP="00CE0428">
      <w:pPr>
        <w:pStyle w:val="Standard"/>
        <w:jc w:val="both"/>
        <w:rPr>
          <w:rFonts w:ascii="Times New Roman" w:hAnsi="Times New Roman" w:cs="Times New Roman"/>
        </w:rPr>
      </w:pPr>
      <w:r>
        <w:rPr>
          <w:rFonts w:ascii="Times New Roman" w:hAnsi="Times New Roman" w:cs="Times New Roman"/>
        </w:rPr>
        <w:tab/>
        <w:t xml:space="preserve">where ReLU represents the rectified linear unit,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m:t>
            </m:r>
          </m:sub>
        </m:sSub>
        <m:d>
          <m:dPr>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e>
        </m:d>
      </m:oMath>
      <w:r>
        <w:rPr>
          <w:rFonts w:ascii="Times New Roman" w:hAnsi="Times New Roman" w:cs="Times New Roman"/>
        </w:rPr>
        <w:t xml:space="preserve"> is defined as the percentile n of the activity of neuron k across the inputs, computed across the training data. The choice of n provides an initial sparsity level for the thresholds.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m:t>
            </m:r>
          </m:sub>
        </m:sSub>
        <m:d>
          <m:dPr>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e>
        </m:d>
      </m:oMath>
      <w:r>
        <w:rPr>
          <w:rFonts w:ascii="Times New Roman" w:hAnsi="Times New Roman" w:cs="Times New Roman"/>
        </w:rPr>
        <w:t xml:space="preserve"> remains constant throughout </w:t>
      </w:r>
      <w:r>
        <w:rPr>
          <w:rFonts w:ascii="Times New Roman" w:hAnsi="Times New Roman" w:cs="Times New Roman"/>
        </w:rPr>
        <w:lastRenderedPageBreak/>
        <w:t xml:space="preserve">training since node output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r>
          <w:rPr>
            <w:rFonts w:ascii="Cambria Math" w:hAnsi="Cambria Math" w:cs="Times New Roman"/>
          </w:rPr>
          <m:t xml:space="preserve"> </m:t>
        </m:r>
      </m:oMath>
      <w:r>
        <w:rPr>
          <w:rFonts w:ascii="Times New Roman" w:hAnsi="Times New Roman" w:cs="Times New Roman"/>
        </w:rPr>
        <w:t>with respect to input is constant for RC. Hyperparameters of starting percentile and learning rate were selected by choosing the best performance on the training data set, with reported accuracies given by 10-fold cross validation.</w:t>
      </w:r>
    </w:p>
    <w:p w14:paraId="766AA520" w14:textId="77777777" w:rsidR="00CE0428" w:rsidRPr="00CE0428" w:rsidRDefault="00CE0428" w:rsidP="00CE0428">
      <w:pPr>
        <w:pStyle w:val="Standard"/>
        <w:jc w:val="both"/>
        <w:rPr>
          <w:rFonts w:ascii="Times New Roman" w:hAnsi="Times New Roman" w:cs="Times New Roman"/>
        </w:rPr>
      </w:pPr>
    </w:p>
    <w:sdt>
      <w:sdtPr>
        <w:rPr>
          <w:rFonts w:ascii="Liberation Serif" w:eastAsia="Noto Serif CJK SC" w:hAnsi="Liberation Serif" w:cs="Lohit Devanagari"/>
          <w:i/>
          <w:iCs/>
          <w:kern w:val="3"/>
          <w:sz w:val="24"/>
          <w:szCs w:val="24"/>
          <w:lang w:eastAsia="zh-CN" w:bidi="hi-IN"/>
        </w:rPr>
        <w:tag w:val="MENDELEY_BIBLIOGRAPHY"/>
        <w:id w:val="-1648656278"/>
        <w:placeholder>
          <w:docPart w:val="DefaultPlaceholder_-1854013440"/>
        </w:placeholder>
      </w:sdtPr>
      <w:sdtContent>
        <w:p w14:paraId="0A72D903" w14:textId="77777777" w:rsidR="00CE0428" w:rsidRDefault="00CE0428">
          <w:pPr>
            <w:autoSpaceDE w:val="0"/>
            <w:autoSpaceDN w:val="0"/>
            <w:ind w:hanging="640"/>
            <w:divId w:val="258611206"/>
            <w:rPr>
              <w:rFonts w:eastAsia="Times New Roman"/>
              <w:sz w:val="24"/>
              <w:szCs w:val="24"/>
            </w:rPr>
          </w:pPr>
          <w:r>
            <w:rPr>
              <w:rFonts w:eastAsia="Times New Roman"/>
            </w:rPr>
            <w:t>1.</w:t>
          </w:r>
          <w:r>
            <w:rPr>
              <w:rFonts w:eastAsia="Times New Roman"/>
            </w:rPr>
            <w:tab/>
            <w:t xml:space="preserve">Liberman, M. </w:t>
          </w:r>
          <w:r>
            <w:rPr>
              <w:rFonts w:eastAsia="Times New Roman"/>
              <w:i/>
              <w:iCs/>
            </w:rPr>
            <w:t>et al.</w:t>
          </w:r>
          <w:r>
            <w:rPr>
              <w:rFonts w:eastAsia="Times New Roman"/>
            </w:rPr>
            <w:t xml:space="preserve"> TI 46-Word Corpus. Preprint at (1993).</w:t>
          </w:r>
        </w:p>
        <w:p w14:paraId="72FC0EE5" w14:textId="77777777" w:rsidR="00CE0428" w:rsidRDefault="00CE0428">
          <w:pPr>
            <w:autoSpaceDE w:val="0"/>
            <w:autoSpaceDN w:val="0"/>
            <w:ind w:hanging="640"/>
            <w:divId w:val="606810654"/>
            <w:rPr>
              <w:rFonts w:eastAsia="Times New Roman"/>
            </w:rPr>
          </w:pPr>
          <w:r>
            <w:rPr>
              <w:rFonts w:eastAsia="Times New Roman"/>
            </w:rPr>
            <w:t>2.</w:t>
          </w:r>
          <w:r>
            <w:rPr>
              <w:rFonts w:eastAsia="Times New Roman"/>
            </w:rPr>
            <w:tab/>
          </w:r>
          <w:proofErr w:type="spellStart"/>
          <w:r>
            <w:rPr>
              <w:rFonts w:eastAsia="Times New Roman"/>
            </w:rPr>
            <w:t>Molau</w:t>
          </w:r>
          <w:proofErr w:type="spellEnd"/>
          <w:r>
            <w:rPr>
              <w:rFonts w:eastAsia="Times New Roman"/>
            </w:rPr>
            <w:t xml:space="preserve">, S., </w:t>
          </w:r>
          <w:proofErr w:type="spellStart"/>
          <w:r>
            <w:rPr>
              <w:rFonts w:eastAsia="Times New Roman"/>
            </w:rPr>
            <w:t>Pitz</w:t>
          </w:r>
          <w:proofErr w:type="spellEnd"/>
          <w:r>
            <w:rPr>
              <w:rFonts w:eastAsia="Times New Roman"/>
            </w:rPr>
            <w:t xml:space="preserve">, M., Schlüter, R. &amp; Ney, H. Computing </w:t>
          </w:r>
          <w:proofErr w:type="spellStart"/>
          <w:r>
            <w:rPr>
              <w:rFonts w:eastAsia="Times New Roman"/>
            </w:rPr>
            <w:t>mel</w:t>
          </w:r>
          <w:proofErr w:type="spellEnd"/>
          <w:r>
            <w:rPr>
              <w:rFonts w:eastAsia="Times New Roman"/>
            </w:rPr>
            <w:t xml:space="preserve">-frequency cepstral coefficients on the power spectrum. in </w:t>
          </w:r>
          <w:r>
            <w:rPr>
              <w:rFonts w:eastAsia="Times New Roman"/>
              <w:i/>
              <w:iCs/>
            </w:rPr>
            <w:t xml:space="preserve">ICASSP, IEEE International Conference on Acoustics, </w:t>
          </w:r>
          <w:proofErr w:type="gramStart"/>
          <w:r>
            <w:rPr>
              <w:rFonts w:eastAsia="Times New Roman"/>
              <w:i/>
              <w:iCs/>
            </w:rPr>
            <w:t>Speech</w:t>
          </w:r>
          <w:proofErr w:type="gramEnd"/>
          <w:r>
            <w:rPr>
              <w:rFonts w:eastAsia="Times New Roman"/>
              <w:i/>
              <w:iCs/>
            </w:rPr>
            <w:t xml:space="preserve"> and Signal Processing - Proceedings</w:t>
          </w:r>
          <w:r>
            <w:rPr>
              <w:rFonts w:eastAsia="Times New Roman"/>
            </w:rPr>
            <w:t xml:space="preserve"> vol. 1 73–76 (2001).</w:t>
          </w:r>
        </w:p>
        <w:p w14:paraId="4AD459FB" w14:textId="77777777" w:rsidR="00CE0428" w:rsidRDefault="00CE0428">
          <w:pPr>
            <w:autoSpaceDE w:val="0"/>
            <w:autoSpaceDN w:val="0"/>
            <w:ind w:hanging="640"/>
            <w:divId w:val="1233084299"/>
            <w:rPr>
              <w:rFonts w:eastAsia="Times New Roman"/>
            </w:rPr>
          </w:pPr>
          <w:r>
            <w:rPr>
              <w:rFonts w:eastAsia="Times New Roman"/>
            </w:rPr>
            <w:t>3.</w:t>
          </w:r>
          <w:r>
            <w:rPr>
              <w:rFonts w:eastAsia="Times New Roman"/>
            </w:rPr>
            <w:tab/>
            <w:t xml:space="preserve">Manneschi, L., Lin, A. C. &amp; Vasilaki, E. SpaRCe: Improved Learning of Reservoir Computing Systems Through Sparse Representations. </w:t>
          </w:r>
          <w:r>
            <w:rPr>
              <w:rFonts w:eastAsia="Times New Roman"/>
              <w:i/>
              <w:iCs/>
            </w:rPr>
            <w:t xml:space="preserve">IEEE Trans Neural </w:t>
          </w:r>
          <w:proofErr w:type="spellStart"/>
          <w:r>
            <w:rPr>
              <w:rFonts w:eastAsia="Times New Roman"/>
              <w:i/>
              <w:iCs/>
            </w:rPr>
            <w:t>Netw</w:t>
          </w:r>
          <w:proofErr w:type="spellEnd"/>
          <w:r>
            <w:rPr>
              <w:rFonts w:eastAsia="Times New Roman"/>
              <w:i/>
              <w:iCs/>
            </w:rPr>
            <w:t xml:space="preserve"> Learn </w:t>
          </w:r>
          <w:proofErr w:type="spellStart"/>
          <w:r>
            <w:rPr>
              <w:rFonts w:eastAsia="Times New Roman"/>
              <w:i/>
              <w:iCs/>
            </w:rPr>
            <w:t>Syst</w:t>
          </w:r>
          <w:proofErr w:type="spellEnd"/>
          <w:r>
            <w:rPr>
              <w:rFonts w:eastAsia="Times New Roman"/>
            </w:rPr>
            <w:t xml:space="preserve"> (2021) doi:10.1109/TNNLS.2021.3102378.</w:t>
          </w:r>
        </w:p>
        <w:p w14:paraId="2FCC66EF" w14:textId="4F8CD683" w:rsidR="006A3A94" w:rsidRDefault="00CE0428" w:rsidP="000F1835">
          <w:pPr>
            <w:pStyle w:val="Caption"/>
            <w:jc w:val="both"/>
          </w:pPr>
          <w:r>
            <w:rPr>
              <w:rFonts w:eastAsia="Times New Roman"/>
            </w:rPr>
            <w:t> </w:t>
          </w:r>
        </w:p>
      </w:sdtContent>
    </w:sdt>
    <w:sectPr w:rsidR="006A3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A0D"/>
    <w:rsid w:val="000739C7"/>
    <w:rsid w:val="000F1835"/>
    <w:rsid w:val="00125A0D"/>
    <w:rsid w:val="0031373D"/>
    <w:rsid w:val="003D4D11"/>
    <w:rsid w:val="004D4367"/>
    <w:rsid w:val="005110B1"/>
    <w:rsid w:val="0051606F"/>
    <w:rsid w:val="00647A96"/>
    <w:rsid w:val="006740B2"/>
    <w:rsid w:val="006A3A94"/>
    <w:rsid w:val="00705684"/>
    <w:rsid w:val="008B487D"/>
    <w:rsid w:val="008C793A"/>
    <w:rsid w:val="00CE0428"/>
    <w:rsid w:val="00D35EB7"/>
    <w:rsid w:val="00E423A7"/>
    <w:rsid w:val="00EC7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11F54"/>
  <w15:chartTrackingRefBased/>
  <w15:docId w15:val="{4EE9D40C-714D-49A1-A6B6-B0C8B046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8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25A0D"/>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paragraph" w:styleId="Caption">
    <w:name w:val="caption"/>
    <w:basedOn w:val="Standard"/>
    <w:rsid w:val="00125A0D"/>
    <w:pPr>
      <w:suppressLineNumbers/>
      <w:spacing w:before="120" w:after="120"/>
    </w:pPr>
    <w:rPr>
      <w:i/>
      <w:iCs/>
    </w:rPr>
  </w:style>
  <w:style w:type="character" w:styleId="PlaceholderText">
    <w:name w:val="Placeholder Text"/>
    <w:basedOn w:val="DefaultParagraphFont"/>
    <w:uiPriority w:val="99"/>
    <w:semiHidden/>
    <w:rsid w:val="004D4367"/>
    <w:rPr>
      <w:color w:val="808080"/>
    </w:rPr>
  </w:style>
  <w:style w:type="character" w:customStyle="1" w:styleId="Heading1Char">
    <w:name w:val="Heading 1 Char"/>
    <w:basedOn w:val="DefaultParagraphFont"/>
    <w:link w:val="Heading1"/>
    <w:uiPriority w:val="9"/>
    <w:rsid w:val="008B487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79648">
      <w:bodyDiv w:val="1"/>
      <w:marLeft w:val="0"/>
      <w:marRight w:val="0"/>
      <w:marTop w:val="0"/>
      <w:marBottom w:val="0"/>
      <w:divBdr>
        <w:top w:val="none" w:sz="0" w:space="0" w:color="auto"/>
        <w:left w:val="none" w:sz="0" w:space="0" w:color="auto"/>
        <w:bottom w:val="none" w:sz="0" w:space="0" w:color="auto"/>
        <w:right w:val="none" w:sz="0" w:space="0" w:color="auto"/>
      </w:divBdr>
      <w:divsChild>
        <w:div w:id="258611206">
          <w:marLeft w:val="640"/>
          <w:marRight w:val="0"/>
          <w:marTop w:val="0"/>
          <w:marBottom w:val="0"/>
          <w:divBdr>
            <w:top w:val="none" w:sz="0" w:space="0" w:color="auto"/>
            <w:left w:val="none" w:sz="0" w:space="0" w:color="auto"/>
            <w:bottom w:val="none" w:sz="0" w:space="0" w:color="auto"/>
            <w:right w:val="none" w:sz="0" w:space="0" w:color="auto"/>
          </w:divBdr>
        </w:div>
        <w:div w:id="606810654">
          <w:marLeft w:val="640"/>
          <w:marRight w:val="0"/>
          <w:marTop w:val="0"/>
          <w:marBottom w:val="0"/>
          <w:divBdr>
            <w:top w:val="none" w:sz="0" w:space="0" w:color="auto"/>
            <w:left w:val="none" w:sz="0" w:space="0" w:color="auto"/>
            <w:bottom w:val="none" w:sz="0" w:space="0" w:color="auto"/>
            <w:right w:val="none" w:sz="0" w:space="0" w:color="auto"/>
          </w:divBdr>
        </w:div>
        <w:div w:id="1233084299">
          <w:marLeft w:val="640"/>
          <w:marRight w:val="0"/>
          <w:marTop w:val="0"/>
          <w:marBottom w:val="0"/>
          <w:divBdr>
            <w:top w:val="none" w:sz="0" w:space="0" w:color="auto"/>
            <w:left w:val="none" w:sz="0" w:space="0" w:color="auto"/>
            <w:bottom w:val="none" w:sz="0" w:space="0" w:color="auto"/>
            <w:right w:val="none" w:sz="0" w:space="0" w:color="auto"/>
          </w:divBdr>
        </w:div>
      </w:divsChild>
    </w:div>
    <w:div w:id="341859892">
      <w:bodyDiv w:val="1"/>
      <w:marLeft w:val="0"/>
      <w:marRight w:val="0"/>
      <w:marTop w:val="0"/>
      <w:marBottom w:val="0"/>
      <w:divBdr>
        <w:top w:val="none" w:sz="0" w:space="0" w:color="auto"/>
        <w:left w:val="none" w:sz="0" w:space="0" w:color="auto"/>
        <w:bottom w:val="none" w:sz="0" w:space="0" w:color="auto"/>
        <w:right w:val="none" w:sz="0" w:space="0" w:color="auto"/>
      </w:divBdr>
      <w:divsChild>
        <w:div w:id="904024623">
          <w:marLeft w:val="640"/>
          <w:marRight w:val="0"/>
          <w:marTop w:val="0"/>
          <w:marBottom w:val="0"/>
          <w:divBdr>
            <w:top w:val="none" w:sz="0" w:space="0" w:color="auto"/>
            <w:left w:val="none" w:sz="0" w:space="0" w:color="auto"/>
            <w:bottom w:val="none" w:sz="0" w:space="0" w:color="auto"/>
            <w:right w:val="none" w:sz="0" w:space="0" w:color="auto"/>
          </w:divBdr>
        </w:div>
        <w:div w:id="2041082184">
          <w:marLeft w:val="640"/>
          <w:marRight w:val="0"/>
          <w:marTop w:val="0"/>
          <w:marBottom w:val="0"/>
          <w:divBdr>
            <w:top w:val="none" w:sz="0" w:space="0" w:color="auto"/>
            <w:left w:val="none" w:sz="0" w:space="0" w:color="auto"/>
            <w:bottom w:val="none" w:sz="0" w:space="0" w:color="auto"/>
            <w:right w:val="none" w:sz="0" w:space="0" w:color="auto"/>
          </w:divBdr>
        </w:div>
        <w:div w:id="1890801129">
          <w:marLeft w:val="640"/>
          <w:marRight w:val="0"/>
          <w:marTop w:val="0"/>
          <w:marBottom w:val="0"/>
          <w:divBdr>
            <w:top w:val="none" w:sz="0" w:space="0" w:color="auto"/>
            <w:left w:val="none" w:sz="0" w:space="0" w:color="auto"/>
            <w:bottom w:val="none" w:sz="0" w:space="0" w:color="auto"/>
            <w:right w:val="none" w:sz="0" w:space="0" w:color="auto"/>
          </w:divBdr>
        </w:div>
        <w:div w:id="1777865469">
          <w:marLeft w:val="640"/>
          <w:marRight w:val="0"/>
          <w:marTop w:val="0"/>
          <w:marBottom w:val="0"/>
          <w:divBdr>
            <w:top w:val="none" w:sz="0" w:space="0" w:color="auto"/>
            <w:left w:val="none" w:sz="0" w:space="0" w:color="auto"/>
            <w:bottom w:val="none" w:sz="0" w:space="0" w:color="auto"/>
            <w:right w:val="none" w:sz="0" w:space="0" w:color="auto"/>
          </w:divBdr>
        </w:div>
      </w:divsChild>
    </w:div>
    <w:div w:id="1131174557">
      <w:bodyDiv w:val="1"/>
      <w:marLeft w:val="0"/>
      <w:marRight w:val="0"/>
      <w:marTop w:val="0"/>
      <w:marBottom w:val="0"/>
      <w:divBdr>
        <w:top w:val="none" w:sz="0" w:space="0" w:color="auto"/>
        <w:left w:val="none" w:sz="0" w:space="0" w:color="auto"/>
        <w:bottom w:val="none" w:sz="0" w:space="0" w:color="auto"/>
        <w:right w:val="none" w:sz="0" w:space="0" w:color="auto"/>
      </w:divBdr>
      <w:divsChild>
        <w:div w:id="1964539217">
          <w:marLeft w:val="640"/>
          <w:marRight w:val="0"/>
          <w:marTop w:val="0"/>
          <w:marBottom w:val="0"/>
          <w:divBdr>
            <w:top w:val="none" w:sz="0" w:space="0" w:color="auto"/>
            <w:left w:val="none" w:sz="0" w:space="0" w:color="auto"/>
            <w:bottom w:val="none" w:sz="0" w:space="0" w:color="auto"/>
            <w:right w:val="none" w:sz="0" w:space="0" w:color="auto"/>
          </w:divBdr>
        </w:div>
        <w:div w:id="1026374167">
          <w:marLeft w:val="640"/>
          <w:marRight w:val="0"/>
          <w:marTop w:val="0"/>
          <w:marBottom w:val="0"/>
          <w:divBdr>
            <w:top w:val="none" w:sz="0" w:space="0" w:color="auto"/>
            <w:left w:val="none" w:sz="0" w:space="0" w:color="auto"/>
            <w:bottom w:val="none" w:sz="0" w:space="0" w:color="auto"/>
            <w:right w:val="none" w:sz="0" w:space="0" w:color="auto"/>
          </w:divBdr>
        </w:div>
        <w:div w:id="336154544">
          <w:marLeft w:val="640"/>
          <w:marRight w:val="0"/>
          <w:marTop w:val="0"/>
          <w:marBottom w:val="0"/>
          <w:divBdr>
            <w:top w:val="none" w:sz="0" w:space="0" w:color="auto"/>
            <w:left w:val="none" w:sz="0" w:space="0" w:color="auto"/>
            <w:bottom w:val="none" w:sz="0" w:space="0" w:color="auto"/>
            <w:right w:val="none" w:sz="0" w:space="0" w:color="auto"/>
          </w:divBdr>
        </w:div>
      </w:divsChild>
    </w:div>
    <w:div w:id="1284463621">
      <w:bodyDiv w:val="1"/>
      <w:marLeft w:val="0"/>
      <w:marRight w:val="0"/>
      <w:marTop w:val="0"/>
      <w:marBottom w:val="0"/>
      <w:divBdr>
        <w:top w:val="none" w:sz="0" w:space="0" w:color="auto"/>
        <w:left w:val="none" w:sz="0" w:space="0" w:color="auto"/>
        <w:bottom w:val="none" w:sz="0" w:space="0" w:color="auto"/>
        <w:right w:val="none" w:sz="0" w:space="0" w:color="auto"/>
      </w:divBdr>
      <w:divsChild>
        <w:div w:id="1393499821">
          <w:marLeft w:val="640"/>
          <w:marRight w:val="0"/>
          <w:marTop w:val="0"/>
          <w:marBottom w:val="0"/>
          <w:divBdr>
            <w:top w:val="none" w:sz="0" w:space="0" w:color="auto"/>
            <w:left w:val="none" w:sz="0" w:space="0" w:color="auto"/>
            <w:bottom w:val="none" w:sz="0" w:space="0" w:color="auto"/>
            <w:right w:val="none" w:sz="0" w:space="0" w:color="auto"/>
          </w:divBdr>
        </w:div>
        <w:div w:id="1986398937">
          <w:marLeft w:val="640"/>
          <w:marRight w:val="0"/>
          <w:marTop w:val="0"/>
          <w:marBottom w:val="0"/>
          <w:divBdr>
            <w:top w:val="none" w:sz="0" w:space="0" w:color="auto"/>
            <w:left w:val="none" w:sz="0" w:space="0" w:color="auto"/>
            <w:bottom w:val="none" w:sz="0" w:space="0" w:color="auto"/>
            <w:right w:val="none" w:sz="0" w:space="0" w:color="auto"/>
          </w:divBdr>
        </w:div>
        <w:div w:id="992223550">
          <w:marLeft w:val="640"/>
          <w:marRight w:val="0"/>
          <w:marTop w:val="0"/>
          <w:marBottom w:val="0"/>
          <w:divBdr>
            <w:top w:val="none" w:sz="0" w:space="0" w:color="auto"/>
            <w:left w:val="none" w:sz="0" w:space="0" w:color="auto"/>
            <w:bottom w:val="none" w:sz="0" w:space="0" w:color="auto"/>
            <w:right w:val="none" w:sz="0" w:space="0" w:color="auto"/>
          </w:divBdr>
        </w:div>
      </w:divsChild>
    </w:div>
    <w:div w:id="1514026833">
      <w:bodyDiv w:val="1"/>
      <w:marLeft w:val="0"/>
      <w:marRight w:val="0"/>
      <w:marTop w:val="0"/>
      <w:marBottom w:val="0"/>
      <w:divBdr>
        <w:top w:val="none" w:sz="0" w:space="0" w:color="auto"/>
        <w:left w:val="none" w:sz="0" w:space="0" w:color="auto"/>
        <w:bottom w:val="none" w:sz="0" w:space="0" w:color="auto"/>
        <w:right w:val="none" w:sz="0" w:space="0" w:color="auto"/>
      </w:divBdr>
      <w:divsChild>
        <w:div w:id="862401106">
          <w:marLeft w:val="640"/>
          <w:marRight w:val="0"/>
          <w:marTop w:val="0"/>
          <w:marBottom w:val="0"/>
          <w:divBdr>
            <w:top w:val="none" w:sz="0" w:space="0" w:color="auto"/>
            <w:left w:val="none" w:sz="0" w:space="0" w:color="auto"/>
            <w:bottom w:val="none" w:sz="0" w:space="0" w:color="auto"/>
            <w:right w:val="none" w:sz="0" w:space="0" w:color="auto"/>
          </w:divBdr>
        </w:div>
        <w:div w:id="2110735133">
          <w:marLeft w:val="640"/>
          <w:marRight w:val="0"/>
          <w:marTop w:val="0"/>
          <w:marBottom w:val="0"/>
          <w:divBdr>
            <w:top w:val="none" w:sz="0" w:space="0" w:color="auto"/>
            <w:left w:val="none" w:sz="0" w:space="0" w:color="auto"/>
            <w:bottom w:val="none" w:sz="0" w:space="0" w:color="auto"/>
            <w:right w:val="none" w:sz="0" w:space="0" w:color="auto"/>
          </w:divBdr>
        </w:div>
        <w:div w:id="107374631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F1FDAB45504656BDB05E45582BDBBF"/>
        <w:category>
          <w:name w:val="General"/>
          <w:gallery w:val="placeholder"/>
        </w:category>
        <w:types>
          <w:type w:val="bbPlcHdr"/>
        </w:types>
        <w:behaviors>
          <w:behavior w:val="content"/>
        </w:behaviors>
        <w:guid w:val="{AE15A0D4-A5DC-4B89-86AC-97DA103C2F32}"/>
      </w:docPartPr>
      <w:docPartBody>
        <w:p w:rsidR="00792F81" w:rsidRDefault="00C04712" w:rsidP="00C04712">
          <w:pPr>
            <w:pStyle w:val="45F1FDAB45504656BDB05E45582BDBBF"/>
          </w:pPr>
          <w:r w:rsidRPr="00F431A4">
            <w:rPr>
              <w:rStyle w:val="PlaceholderText"/>
            </w:rPr>
            <w:t>Click or tap here to enter text.</w:t>
          </w:r>
        </w:p>
      </w:docPartBody>
    </w:docPart>
    <w:docPart>
      <w:docPartPr>
        <w:name w:val="F751EF83EB424FFFA48B589D9E5B4607"/>
        <w:category>
          <w:name w:val="General"/>
          <w:gallery w:val="placeholder"/>
        </w:category>
        <w:types>
          <w:type w:val="bbPlcHdr"/>
        </w:types>
        <w:behaviors>
          <w:behavior w:val="content"/>
        </w:behaviors>
        <w:guid w:val="{34E09D11-DC7D-44AC-AF01-E718A2F558E1}"/>
      </w:docPartPr>
      <w:docPartBody>
        <w:p w:rsidR="003845B1" w:rsidRDefault="00792F81" w:rsidP="00792F81">
          <w:pPr>
            <w:pStyle w:val="F751EF83EB424FFFA48B589D9E5B4607"/>
          </w:pPr>
          <w:r w:rsidRPr="00F431A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711C3F6-D597-40A8-8C0E-003BD742957C}"/>
      </w:docPartPr>
      <w:docPartBody>
        <w:p w:rsidR="0056465D" w:rsidRDefault="003845B1">
          <w:r w:rsidRPr="00356A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12"/>
    <w:rsid w:val="0020587C"/>
    <w:rsid w:val="003408E2"/>
    <w:rsid w:val="003845B1"/>
    <w:rsid w:val="0056465D"/>
    <w:rsid w:val="00792F81"/>
    <w:rsid w:val="00952550"/>
    <w:rsid w:val="00C04712"/>
    <w:rsid w:val="00FB6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45B1"/>
    <w:rPr>
      <w:color w:val="808080"/>
    </w:rPr>
  </w:style>
  <w:style w:type="paragraph" w:customStyle="1" w:styleId="F45286065860415881639A57C6512521">
    <w:name w:val="F45286065860415881639A57C6512521"/>
    <w:rsid w:val="003845B1"/>
  </w:style>
  <w:style w:type="paragraph" w:customStyle="1" w:styleId="45F1FDAB45504656BDB05E45582BDBBF">
    <w:name w:val="45F1FDAB45504656BDB05E45582BDBBF"/>
    <w:rsid w:val="00C04712"/>
  </w:style>
  <w:style w:type="paragraph" w:customStyle="1" w:styleId="F751EF83EB424FFFA48B589D9E5B4607">
    <w:name w:val="F751EF83EB424FFFA48B589D9E5B4607"/>
    <w:rsid w:val="00792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A43F39-4488-4F68-AC64-D4A4F44E050B}">
  <we:reference id="wa104382081" version="1.46.0.0" store="en-GB" storeType="OMEX"/>
  <we:alternateReferences>
    <we:reference id="WA104382081" version="1.46.0.0" store="" storeType="OMEX"/>
  </we:alternateReferences>
  <we:properties>
    <we:property name="MENDELEY_CITATIONS" value="[{&quot;citationID&quot;:&quot;MENDELEY_CITATION_4ee28c77-6849-46a3-9c65-2ac88db45b3b&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&quot;,&quot;citationItems&quot;:[{&quot;id&quot;:&quot;43c5b821-19ac-39eb-8bb7-2c4e37b73fd5&quot;,&quot;itemData&quot;:{&quot;author&quot;:[{&quot;dropping-particle&quot;:&quot;&quot;,&quot;family&quot;:&quot;Liberman&quot;,&quot;given&quot;:&quot;M&quot;,&quot;non-dropping-particle&quot;:&quot;&quot;,&quot;parse-names&quot;:false,&quot;suffix&quot;:&quot;&quot;},{&quot;dropping-particle&quot;:&quot;&quot;,&quot;family&quot;:&quot;Amsler&quot;,&quot;given&quot;:&quot;R&quot;,&quot;non-dropping-particle&quot;:&quot;&quot;,&quot;parse-names&quot;:false,&quot;suffix&quot;:&quot;&quot;},{&quot;dropping-particle&quot;:&quot;&quot;,&quot;family&quot;:&quot;Church&quot;,&quot;given&quot;:&quot;K&quot;,&quot;non-dropping-particle&quot;:&quot;&quot;,&quot;parse-names&quot;:false,&quot;suffix&quot;:&quot;&quot;},{&quot;dropping-particle&quot;:&quot;&quot;,&quot;family&quot;:&quot;Fox&quot;,&quot;given&quot;:&quot;E&quot;,&quot;non-dropping-particle&quot;:&quot;&quot;,&quot;parse-names&quot;:false,&quot;suffix&quot;:&quot;&quot;},{&quot;dropping-particle&quot;:&quot;&quot;,&quot;family&quot;:&quot;Hafner&quot;,&quot;given&quot;:&quot;C&quot;,&quot;non-dropping-particle&quot;:&quot;&quot;,&quot;parse-names&quot;:false,&quot;suffix&quot;:&quot;&quot;},{&quot;dropping-particle&quot;:&quot;&quot;,&quot;family&quot;:&quot;Klavans&quot;,&quot;given&quot;:&quot;J&quot;,&quot;non-dropping-particle&quot;:&quot;&quot;,&quot;parse-names&quot;:false,&quot;suffix&quot;:&quot;&quot;},{&quot;dropping-particle&quot;:&quot;&quot;,&quot;family&quot;:&quot;Marcus&quot;,&quot;given&quot;:&quot;M&quot;,&quot;non-dropping-particle&quot;:&quot;&quot;,&quot;parse-names&quot;:false,&quot;suffix&quot;:&quot;&quot;},{&quot;dropping-particle&quot;:&quot;&quot;,&quot;family&quot;:&quot;Mercer&quot;,&quot;given&quot;:&quot;B&quot;,&quot;non-dropping-particle&quot;:&quot;&quot;,&quot;parse-names&quot;:false,&quot;suffix&quot;:&quot;&quot;},{&quot;dropping-particle&quot;:&quot;&quot;,&quot;family&quot;:&quot;Pedersen&quot;,&quot;given&quot;:&quot;J&quot;,&quot;non-dropping-particle&quot;:&quot;&quot;,&quot;parse-names&quot;:false,&quot;suffix&quot;:&quot;&quot;},{&quot;dropping-particle&quot;:&quot;&quot;,&quot;family&quot;:&quot;Roossin&quot;,&quot;given&quot;:&quot;P&quot;,&quot;non-dropping-particle&quot;:&quot;&quot;,&quot;parse-names&quot;:false,&quot;suffix&quot;:&quot;&quot;},{&quot;dropping-particle&quot;:&quot;&quot;,&quot;family&quot;:&quot;Walker&quot;,&quot;given&quot;:&quot;D&quot;,&quot;non-dropping-particle&quot;:&quot;&quot;,&quot;parse-names&quot;:false,&quot;suffix&quot;:&quot;&quot;}],&quot;id&quot;:&quot;43c5b821-19ac-39eb-8bb7-2c4e37b73fd5&quot;,&quot;issued&quot;:{&quot;date-parts&quot;:[[&quot;1993&quot;]]},&quot;publisher&quot;:&quot;Linguistic Data Consortium&quot;,&quot;publisher-place&quot;:&quot;Philadelphia&quot;,&quot;title&quot;:&quot;TI 46-Word Corpus&quot;,&quot;type&quot;:&quot;article&quot;,&quot;container-title-short&quot;:&quot;&quot;},&quot;uris&quot;:[&quot;http://www.mendeley.com/documents/?uuid=43c5b821-19ac-39eb-8bb7-2c4e37b73fd5&quot;],&quot;isTemporary&quot;:false,&quot;legacyDesktopId&quot;:&quot;43c5b821-19ac-39eb-8bb7-2c4e37b73fd5&quot;}]},{&quot;citationID&quot;:&quot;MENDELEY_CITATION_dafe2395-0876-4c3f-b81c-c49651a4d925&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&quot;,&quot;citationItems&quot;:[{&quot;id&quot;:&quot;ad24f496-72d6-3253-97af-e0c15cea44f7&quot;,&quot;itemData&quot;:{&quot;DOI&quot;:&quot;10.1109/icassp.2001.940770&quot;,&quot;ISSN&quot;:&quot;15206149&quot;,&quot;abstract&quot;:&quot;In this paper we present a method to derive Mel-frequency cepstral coefficients directly from the power spectrum of a speech signal. We show that omitting the 'lterbank in signal analysis does not affect the word error rate. The presented approach simpli'es the speech recognizer s front end by merging subsequent signal analysis steps into a single one. It avoids possible interpolation and discretization problems and results in a compact implementation. We show that frequency warping schemes like vocal tract normalization (VTN) can be integrated easily in our concept without additional computational efforts. Recognition test results obtained with the RWTH large vocabulary speech recognition system are presented for two different corpora: The German VerbMobil II dev99 corpus, and the English North American Business News 94 20k development corpus.&quot;,&quot;author&quot;:[{&quot;dropping-particle&quot;:&quot;&quot;,&quot;family&quot;:&quot;Molau&quot;,&quot;given&quot;:&quot;S.&quot;,&quot;non-dropping-particle&quot;:&quot;&quot;,&quot;parse-names&quot;:false,&quot;suffix&quot;:&quot;&quot;},{&quot;dropping-particle&quot;:&quot;&quot;,&quot;family&quot;:&quot;Pitz&quot;,&quot;given&quot;:&quot;M.&quot;,&quot;non-dropping-particle&quot;:&quot;&quot;,&quot;parse-names&quot;:false,&quot;suffix&quot;:&quot;&quot;},{&quot;dropping-particle&quot;:&quot;&quot;,&quot;family&quot;:&quot;Schlüter&quot;,&quot;given&quot;:&quot;R.&quot;,&quot;non-dropping-particle&quot;:&quot;&quot;,&quot;parse-names&quot;:false,&quot;suffix&quot;:&quot;&quot;},{&quot;dropping-particle&quot;:&quot;&quot;,&quot;family&quot;:&quot;Ney&quot;,&quot;given&quot;:&quot;H.&quot;,&quot;non-dropping-particle&quot;:&quot;&quot;,&quot;parse-names&quot;:false,&quot;suffix&quot;:&quot;&quot;}],&quot;container-title&quot;:&quot;ICASSP, IEEE International Conference on Acoustics, Speech and Signal Processing - Proceedings&quot;,&quot;id&quot;:&quot;ad24f496-72d6-3253-97af-e0c15cea44f7&quot;,&quot;issued&quot;:{&quot;date-parts&quot;:[[&quot;2001&quot;]]},&quot;page&quot;:&quot;73-76&quot;,&quot;title&quot;:&quot;Computing mel-frequency cepstral coefficients on the power spectrum&quot;,&quot;type&quot;:&quot;paper-conference&quot;,&quot;volume&quot;:&quot;1&quot;,&quot;container-title-short&quot;:&quot;&quot;},&quot;uris&quot;:[&quot;http://www.mendeley.com/documents/?uuid=ad24f496-72d6-3253-97af-e0c15cea44f7&quot;],&quot;isTemporary&quot;:false,&quot;legacyDesktopId&quot;:&quot;ad24f496-72d6-3253-97af-e0c15cea44f7&quot;}]},{&quot;citationID&quot;:&quot;MENDELEY_CITATION_40e181ee-e58d-47b1-9fc2-3d2737f6699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&quot;,&quot;citationItems&quot;:[{&quot;id&quot;:&quot;d2941035-8c8a-33a9-9249-e08409cfb044&quot;,&quot;itemData&quot;:{&quot;type&quot;:&quot;article-journal&quot;,&quot;id&quot;:&quot;d2941035-8c8a-33a9-9249-e08409cfb044&quot;,&quot;title&quot;:&quot;SpaRCe: Improved Learning of Reservoir Computing Systems Through Sparse Representations&quot;,&quot;author&quot;:[{&quot;family&quot;:&quot;Manneschi&quot;,&quot;given&quot;:&quot;Luca&quot;,&quot;parse-names&quot;:false,&quot;dropping-particle&quot;:&quot;&quot;,&quot;non-dropping-particle&quot;:&quot;&quot;},{&quot;family&quot;:&quot;Lin&quot;,&quot;given&quot;:&quot;Andrew C.&quot;,&quot;parse-names&quot;:false,&quot;dropping-particle&quot;:&quot;&quot;,&quot;non-dropping-particle&quot;:&quot;&quot;},{&quot;family&quot;:&quot;Vasilaki&quot;,&quot;given&quot;:&quot;Eleni&quot;,&quot;parse-names&quot;:false,&quot;dropping-particle&quot;:&quot;&quot;,&quot;non-dropping-particle&quot;:&quot;&quot;}],&quot;container-title&quot;:&quot;IEEE Transactions on Neural Networks and Learning Systems&quot;,&quot;accessed&quot;:{&quot;date-parts&quot;:[[2021,10,19]]},&quot;DOI&quot;:&quot;10.1109/TNNLS.2021.3102378&quot;,&quot;issued&quot;:{&quot;date-parts&quot;:[[2021]]},&quot;abstract&quot;:&quot;``Sparse'' neural networks, in which relatively few neurons or connections are active, are common in both machine learning and neuroscience. While, in machine learning, ``sparsity'' is related to a penalty term that leads to some connecting weights becoming small or zero, in biological brains, sparsity is often created when high spiking thresholds prevent neuronal activity. Here, we introduce sparsity into a reservoir computing network via neuron-specific learnable thresholds of activity, allowing neurons with low thresholds to contribute to decision-making but suppressing information from neurons with high thresholds. This approach, which we term ``SpaRCe,'' optimizes the sparsity level of the reservoir without affecting the reservoir dynamics. The read-out weights and the thresholds are learned by an online gradient rule that minimizes an error function on the outputs of the network. Threshold learning occurs by the balance of two opposing forces: reducing interneuronal correlations in the reservoir by deactivating redundant neurons, while increasing the activity of neurons participating in correct decisions. We test SpaRCe on classification problems and find that threshold learning improves performance compared to standard reservoir computing. SpaRCe alleviates the problem of catastrophic forgetting, a problem most evident in standard echo state networks (ESNs) and recurrent neural networks in general, due to increasing the number of task-specialized neurons that are included in the network decisions.&quot;,&quot;publisher&quot;:&quot;Institute of Electrical and Electronics Engineers Inc.&quot;,&quot;container-title-short&quot;:&quot;IEEE Trans Neural Netw Learn Syst&quot;},&quot;isTemporary&quot;:false}]},{&quot;citationID&quot;:&quot;MENDELEY_CITATION_1fc9b506-0294-4569-ba3f-6c5676fa46d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&quot;,&quot;citationItems&quot;:[{&quot;id&quot;:&quot;d2941035-8c8a-33a9-9249-e08409cfb044&quot;,&quot;itemData&quot;:{&quot;type&quot;:&quot;article-journal&quot;,&quot;id&quot;:&quot;d2941035-8c8a-33a9-9249-e08409cfb044&quot;,&quot;title&quot;:&quot;SpaRCe: Improved Learning of Reservoir Computing Systems Through Sparse Representations&quot;,&quot;author&quot;:[{&quot;family&quot;:&quot;Manneschi&quot;,&quot;given&quot;:&quot;Luca&quot;,&quot;parse-names&quot;:false,&quot;dropping-particle&quot;:&quot;&quot;,&quot;non-dropping-particle&quot;:&quot;&quot;},{&quot;family&quot;:&quot;Lin&quot;,&quot;given&quot;:&quot;Andrew C.&quot;,&quot;parse-names&quot;:false,&quot;dropping-particle&quot;:&quot;&quot;,&quot;non-dropping-particle&quot;:&quot;&quot;},{&quot;family&quot;:&quot;Vasilaki&quot;,&quot;given&quot;:&quot;Eleni&quot;,&quot;parse-names&quot;:false,&quot;dropping-particle&quot;:&quot;&quot;,&quot;non-dropping-particle&quot;:&quot;&quot;}],&quot;container-title&quot;:&quot;IEEE Transactions on Neural Networks and Learning Systems&quot;,&quot;accessed&quot;:{&quot;date-parts&quot;:[[2021,10,19]]},&quot;DOI&quot;:&quot;10.1109/TNNLS.2021.3102378&quot;,&quot;issued&quot;:{&quot;date-parts&quot;:[[2021]]},&quot;abstract&quot;:&quot;``Sparse'' neural networks, in which relatively few neurons or connections are active, are common in both machine learning and neuroscience. While, in machine learning, ``sparsity'' is related to a penalty term that leads to some connecting weights becoming small or zero, in biological brains, sparsity is often created when high spiking thresholds prevent neuronal activity. Here, we introduce sparsity into a reservoir computing network via neuron-specific learnable thresholds of activity, allowing neurons with low thresholds to contribute to decision-making but suppressing information from neurons with high thresholds. This approach, which we term ``SpaRCe,'' optimizes the sparsity level of the reservoir without affecting the reservoir dynamics. The read-out weights and the thresholds are learned by an online gradient rule that minimizes an error function on the outputs of the network. Threshold learning occurs by the balance of two opposing forces: reducing interneuronal correlations in the reservoir by deactivating redundant neurons, while increasing the activity of neurons participating in correct decisions. We test SpaRCe on classification problems and find that threshold learning improves performance compared to standard reservoir computing. SpaRCe alleviates the problem of catastrophic forgetting, a problem most evident in standard echo state networks (ESNs) and recurrent neural networks in general, due to increasing the number of task-specialized neurons that are included in the network decisions.&quot;,&quot;publisher&quot;:&quot;Institute of Electrical and Electronics Engineers Inc.&quot;,&quot;container-title-short&quot;:&quot;IEEE Trans Neural Netw Learn Syst&quot;},&quot;isTemporary&quot;:false}]}]"/>
    <we:property name="MENDELEY_CITATIONS_LOCALE_CODE" value="&quot;en-GB&quot;"/>
    <we:property name="MENDELEY_CITATIONS_STYLE" value="{&quot;id&quot;:&quot;https://www.zotero.org/styles/nature&quot;,&quot;title&quot;:&quot;Nature&quot;,&quot;format&quot;:&quot;numeric&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5D6C0-C5E7-4D49-8E6A-54B74A3E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Vidamour</dc:creator>
  <cp:keywords/>
  <dc:description/>
  <cp:lastModifiedBy>Ian Vidamour</cp:lastModifiedBy>
  <cp:revision>8</cp:revision>
  <dcterms:created xsi:type="dcterms:W3CDTF">2022-08-26T14:10:00Z</dcterms:created>
  <dcterms:modified xsi:type="dcterms:W3CDTF">2022-10-04T09:45:00Z</dcterms:modified>
</cp:coreProperties>
</file>