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EE4C8" w14:textId="6AF91317" w:rsidR="000C7BE2" w:rsidRDefault="00DC5CDE" w:rsidP="00381B3B">
      <w:pPr>
        <w:spacing w:line="480" w:lineRule="auto"/>
        <w:jc w:val="center"/>
        <w:rPr>
          <w:rFonts w:ascii="Verdana Pro Cond SemiBold" w:eastAsia="Verdana Pro Cond SemiBold" w:hAnsi="Verdana Pro Cond SemiBold" w:cs="Verdana Pro Cond SemiBold"/>
          <w:color w:val="000000" w:themeColor="text1"/>
          <w:sz w:val="36"/>
          <w:szCs w:val="36"/>
          <w:u w:val="single"/>
        </w:rPr>
      </w:pPr>
      <w:r w:rsidRPr="00DC5CDE">
        <w:rPr>
          <w:rFonts w:ascii="Verdana Pro Cond SemiBold" w:eastAsia="Verdana Pro Cond SemiBold" w:hAnsi="Verdana Pro Cond SemiBold" w:cs="Verdana Pro Cond SemiBold"/>
          <w:color w:val="000000" w:themeColor="text1"/>
          <w:sz w:val="36"/>
          <w:szCs w:val="36"/>
          <w:u w:val="single"/>
        </w:rPr>
        <w:t>Supplementary Information</w:t>
      </w:r>
    </w:p>
    <w:p w14:paraId="0C5DBD1B" w14:textId="5CAEC767" w:rsidR="00381B3B" w:rsidRDefault="00381B3B" w:rsidP="00381B3B">
      <w:pPr>
        <w:spacing w:after="0" w:line="360" w:lineRule="auto"/>
        <w:jc w:val="center"/>
        <w:rPr>
          <w:rFonts w:ascii="Verdana Pro Cond SemiBold" w:eastAsia="Verdana Pro Cond SemiBold" w:hAnsi="Verdana Pro Cond SemiBold" w:cs="Verdana Pro Cond SemiBold"/>
          <w:bCs/>
        </w:rPr>
      </w:pPr>
      <w:r w:rsidRPr="002C2F60">
        <w:rPr>
          <w:rFonts w:ascii="Verdana Pro Cond SemiBold" w:eastAsia="Verdana Pro Cond SemiBold" w:hAnsi="Verdana Pro Cond SemiBold" w:cs="Verdana Pro Cond SemiBold"/>
          <w:bCs/>
        </w:rPr>
        <w:t xml:space="preserve">A Phase II Trial of </w:t>
      </w:r>
      <w:proofErr w:type="spellStart"/>
      <w:r w:rsidRPr="002C2F60">
        <w:rPr>
          <w:rFonts w:ascii="Verdana Pro Cond SemiBold" w:eastAsia="Verdana Pro Cond SemiBold" w:hAnsi="Verdana Pro Cond SemiBold" w:cs="Verdana Pro Cond SemiBold"/>
          <w:bCs/>
        </w:rPr>
        <w:t>Netupitant</w:t>
      </w:r>
      <w:proofErr w:type="spellEnd"/>
      <w:r w:rsidRPr="002C2F60">
        <w:rPr>
          <w:rFonts w:ascii="Verdana Pro Cond SemiBold" w:eastAsia="Verdana Pro Cond SemiBold" w:hAnsi="Verdana Pro Cond SemiBold" w:cs="Verdana Pro Cond SemiBold"/>
          <w:bCs/>
        </w:rPr>
        <w:t>/Palonosetron</w:t>
      </w:r>
      <w:r>
        <w:rPr>
          <w:rFonts w:ascii="Verdana Pro Cond SemiBold" w:eastAsia="Verdana Pro Cond SemiBold" w:hAnsi="Verdana Pro Cond SemiBold" w:cs="Verdana Pro Cond SemiBold"/>
          <w:bCs/>
        </w:rPr>
        <w:t xml:space="preserve"> </w:t>
      </w:r>
      <w:r w:rsidRPr="002C2F60">
        <w:rPr>
          <w:rFonts w:ascii="Verdana Pro Cond SemiBold" w:eastAsia="Verdana Pro Cond SemiBold" w:hAnsi="Verdana Pro Cond SemiBold" w:cs="Verdana Pro Cond SemiBold"/>
          <w:bCs/>
        </w:rPr>
        <w:t>for Prevention of Chemotherapy Induced Nausea</w:t>
      </w:r>
      <w:r>
        <w:rPr>
          <w:rFonts w:ascii="Verdana Pro Cond SemiBold" w:eastAsia="Verdana Pro Cond SemiBold" w:hAnsi="Verdana Pro Cond SemiBold" w:cs="Verdana Pro Cond SemiBold"/>
          <w:bCs/>
        </w:rPr>
        <w:t>/</w:t>
      </w:r>
      <w:r w:rsidRPr="002C2F60">
        <w:rPr>
          <w:rFonts w:ascii="Verdana Pro Cond SemiBold" w:eastAsia="Verdana Pro Cond SemiBold" w:hAnsi="Verdana Pro Cond SemiBold" w:cs="Verdana Pro Cond SemiBold"/>
          <w:bCs/>
        </w:rPr>
        <w:t>Vomiting in Patients Receiving BEAM Prior to Hematopoietic Cell Transplantation</w:t>
      </w:r>
    </w:p>
    <w:p w14:paraId="382497C8" w14:textId="77777777" w:rsidR="00381B3B" w:rsidRPr="00381B3B" w:rsidRDefault="00381B3B" w:rsidP="00381B3B">
      <w:pPr>
        <w:spacing w:after="0" w:line="360" w:lineRule="auto"/>
        <w:jc w:val="center"/>
        <w:rPr>
          <w:rFonts w:ascii="Verdana Pro Cond SemiBold" w:eastAsia="Verdana Pro Cond SemiBold" w:hAnsi="Verdana Pro Cond SemiBold" w:cs="Verdana Pro Cond SemiBold"/>
          <w:bCs/>
        </w:rPr>
      </w:pPr>
    </w:p>
    <w:p w14:paraId="30BFAEE5" w14:textId="59E7C32E" w:rsidR="000C7BE2" w:rsidRPr="000C7BE2" w:rsidRDefault="000C7BE2" w:rsidP="000C7BE2">
      <w:pPr>
        <w:ind w:left="360"/>
        <w:jc w:val="center"/>
      </w:pPr>
      <w:r w:rsidRPr="007F10AE">
        <w:t xml:space="preserve">Joseph </w:t>
      </w:r>
      <w:r>
        <w:t xml:space="preserve">S. </w:t>
      </w:r>
      <w:proofErr w:type="spellStart"/>
      <w:r w:rsidRPr="007F10AE">
        <w:t>Bubalo</w:t>
      </w:r>
      <w:proofErr w:type="spellEnd"/>
      <w:r w:rsidRPr="007F10AE">
        <w:t xml:space="preserve">, PharmD; </w:t>
      </w:r>
      <w:r>
        <w:t xml:space="preserve">Jennifer L. Radke, PharmD; </w:t>
      </w:r>
      <w:r w:rsidRPr="007F10AE">
        <w:t>Kenneth</w:t>
      </w:r>
      <w:r>
        <w:t xml:space="preserve"> G.</w:t>
      </w:r>
      <w:r w:rsidRPr="007F10AE">
        <w:t xml:space="preserve"> </w:t>
      </w:r>
      <w:proofErr w:type="spellStart"/>
      <w:r w:rsidRPr="007F10AE">
        <w:t>Bensch</w:t>
      </w:r>
      <w:proofErr w:type="spellEnd"/>
      <w:r w:rsidRPr="007F10AE">
        <w:t>, MD, PhD</w:t>
      </w:r>
      <w:r>
        <w:t xml:space="preserve">; Andy I. Chen, MD, PhD; Shikha Misra, </w:t>
      </w:r>
      <w:r w:rsidRPr="00AE79E2">
        <w:t>MSc</w:t>
      </w:r>
      <w:r>
        <w:t>;</w:t>
      </w:r>
      <w:r w:rsidRPr="00DB714E">
        <w:t xml:space="preserve"> </w:t>
      </w:r>
      <w:r>
        <w:t xml:space="preserve">Richard T. </w:t>
      </w:r>
      <w:proofErr w:type="spellStart"/>
      <w:r>
        <w:t>Maziarz</w:t>
      </w:r>
      <w:proofErr w:type="spellEnd"/>
      <w:r>
        <w:t>, MD</w:t>
      </w:r>
    </w:p>
    <w:p w14:paraId="5B2285A3" w14:textId="159F97DB" w:rsidR="000C7BE2" w:rsidRDefault="000C7BE2" w:rsidP="00381B3B">
      <w:pPr>
        <w:jc w:val="both"/>
        <w:rPr>
          <w:rFonts w:ascii="Verdana Pro Cond SemiBold" w:eastAsia="Verdana Pro Cond SemiBold" w:hAnsi="Verdana Pro Cond SemiBold" w:cs="Verdana Pro Cond SemiBold"/>
          <w:b/>
          <w:bCs/>
        </w:rPr>
      </w:pPr>
      <w:r w:rsidRPr="002044E3">
        <w:rPr>
          <w:b/>
          <w:bCs/>
          <w:color w:val="000000" w:themeColor="text1"/>
        </w:rPr>
        <w:t>Corresponding author:</w:t>
      </w:r>
      <w:r w:rsidRPr="002044E3">
        <w:rPr>
          <w:color w:val="000000" w:themeColor="text1"/>
        </w:rPr>
        <w:t xml:space="preserve"> Joseph </w:t>
      </w:r>
      <w:proofErr w:type="spellStart"/>
      <w:r w:rsidRPr="002044E3">
        <w:rPr>
          <w:color w:val="000000" w:themeColor="text1"/>
        </w:rPr>
        <w:t>Bubalo</w:t>
      </w:r>
      <w:proofErr w:type="spellEnd"/>
      <w:r w:rsidRPr="002044E3">
        <w:rPr>
          <w:color w:val="000000" w:themeColor="text1"/>
        </w:rPr>
        <w:t xml:space="preserve">, PharmD, BCOP, BCPS, Pharmacy Services CR 9-4, 3181 SW Sam Jackson Park </w:t>
      </w:r>
      <w:r w:rsidRPr="00585B5A">
        <w:t>Road, Portland, OR 97239</w:t>
      </w:r>
      <w:r>
        <w:t xml:space="preserve">, Tel: </w:t>
      </w:r>
      <w:r w:rsidRPr="00585B5A">
        <w:t xml:space="preserve">503-494-8007, </w:t>
      </w:r>
      <w:r>
        <w:t>F</w:t>
      </w:r>
      <w:r w:rsidRPr="00585B5A">
        <w:t>ax</w:t>
      </w:r>
      <w:r>
        <w:t>:</w:t>
      </w:r>
      <w:r w:rsidRPr="00585B5A">
        <w:t xml:space="preserve"> 503-956-5094, </w:t>
      </w:r>
      <w:r w:rsidRPr="00B968D2">
        <w:t>bubaloj@ohsu.edu</w:t>
      </w:r>
      <w:r>
        <w:t xml:space="preserve"> </w:t>
      </w:r>
    </w:p>
    <w:p w14:paraId="269166EE" w14:textId="77777777" w:rsidR="00381B3B" w:rsidRPr="00381B3B" w:rsidRDefault="00381B3B" w:rsidP="00381B3B">
      <w:pPr>
        <w:jc w:val="both"/>
        <w:rPr>
          <w:rFonts w:ascii="Verdana Pro Cond SemiBold" w:eastAsia="Verdana Pro Cond SemiBold" w:hAnsi="Verdana Pro Cond SemiBold" w:cs="Verdana Pro Cond SemiBold"/>
          <w:b/>
          <w:bCs/>
        </w:rPr>
      </w:pPr>
    </w:p>
    <w:p w14:paraId="2E694F31" w14:textId="36433161" w:rsidR="00481EE2" w:rsidRPr="000A59E9" w:rsidRDefault="00685413" w:rsidP="00ED7F69">
      <w:pPr>
        <w:spacing w:line="480" w:lineRule="auto"/>
        <w:jc w:val="both"/>
        <w:rPr>
          <w:rFonts w:ascii="Times New Roman" w:eastAsia="Times New Roman" w:hAnsi="Times New Roman" w:cs="Times New Roman"/>
          <w:b/>
          <w:color w:val="000000"/>
          <w:sz w:val="24"/>
          <w:szCs w:val="24"/>
        </w:rPr>
      </w:pPr>
      <w:r w:rsidRPr="000A59E9">
        <w:rPr>
          <w:rFonts w:ascii="Times New Roman" w:eastAsia="Times New Roman" w:hAnsi="Times New Roman" w:cs="Times New Roman"/>
          <w:b/>
          <w:color w:val="000000"/>
          <w:sz w:val="24"/>
          <w:szCs w:val="24"/>
        </w:rPr>
        <w:t>Exclusion Criteria</w:t>
      </w:r>
    </w:p>
    <w:p w14:paraId="3500356A" w14:textId="55CC95D2" w:rsidR="00685413" w:rsidRPr="00252C91" w:rsidRDefault="00685413" w:rsidP="00ED7F69">
      <w:pPr>
        <w:spacing w:after="0" w:line="480" w:lineRule="auto"/>
        <w:jc w:val="both"/>
        <w:rPr>
          <w:rFonts w:ascii="Times New Roman" w:eastAsia="Times New Roman" w:hAnsi="Times New Roman" w:cs="Times New Roman"/>
          <w:color w:val="000000"/>
          <w:sz w:val="20"/>
          <w:szCs w:val="20"/>
        </w:rPr>
      </w:pPr>
      <w:r w:rsidRPr="00252C91">
        <w:rPr>
          <w:rFonts w:ascii="Times New Roman" w:eastAsia="Times New Roman" w:hAnsi="Times New Roman" w:cs="Times New Roman"/>
          <w:color w:val="000000"/>
          <w:sz w:val="20"/>
          <w:szCs w:val="20"/>
        </w:rPr>
        <w:t>Patient exclusion criteria included subjects with known allergies or hypersensitivities to any drugs used within the study,</w:t>
      </w:r>
      <w:r w:rsidR="009A7773" w:rsidRPr="00252C91">
        <w:rPr>
          <w:rFonts w:ascii="Times New Roman" w:eastAsia="Times New Roman" w:hAnsi="Times New Roman" w:cs="Times New Roman"/>
          <w:color w:val="000000"/>
          <w:sz w:val="20"/>
          <w:szCs w:val="20"/>
        </w:rPr>
        <w:t xml:space="preserve"> </w:t>
      </w:r>
      <w:r w:rsidRPr="00252C91">
        <w:rPr>
          <w:rFonts w:ascii="Times New Roman" w:eastAsia="Times New Roman" w:hAnsi="Times New Roman" w:cs="Times New Roman"/>
          <w:color w:val="000000"/>
          <w:sz w:val="20"/>
          <w:szCs w:val="20"/>
        </w:rPr>
        <w:t xml:space="preserve">patients receiving other investigational agents within the last 30 days, patients with prior record of emesis or antiemetic use within the previous 48 hours from start of the BEAM regimen, pregnant or lactating women, HIV-positive patients on combination antiretroviral therapy, patients with previous use of NK-1 antagonists within 14 days from start of the BEAM regimen, patients with serum creatinine levels above 2 times the upper limit of normal, patients with renal failure or end stage renal disease, patients with severe hepatic insufficiency (defined by Child Pugh score &gt;9), patients with increased alcohol intake (&gt;5 drinks daily for the previous year), patients with a concurrent illness requiring systemic corticosteroids, patients with gastrointestinal malabsorption issues, patients with medical history of anticipatory nausea and vomiting, patients on strong CYP3A4-inhibitor or -inducer drugs within 7 days of study commencement, patients requiring benzodiazepines on a regular basis, patients on medications that enable QT-prolongation or electrolyte abnormalities (including antiarrhythmic medications), patients with medical history or family history of QT prolongation at time of enrollment, uncorrected electrolyte deviations, congestive heart failure, bradyarrhythmia, or conduction disturbances. </w:t>
      </w:r>
    </w:p>
    <w:p w14:paraId="44943665" w14:textId="77777777" w:rsidR="00DC5CDE" w:rsidRPr="00252C91" w:rsidRDefault="00DC5CDE" w:rsidP="00ED7F69">
      <w:pPr>
        <w:spacing w:line="480" w:lineRule="auto"/>
        <w:jc w:val="both"/>
        <w:rPr>
          <w:rFonts w:ascii="Times New Roman" w:eastAsia="Times New Roman" w:hAnsi="Times New Roman" w:cs="Times New Roman"/>
          <w:color w:val="000000"/>
          <w:sz w:val="20"/>
          <w:szCs w:val="20"/>
        </w:rPr>
      </w:pPr>
    </w:p>
    <w:p w14:paraId="12F9624A" w14:textId="77777777" w:rsidR="006476AE" w:rsidRPr="000A59E9" w:rsidRDefault="006476AE" w:rsidP="00ED7F69">
      <w:pPr>
        <w:spacing w:line="480" w:lineRule="auto"/>
        <w:jc w:val="both"/>
        <w:rPr>
          <w:rFonts w:ascii="Times New Roman" w:eastAsia="Times New Roman" w:hAnsi="Times New Roman" w:cs="Times New Roman"/>
          <w:b/>
          <w:sz w:val="24"/>
          <w:szCs w:val="24"/>
        </w:rPr>
      </w:pPr>
      <w:r w:rsidRPr="000A59E9">
        <w:rPr>
          <w:rFonts w:ascii="Times New Roman" w:eastAsia="Times New Roman" w:hAnsi="Times New Roman" w:cs="Times New Roman"/>
          <w:b/>
          <w:sz w:val="24"/>
          <w:szCs w:val="24"/>
        </w:rPr>
        <w:t>Gender disparity</w:t>
      </w:r>
    </w:p>
    <w:p w14:paraId="043C717A" w14:textId="785C182B" w:rsidR="007C4D29" w:rsidRPr="00252C91" w:rsidRDefault="006476AE" w:rsidP="00ED7F69">
      <w:pPr>
        <w:spacing w:line="480" w:lineRule="auto"/>
        <w:jc w:val="both"/>
        <w:rPr>
          <w:rFonts w:ascii="Times New Roman" w:eastAsia="Times New Roman" w:hAnsi="Times New Roman" w:cs="Times New Roman"/>
          <w:color w:val="000000"/>
          <w:sz w:val="20"/>
          <w:szCs w:val="20"/>
          <w:vertAlign w:val="superscript"/>
        </w:rPr>
      </w:pPr>
      <w:r w:rsidRPr="00252C91">
        <w:rPr>
          <w:rFonts w:ascii="Times New Roman" w:eastAsia="Times New Roman" w:hAnsi="Times New Roman" w:cs="Times New Roman"/>
          <w:color w:val="000000"/>
          <w:sz w:val="20"/>
          <w:szCs w:val="20"/>
        </w:rPr>
        <w:t>The incidence of CINV is significantly higher in female patients with discrepancies reaching up to 30% and 20% between gender groups in acute and delayed nausea, respectively.</w:t>
      </w:r>
      <w:r w:rsidR="007A712C" w:rsidRPr="00252C91">
        <w:rPr>
          <w:rFonts w:ascii="Times New Roman" w:eastAsia="Times New Roman" w:hAnsi="Times New Roman" w:cs="Times New Roman"/>
          <w:color w:val="000000"/>
          <w:sz w:val="20"/>
          <w:szCs w:val="20"/>
          <w:vertAlign w:val="superscript"/>
        </w:rPr>
        <w:t>1</w:t>
      </w:r>
      <w:r w:rsidRPr="00252C91">
        <w:rPr>
          <w:rFonts w:ascii="Times New Roman" w:eastAsia="Times New Roman" w:hAnsi="Times New Roman" w:cs="Times New Roman"/>
          <w:color w:val="000000"/>
          <w:sz w:val="20"/>
          <w:szCs w:val="20"/>
        </w:rPr>
        <w:t xml:space="preserve"> This phenomenon can confound the effects of </w:t>
      </w:r>
      <w:r w:rsidRPr="00252C91">
        <w:rPr>
          <w:rFonts w:ascii="Times New Roman" w:eastAsia="Times New Roman" w:hAnsi="Times New Roman" w:cs="Times New Roman"/>
          <w:color w:val="000000"/>
          <w:sz w:val="20"/>
          <w:szCs w:val="20"/>
        </w:rPr>
        <w:lastRenderedPageBreak/>
        <w:t>antiemetic drug efficacy and complicate real-world product selection, especially as pharmacokinetic properties can also differ between gender groups. Pharmacokinetic data in FDA product labeling indicates higher maximum concentrations (</w:t>
      </w:r>
      <w:proofErr w:type="spellStart"/>
      <w:r w:rsidRPr="00252C91">
        <w:rPr>
          <w:rFonts w:ascii="Times New Roman" w:eastAsia="Times New Roman" w:hAnsi="Times New Roman" w:cs="Times New Roman"/>
          <w:color w:val="000000"/>
          <w:sz w:val="20"/>
          <w:szCs w:val="20"/>
        </w:rPr>
        <w:t>C</w:t>
      </w:r>
      <w:r w:rsidRPr="00252C91">
        <w:rPr>
          <w:rFonts w:ascii="Times New Roman" w:eastAsia="Times New Roman" w:hAnsi="Times New Roman" w:cs="Times New Roman"/>
          <w:color w:val="000000"/>
          <w:sz w:val="20"/>
          <w:szCs w:val="20"/>
          <w:vertAlign w:val="subscript"/>
        </w:rPr>
        <w:t>max</w:t>
      </w:r>
      <w:proofErr w:type="spellEnd"/>
      <w:r w:rsidRPr="00252C91">
        <w:rPr>
          <w:rFonts w:ascii="Times New Roman" w:eastAsia="Times New Roman" w:hAnsi="Times New Roman" w:cs="Times New Roman"/>
          <w:color w:val="000000"/>
          <w:sz w:val="20"/>
          <w:szCs w:val="20"/>
        </w:rPr>
        <w:t xml:space="preserve">) of both </w:t>
      </w:r>
      <w:proofErr w:type="spellStart"/>
      <w:r w:rsidRPr="00252C91">
        <w:rPr>
          <w:rFonts w:ascii="Times New Roman" w:eastAsia="Times New Roman" w:hAnsi="Times New Roman" w:cs="Times New Roman"/>
          <w:color w:val="000000"/>
          <w:sz w:val="20"/>
          <w:szCs w:val="20"/>
        </w:rPr>
        <w:t>netupitant</w:t>
      </w:r>
      <w:proofErr w:type="spellEnd"/>
      <w:r w:rsidRPr="00252C91">
        <w:rPr>
          <w:rFonts w:ascii="Times New Roman" w:eastAsia="Times New Roman" w:hAnsi="Times New Roman" w:cs="Times New Roman"/>
          <w:color w:val="000000"/>
          <w:sz w:val="20"/>
          <w:szCs w:val="20"/>
        </w:rPr>
        <w:t xml:space="preserve"> and palonosetron are reached in female subgroups.</w:t>
      </w:r>
      <w:r w:rsidR="007A712C" w:rsidRPr="00252C91">
        <w:rPr>
          <w:rFonts w:ascii="Times New Roman" w:eastAsia="Times New Roman" w:hAnsi="Times New Roman" w:cs="Times New Roman"/>
          <w:color w:val="000000"/>
          <w:sz w:val="20"/>
          <w:szCs w:val="20"/>
          <w:vertAlign w:val="superscript"/>
        </w:rPr>
        <w:t>2</w:t>
      </w:r>
      <w:r w:rsidRPr="00252C91">
        <w:rPr>
          <w:rFonts w:ascii="Times New Roman" w:eastAsia="Times New Roman" w:hAnsi="Times New Roman" w:cs="Times New Roman"/>
          <w:color w:val="000000"/>
          <w:sz w:val="20"/>
          <w:szCs w:val="20"/>
        </w:rPr>
        <w:t xml:space="preserve"> For time versus </w:t>
      </w:r>
      <w:r w:rsidR="007A712C" w:rsidRPr="00252C91">
        <w:rPr>
          <w:rFonts w:ascii="Times New Roman" w:eastAsia="Times New Roman" w:hAnsi="Times New Roman" w:cs="Times New Roman"/>
          <w:color w:val="000000"/>
          <w:sz w:val="20"/>
          <w:szCs w:val="20"/>
        </w:rPr>
        <w:t>concentration data</w:t>
      </w:r>
      <w:r w:rsidRPr="00252C91">
        <w:rPr>
          <w:rFonts w:ascii="Times New Roman" w:eastAsia="Times New Roman" w:hAnsi="Times New Roman" w:cs="Times New Roman"/>
          <w:color w:val="000000"/>
          <w:sz w:val="20"/>
          <w:szCs w:val="20"/>
        </w:rPr>
        <w:t>, females exhibited 35% higher AUC values for palonosetron but similar AUC values to males for netupitant. Despite trends for greater NEPA absorption in females, the rate of CINV exhibited by females treated with NEPA is still higher than their male counterparts.</w:t>
      </w:r>
      <w:r w:rsidRPr="00252C91">
        <w:rPr>
          <w:rFonts w:ascii="Times New Roman" w:eastAsia="Times New Roman" w:hAnsi="Times New Roman" w:cs="Times New Roman"/>
          <w:color w:val="000000"/>
          <w:sz w:val="20"/>
          <w:szCs w:val="20"/>
          <w:vertAlign w:val="superscript"/>
        </w:rPr>
        <w:t xml:space="preserve"> </w:t>
      </w:r>
      <w:r w:rsidRPr="00252C91">
        <w:rPr>
          <w:rFonts w:ascii="Times New Roman" w:eastAsia="Times New Roman" w:hAnsi="Times New Roman" w:cs="Times New Roman"/>
          <w:color w:val="000000"/>
          <w:sz w:val="20"/>
          <w:szCs w:val="20"/>
        </w:rPr>
        <w:t>This is in concordance to the findings of Apolito et al. (2020) who found that male patients within a similar patient population had relatively higher rates of CR (67% in men vs 46% in women) at 120 hours post-infusion of high-dose melphalan therapy and tended to experience fewer episodes of nausea (33% vs. 59%).</w:t>
      </w:r>
      <w:r w:rsidR="007A712C" w:rsidRPr="00252C91">
        <w:rPr>
          <w:rFonts w:ascii="Times New Roman" w:eastAsia="Times New Roman" w:hAnsi="Times New Roman" w:cs="Times New Roman"/>
          <w:color w:val="000000"/>
          <w:sz w:val="20"/>
          <w:szCs w:val="20"/>
          <w:vertAlign w:val="superscript"/>
        </w:rPr>
        <w:t>3</w:t>
      </w:r>
      <w:r w:rsidRPr="00252C91">
        <w:rPr>
          <w:rFonts w:ascii="Times New Roman" w:eastAsia="Times New Roman" w:hAnsi="Times New Roman" w:cs="Times New Roman"/>
          <w:color w:val="000000"/>
          <w:sz w:val="20"/>
          <w:szCs w:val="20"/>
        </w:rPr>
        <w:t xml:space="preserve"> A further sub-analysis of the current study reveals that the progression of nausea over the course of the study tended to be higher in women at nearly every time point, which could be simply a result of CINV prevalence in this subgroup or alternatively indicate that women are potentially less amenable to the effects of NEPA. The latter theory is challenged by an analysis by Hesketh et al. (2014) of three CINV clinical studies that demonstrated similar rates of CR between subgroups of patients treated with NEPA versus oral palonosetron alone for CINV related to single-day HEC regimens.</w:t>
      </w:r>
      <w:r w:rsidR="007A712C" w:rsidRPr="00252C91">
        <w:rPr>
          <w:rFonts w:ascii="Times New Roman" w:eastAsia="Times New Roman" w:hAnsi="Times New Roman" w:cs="Times New Roman"/>
          <w:color w:val="000000"/>
          <w:sz w:val="20"/>
          <w:szCs w:val="20"/>
          <w:vertAlign w:val="superscript"/>
        </w:rPr>
        <w:t>4</w:t>
      </w:r>
    </w:p>
    <w:p w14:paraId="5BE65BC2" w14:textId="77777777" w:rsidR="008B1D5A" w:rsidRPr="00252C91" w:rsidRDefault="008B1D5A" w:rsidP="00ED7F69">
      <w:pPr>
        <w:spacing w:line="480" w:lineRule="auto"/>
        <w:jc w:val="both"/>
        <w:rPr>
          <w:rFonts w:ascii="Times New Roman" w:eastAsia="Times New Roman" w:hAnsi="Times New Roman" w:cs="Times New Roman"/>
          <w:b/>
          <w:color w:val="000000"/>
          <w:sz w:val="20"/>
          <w:szCs w:val="20"/>
        </w:rPr>
      </w:pPr>
    </w:p>
    <w:p w14:paraId="5DA4970E" w14:textId="0E43D8F1" w:rsidR="008B1D5A" w:rsidRPr="000A59E9" w:rsidRDefault="008B1D5A" w:rsidP="00ED7F69">
      <w:pPr>
        <w:spacing w:line="480" w:lineRule="auto"/>
        <w:jc w:val="both"/>
        <w:rPr>
          <w:rFonts w:ascii="Times New Roman" w:eastAsia="Times New Roman" w:hAnsi="Times New Roman" w:cs="Times New Roman"/>
          <w:b/>
          <w:color w:val="000000"/>
          <w:sz w:val="24"/>
          <w:szCs w:val="24"/>
        </w:rPr>
      </w:pPr>
      <w:r w:rsidRPr="000A59E9">
        <w:rPr>
          <w:rFonts w:ascii="Times New Roman" w:eastAsia="Times New Roman" w:hAnsi="Times New Roman" w:cs="Times New Roman"/>
          <w:b/>
          <w:color w:val="000000"/>
          <w:sz w:val="24"/>
          <w:szCs w:val="24"/>
        </w:rPr>
        <w:t>Safety/Efficacy of Opened NEPA Capsules</w:t>
      </w:r>
    </w:p>
    <w:p w14:paraId="2E024077" w14:textId="307F1BB5" w:rsidR="009A7773" w:rsidRPr="00252C91" w:rsidRDefault="00442610" w:rsidP="00ED7F69">
      <w:pPr>
        <w:spacing w:line="480" w:lineRule="auto"/>
        <w:jc w:val="both"/>
        <w:rPr>
          <w:rFonts w:ascii="Times New Roman" w:eastAsia="Times New Roman" w:hAnsi="Times New Roman" w:cs="Times New Roman"/>
          <w:color w:val="000000"/>
          <w:sz w:val="20"/>
          <w:szCs w:val="20"/>
          <w:vertAlign w:val="superscript"/>
        </w:rPr>
      </w:pPr>
      <w:r w:rsidRPr="00252C91">
        <w:rPr>
          <w:rFonts w:ascii="Times New Roman" w:eastAsia="Times New Roman" w:hAnsi="Times New Roman" w:cs="Times New Roman"/>
          <w:color w:val="000000"/>
          <w:sz w:val="20"/>
          <w:szCs w:val="20"/>
        </w:rPr>
        <w:t>Notably, two patients received NEPA as an opened capsule with the components administered separately, which did not significantly change efficacy and safety outcomes, as reported in a previous case series.</w:t>
      </w:r>
      <w:r w:rsidR="007A712C" w:rsidRPr="00252C91">
        <w:rPr>
          <w:rFonts w:ascii="Times New Roman" w:eastAsia="Times New Roman" w:hAnsi="Times New Roman" w:cs="Times New Roman"/>
          <w:color w:val="000000"/>
          <w:sz w:val="20"/>
          <w:szCs w:val="20"/>
          <w:vertAlign w:val="superscript"/>
        </w:rPr>
        <w:t>5</w:t>
      </w:r>
    </w:p>
    <w:p w14:paraId="2CCE0B19" w14:textId="77777777" w:rsidR="008B1D5A" w:rsidRPr="00252C91" w:rsidRDefault="008B1D5A" w:rsidP="00ED7F69">
      <w:pPr>
        <w:spacing w:line="480" w:lineRule="auto"/>
        <w:jc w:val="both"/>
        <w:rPr>
          <w:rFonts w:ascii="Times New Roman" w:eastAsia="Times New Roman" w:hAnsi="Times New Roman" w:cs="Times New Roman"/>
          <w:b/>
          <w:sz w:val="20"/>
          <w:szCs w:val="20"/>
        </w:rPr>
      </w:pPr>
    </w:p>
    <w:p w14:paraId="4E1DA7F9" w14:textId="7D5AC797" w:rsidR="006476AE" w:rsidRPr="000A59E9" w:rsidRDefault="006476AE" w:rsidP="00ED7F69">
      <w:pPr>
        <w:spacing w:line="480" w:lineRule="auto"/>
        <w:jc w:val="both"/>
        <w:rPr>
          <w:rFonts w:ascii="Times New Roman" w:eastAsia="Times New Roman" w:hAnsi="Times New Roman" w:cs="Times New Roman"/>
          <w:color w:val="000000"/>
          <w:sz w:val="20"/>
          <w:szCs w:val="20"/>
        </w:rPr>
      </w:pPr>
      <w:r w:rsidRPr="000A59E9">
        <w:rPr>
          <w:rFonts w:ascii="Times New Roman" w:eastAsia="Times New Roman" w:hAnsi="Times New Roman" w:cs="Times New Roman"/>
          <w:b/>
          <w:sz w:val="24"/>
          <w:szCs w:val="24"/>
        </w:rPr>
        <w:t>GI Dysmotility</w:t>
      </w:r>
      <w:r w:rsidR="008B1D5A" w:rsidRPr="000A59E9">
        <w:rPr>
          <w:rFonts w:ascii="Times New Roman" w:eastAsia="Times New Roman" w:hAnsi="Times New Roman" w:cs="Times New Roman"/>
          <w:b/>
          <w:sz w:val="24"/>
          <w:szCs w:val="24"/>
        </w:rPr>
        <w:t xml:space="preserve">  </w:t>
      </w:r>
      <w:r w:rsidR="008B1D5A" w:rsidRPr="000A59E9">
        <w:rPr>
          <w:rFonts w:ascii="Times New Roman" w:eastAsia="Times New Roman" w:hAnsi="Times New Roman" w:cs="Times New Roman"/>
          <w:color w:val="000000"/>
          <w:sz w:val="20"/>
          <w:szCs w:val="20"/>
        </w:rPr>
        <w:t xml:space="preserve">  </w:t>
      </w:r>
    </w:p>
    <w:p w14:paraId="62C1E4E1" w14:textId="22E2C988" w:rsidR="006476AE" w:rsidRPr="00252C91" w:rsidRDefault="006476AE" w:rsidP="00ED7F69">
      <w:pPr>
        <w:spacing w:line="480" w:lineRule="auto"/>
        <w:jc w:val="both"/>
        <w:rPr>
          <w:rFonts w:ascii="Times New Roman" w:eastAsia="Times New Roman" w:hAnsi="Times New Roman" w:cs="Times New Roman"/>
          <w:color w:val="000000"/>
          <w:sz w:val="20"/>
          <w:szCs w:val="20"/>
          <w:vertAlign w:val="superscript"/>
        </w:rPr>
      </w:pPr>
      <w:r w:rsidRPr="00252C91">
        <w:rPr>
          <w:rFonts w:ascii="Times New Roman" w:eastAsia="Times New Roman" w:hAnsi="Times New Roman" w:cs="Times New Roman"/>
          <w:color w:val="000000"/>
          <w:sz w:val="20"/>
          <w:szCs w:val="20"/>
        </w:rPr>
        <w:t xml:space="preserve">Investigation of the exact mechanisms and pathophysiology of nausea in the delayed phase (Day </w:t>
      </w:r>
      <w:r w:rsidR="008B1D5A" w:rsidRPr="00252C91">
        <w:rPr>
          <w:rFonts w:ascii="Times New Roman" w:eastAsia="Times New Roman" w:hAnsi="Times New Roman" w:cs="Times New Roman"/>
          <w:color w:val="000000"/>
          <w:sz w:val="20"/>
          <w:szCs w:val="20"/>
        </w:rPr>
        <w:t>-1 to +4</w:t>
      </w:r>
      <w:r w:rsidRPr="00252C91">
        <w:rPr>
          <w:rFonts w:ascii="Times New Roman" w:eastAsia="Times New Roman" w:hAnsi="Times New Roman" w:cs="Times New Roman"/>
          <w:color w:val="000000"/>
          <w:sz w:val="20"/>
          <w:szCs w:val="20"/>
        </w:rPr>
        <w:t>) is ongoing; some evidence has indicated that it is largely driven by substance P activation of NK-1 receptors, while minor 5-HT3 activity can also still subsist into the delayed phase.</w:t>
      </w:r>
      <w:r w:rsidR="007A712C" w:rsidRPr="00252C91">
        <w:rPr>
          <w:rFonts w:ascii="Times New Roman" w:eastAsia="Times New Roman" w:hAnsi="Times New Roman" w:cs="Times New Roman"/>
          <w:color w:val="000000"/>
          <w:sz w:val="20"/>
          <w:szCs w:val="20"/>
          <w:vertAlign w:val="superscript"/>
        </w:rPr>
        <w:t>6</w:t>
      </w:r>
      <w:r w:rsidRPr="00252C91">
        <w:rPr>
          <w:rFonts w:ascii="Times New Roman" w:eastAsia="Times New Roman" w:hAnsi="Times New Roman" w:cs="Times New Roman"/>
          <w:color w:val="000000"/>
          <w:sz w:val="20"/>
          <w:szCs w:val="20"/>
        </w:rPr>
        <w:t xml:space="preserve"> Despite using the longest-acting 5-HT3 RA, palonosetron, and an NK-1 RA, netupitant, along with rescue medications, patients within the current study still experienced significant </w:t>
      </w:r>
      <w:r w:rsidR="008E5279">
        <w:rPr>
          <w:rFonts w:ascii="Times New Roman" w:eastAsia="Times New Roman" w:hAnsi="Times New Roman" w:cs="Times New Roman"/>
          <w:color w:val="000000"/>
          <w:sz w:val="20"/>
          <w:szCs w:val="20"/>
        </w:rPr>
        <w:t xml:space="preserve">low level </w:t>
      </w:r>
      <w:r w:rsidRPr="00252C91">
        <w:rPr>
          <w:rFonts w:ascii="Times New Roman" w:eastAsia="Times New Roman" w:hAnsi="Times New Roman" w:cs="Times New Roman"/>
          <w:color w:val="000000"/>
          <w:sz w:val="20"/>
          <w:szCs w:val="20"/>
        </w:rPr>
        <w:t xml:space="preserve">nausea into the delayed phase. While neurotransmitter-related pathologies for CINV are being more widely </w:t>
      </w:r>
      <w:r w:rsidRPr="00252C91">
        <w:rPr>
          <w:rFonts w:ascii="Times New Roman" w:eastAsia="Times New Roman" w:hAnsi="Times New Roman" w:cs="Times New Roman"/>
          <w:color w:val="000000"/>
          <w:sz w:val="20"/>
          <w:szCs w:val="20"/>
        </w:rPr>
        <w:lastRenderedPageBreak/>
        <w:t>studied, historic documentation</w:t>
      </w:r>
      <w:r w:rsidRPr="00252C91">
        <w:rPr>
          <w:rFonts w:ascii="Times New Roman" w:eastAsia="Times New Roman" w:hAnsi="Times New Roman" w:cs="Times New Roman"/>
          <w:color w:val="000000"/>
          <w:sz w:val="20"/>
          <w:szCs w:val="20"/>
          <w:vertAlign w:val="superscript"/>
        </w:rPr>
        <w:t xml:space="preserve"> </w:t>
      </w:r>
      <w:r w:rsidRPr="00252C91">
        <w:rPr>
          <w:rFonts w:ascii="Times New Roman" w:eastAsia="Times New Roman" w:hAnsi="Times New Roman" w:cs="Times New Roman"/>
          <w:color w:val="000000"/>
          <w:sz w:val="20"/>
          <w:szCs w:val="20"/>
        </w:rPr>
        <w:t>of chemotherapy-related sequelae such as gastrointestinal dysmotility and paresis remain a potential source of nausea and emesis in the delayed period.</w:t>
      </w:r>
      <w:r w:rsidR="007A712C" w:rsidRPr="00252C91">
        <w:rPr>
          <w:rFonts w:ascii="Times New Roman" w:eastAsia="Times New Roman" w:hAnsi="Times New Roman" w:cs="Times New Roman"/>
          <w:color w:val="000000"/>
          <w:sz w:val="20"/>
          <w:szCs w:val="20"/>
          <w:vertAlign w:val="superscript"/>
        </w:rPr>
        <w:t>7-8</w:t>
      </w:r>
    </w:p>
    <w:p w14:paraId="3CC22A0D" w14:textId="482582F7" w:rsidR="007061AF" w:rsidRDefault="007061AF" w:rsidP="00ED7F69">
      <w:pPr>
        <w:spacing w:line="480" w:lineRule="auto"/>
        <w:jc w:val="both"/>
        <w:rPr>
          <w:rFonts w:ascii="Times New Roman" w:eastAsia="Times New Roman" w:hAnsi="Times New Roman" w:cs="Times New Roman"/>
          <w:color w:val="000000"/>
          <w:sz w:val="20"/>
          <w:szCs w:val="20"/>
        </w:rPr>
      </w:pPr>
      <w:r w:rsidRPr="00252C91">
        <w:rPr>
          <w:rFonts w:ascii="Times New Roman" w:eastAsia="Times New Roman" w:hAnsi="Times New Roman" w:cs="Times New Roman"/>
          <w:color w:val="000000"/>
          <w:sz w:val="20"/>
          <w:szCs w:val="20"/>
        </w:rPr>
        <w:t xml:space="preserve">Interestingly, the cross-over percentage of patients that reported decreased meal intake and concomitant nausea only reached a peak of 77% by the end of the study period. While the factors underlying this reduction in appetite are still unclear, our investigators remain open to the possibility that the onset of chemotherapy-related toxicity may enhance the sensation of fullness through GI dysmotility during the delayed phase. If this phenomenon is consistent across patient groups, increased doses or duration of NEPA or other antiemetics may not be effective in resolving nausea in this setting. Chemotherapy-induced mucositis and gastritis is another important confounding effect that must be considered. These effects typically present within 5-6 days of chemotherapy and lead to subsequent nausea and </w:t>
      </w:r>
      <w:r w:rsidRPr="00252C91">
        <w:rPr>
          <w:rFonts w:ascii="Times New Roman" w:eastAsia="Times New Roman" w:hAnsi="Times New Roman" w:cs="Times New Roman"/>
          <w:color w:val="000000"/>
          <w:sz w:val="20"/>
          <w:szCs w:val="20"/>
        </w:rPr>
        <w:t>vomiting that are minimally responsive to treatment with standard antiemetic therapy.</w:t>
      </w:r>
      <w:r w:rsidR="007A712C" w:rsidRPr="00252C91">
        <w:rPr>
          <w:rFonts w:ascii="Times New Roman" w:eastAsia="Times New Roman" w:hAnsi="Times New Roman" w:cs="Times New Roman"/>
          <w:color w:val="000000"/>
          <w:sz w:val="20"/>
          <w:szCs w:val="20"/>
          <w:vertAlign w:val="superscript"/>
        </w:rPr>
        <w:t>9</w:t>
      </w:r>
      <w:r w:rsidRPr="00252C91">
        <w:rPr>
          <w:rFonts w:ascii="Times New Roman" w:eastAsia="Times New Roman" w:hAnsi="Times New Roman" w:cs="Times New Roman"/>
          <w:color w:val="000000"/>
          <w:sz w:val="20"/>
          <w:szCs w:val="20"/>
        </w:rPr>
        <w:t xml:space="preserve"> While we reported a low incidence of mucositis and gastritis (at 17% and 2% respectively), the true impact of these effects on delayed-phase nausea and vomiting are not quantifiable.</w:t>
      </w:r>
    </w:p>
    <w:p w14:paraId="621E2894" w14:textId="123D5D28" w:rsidR="002417E2" w:rsidRDefault="002417E2" w:rsidP="00ED7F69">
      <w:pPr>
        <w:spacing w:line="480" w:lineRule="auto"/>
        <w:jc w:val="both"/>
        <w:rPr>
          <w:rFonts w:ascii="Times New Roman" w:eastAsia="Times New Roman" w:hAnsi="Times New Roman" w:cs="Times New Roman"/>
          <w:color w:val="000000"/>
          <w:sz w:val="20"/>
          <w:szCs w:val="20"/>
        </w:rPr>
      </w:pPr>
    </w:p>
    <w:p w14:paraId="47CB6F64" w14:textId="344DBA2E" w:rsidR="002417E2" w:rsidRDefault="002417E2" w:rsidP="002417E2">
      <w:pPr>
        <w:spacing w:line="480" w:lineRule="auto"/>
        <w:jc w:val="center"/>
        <w:rPr>
          <w:b/>
          <w:bCs/>
          <w:color w:val="FF0000"/>
        </w:rPr>
      </w:pPr>
      <w:r>
        <w:rPr>
          <w:noProof/>
        </w:rPr>
        <w:drawing>
          <wp:inline distT="0" distB="0" distL="0" distR="0" wp14:anchorId="2A7EE668" wp14:editId="004D65F9">
            <wp:extent cx="3933825" cy="3095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3825" cy="3095625"/>
                    </a:xfrm>
                    <a:prstGeom prst="rect">
                      <a:avLst/>
                    </a:prstGeom>
                    <a:noFill/>
                    <a:ln>
                      <a:noFill/>
                    </a:ln>
                  </pic:spPr>
                </pic:pic>
              </a:graphicData>
            </a:graphic>
          </wp:inline>
        </w:drawing>
      </w:r>
    </w:p>
    <w:p w14:paraId="572B8DE3" w14:textId="26683FFC" w:rsidR="002417E2" w:rsidRPr="002417E2" w:rsidRDefault="002417E2" w:rsidP="00ED7F69">
      <w:pPr>
        <w:spacing w:line="480" w:lineRule="auto"/>
        <w:jc w:val="both"/>
        <w:rPr>
          <w:rFonts w:ascii="Times New Roman" w:eastAsia="Times New Roman" w:hAnsi="Times New Roman" w:cs="Times New Roman"/>
          <w:color w:val="000000"/>
          <w:sz w:val="20"/>
          <w:szCs w:val="20"/>
        </w:rPr>
      </w:pPr>
      <w:r w:rsidRPr="002417E2">
        <w:rPr>
          <w:rFonts w:ascii="Times New Roman" w:eastAsia="Times New Roman" w:hAnsi="Times New Roman" w:cs="Times New Roman"/>
          <w:b/>
          <w:color w:val="000000"/>
          <w:sz w:val="20"/>
          <w:szCs w:val="20"/>
        </w:rPr>
        <w:t xml:space="preserve">Supplemental </w:t>
      </w:r>
      <w:r w:rsidRPr="002417E2">
        <w:rPr>
          <w:rFonts w:ascii="Times New Roman" w:eastAsia="Times New Roman" w:hAnsi="Times New Roman" w:cs="Times New Roman"/>
          <w:b/>
          <w:color w:val="000000"/>
          <w:sz w:val="20"/>
          <w:szCs w:val="20"/>
        </w:rPr>
        <w:t>Figure</w:t>
      </w:r>
      <w:r w:rsidR="00E25A14">
        <w:rPr>
          <w:rFonts w:ascii="Times New Roman" w:eastAsia="Times New Roman" w:hAnsi="Times New Roman" w:cs="Times New Roman"/>
          <w:b/>
          <w:color w:val="000000"/>
          <w:sz w:val="20"/>
          <w:szCs w:val="20"/>
        </w:rPr>
        <w:t xml:space="preserve"> 1</w:t>
      </w:r>
      <w:bookmarkStart w:id="0" w:name="_GoBack"/>
      <w:bookmarkEnd w:id="0"/>
      <w:r w:rsidRPr="002417E2">
        <w:rPr>
          <w:rFonts w:ascii="Times New Roman" w:eastAsia="Times New Roman" w:hAnsi="Times New Roman" w:cs="Times New Roman"/>
          <w:b/>
          <w:color w:val="000000"/>
          <w:sz w:val="20"/>
          <w:szCs w:val="20"/>
        </w:rPr>
        <w:t>.</w:t>
      </w:r>
      <w:r w:rsidRPr="002417E2">
        <w:rPr>
          <w:rFonts w:ascii="Times New Roman" w:eastAsia="Times New Roman" w:hAnsi="Times New Roman" w:cs="Times New Roman"/>
          <w:color w:val="000000"/>
          <w:sz w:val="20"/>
          <w:szCs w:val="20"/>
        </w:rPr>
        <w:t xml:space="preserve"> Diet tolerance reported by patients as represented through the total percentage (%) of patients reporting increased, normal, or decreased meal consumption throughout the overall study period (Day -6 to Day +4). </w:t>
      </w:r>
    </w:p>
    <w:p w14:paraId="428D4A77" w14:textId="12A98803" w:rsidR="00CE0073" w:rsidRPr="000A59E9" w:rsidRDefault="00CE0073" w:rsidP="00ED7F69">
      <w:pPr>
        <w:spacing w:line="480" w:lineRule="auto"/>
        <w:jc w:val="both"/>
        <w:rPr>
          <w:rFonts w:ascii="Times New Roman" w:eastAsia="Times New Roman" w:hAnsi="Times New Roman" w:cs="Times New Roman"/>
          <w:b/>
          <w:sz w:val="24"/>
          <w:szCs w:val="24"/>
        </w:rPr>
      </w:pPr>
      <w:r w:rsidRPr="000A59E9">
        <w:rPr>
          <w:rFonts w:ascii="Times New Roman" w:eastAsia="Times New Roman" w:hAnsi="Times New Roman" w:cs="Times New Roman"/>
          <w:b/>
          <w:sz w:val="24"/>
          <w:szCs w:val="24"/>
        </w:rPr>
        <w:lastRenderedPageBreak/>
        <w:t>Cost</w:t>
      </w:r>
    </w:p>
    <w:p w14:paraId="46A9B4C7" w14:textId="5B4F6FFB" w:rsidR="00CE0073" w:rsidRPr="00252C91" w:rsidRDefault="00CE0073" w:rsidP="00ED7F69">
      <w:pPr>
        <w:spacing w:line="480" w:lineRule="auto"/>
        <w:jc w:val="both"/>
        <w:rPr>
          <w:rFonts w:ascii="Times New Roman" w:eastAsia="Times New Roman" w:hAnsi="Times New Roman" w:cs="Times New Roman"/>
          <w:color w:val="000000"/>
          <w:sz w:val="20"/>
          <w:szCs w:val="20"/>
        </w:rPr>
      </w:pPr>
      <w:r w:rsidRPr="00252C91">
        <w:rPr>
          <w:rFonts w:ascii="Times New Roman" w:eastAsia="Times New Roman" w:hAnsi="Times New Roman" w:cs="Times New Roman"/>
          <w:color w:val="000000"/>
          <w:sz w:val="20"/>
          <w:szCs w:val="20"/>
        </w:rPr>
        <w:t>As NEPA demonstrated a 100% success rate of emesis prevention in the acute period, patients historically hospitalized due to fear of CINV can be considered for outpatient treatment. The outpatient shift can not only increase hospital capacity to treat higher-acuity inpatients (especially during the SARS COVID-19 pandemic), but can also offset the higher cost per regimen of NEPA which amounts to $2 321.82 versus $504.36 for our aprepitant/ondansetron standard of care</w:t>
      </w:r>
      <w:r w:rsidR="008E5279">
        <w:rPr>
          <w:rFonts w:ascii="Times New Roman" w:eastAsia="Times New Roman" w:hAnsi="Times New Roman" w:cs="Times New Roman"/>
          <w:color w:val="000000"/>
          <w:sz w:val="20"/>
          <w:szCs w:val="20"/>
        </w:rPr>
        <w:t xml:space="preserve"> based upon average wholesale price</w:t>
      </w:r>
      <w:r w:rsidRPr="00252C91">
        <w:rPr>
          <w:rFonts w:ascii="Times New Roman" w:eastAsia="Times New Roman" w:hAnsi="Times New Roman" w:cs="Times New Roman"/>
          <w:color w:val="000000"/>
          <w:sz w:val="20"/>
          <w:szCs w:val="20"/>
        </w:rPr>
        <w:t>.</w:t>
      </w:r>
      <w:r w:rsidR="007A712C" w:rsidRPr="00252C91">
        <w:rPr>
          <w:rFonts w:ascii="Times New Roman" w:eastAsia="Times New Roman" w:hAnsi="Times New Roman" w:cs="Times New Roman"/>
          <w:color w:val="000000"/>
          <w:sz w:val="20"/>
          <w:szCs w:val="20"/>
          <w:vertAlign w:val="superscript"/>
        </w:rPr>
        <w:t>10-12</w:t>
      </w:r>
      <w:r w:rsidRPr="00252C91">
        <w:rPr>
          <w:rFonts w:ascii="Times New Roman" w:eastAsia="Times New Roman" w:hAnsi="Times New Roman" w:cs="Times New Roman"/>
          <w:color w:val="000000"/>
          <w:sz w:val="20"/>
          <w:szCs w:val="20"/>
        </w:rPr>
        <w:t xml:space="preserve"> Trade-off cost measures include savings from outpatient drug acquisition (e.g. 340B pricing) and reduced need for prolonged (6-day) chemotherapy-related hospital admissions.</w:t>
      </w:r>
    </w:p>
    <w:p w14:paraId="740447D3" w14:textId="634470E5" w:rsidR="00252C91" w:rsidRPr="00252C91" w:rsidRDefault="00252C91" w:rsidP="006476AE">
      <w:pPr>
        <w:spacing w:line="480" w:lineRule="auto"/>
      </w:pPr>
    </w:p>
    <w:p w14:paraId="610341D4" w14:textId="77777777" w:rsidR="00252C91" w:rsidRPr="00252C91" w:rsidRDefault="00252C91" w:rsidP="00252C91">
      <w:pPr>
        <w:spacing w:line="480" w:lineRule="auto"/>
        <w:rPr>
          <w:rFonts w:ascii="Verdana Pro Cond SemiBold" w:eastAsia="Verdana Pro Cond SemiBold" w:hAnsi="Verdana Pro Cond SemiBold" w:cs="Verdana Pro Cond SemiBold"/>
          <w:color w:val="000000" w:themeColor="text1"/>
          <w:u w:val="single"/>
        </w:rPr>
      </w:pPr>
      <w:r w:rsidRPr="00252C91">
        <w:rPr>
          <w:rFonts w:ascii="Verdana Pro Cond SemiBold" w:eastAsia="Verdana Pro Cond SemiBold" w:hAnsi="Verdana Pro Cond SemiBold" w:cs="Verdana Pro Cond SemiBold"/>
          <w:color w:val="000000" w:themeColor="text1"/>
          <w:u w:val="single"/>
        </w:rPr>
        <w:t>References</w:t>
      </w:r>
    </w:p>
    <w:p w14:paraId="55013C61" w14:textId="77777777" w:rsidR="00252C91" w:rsidRPr="00252C91" w:rsidRDefault="00252C91" w:rsidP="00252C91">
      <w:pPr>
        <w:pStyle w:val="ListParagraph"/>
        <w:widowControl w:val="0"/>
        <w:numPr>
          <w:ilvl w:val="0"/>
          <w:numId w:val="2"/>
        </w:numPr>
        <w:tabs>
          <w:tab w:val="left" w:pos="484"/>
        </w:tabs>
        <w:autoSpaceDE w:val="0"/>
        <w:autoSpaceDN w:val="0"/>
        <w:spacing w:after="0" w:line="480" w:lineRule="auto"/>
        <w:ind w:right="261"/>
        <w:rPr>
          <w:rFonts w:ascii="Times New Roman" w:eastAsiaTheme="minorEastAsia" w:hAnsi="Times New Roman" w:cs="Times New Roman"/>
          <w:color w:val="000000" w:themeColor="text1"/>
          <w:sz w:val="20"/>
          <w:szCs w:val="20"/>
        </w:rPr>
      </w:pPr>
      <w:r w:rsidRPr="00252C91">
        <w:rPr>
          <w:rFonts w:ascii="Times New Roman" w:eastAsia="Times New Roman" w:hAnsi="Times New Roman" w:cs="Times New Roman"/>
          <w:color w:val="000000" w:themeColor="text1"/>
          <w:sz w:val="20"/>
          <w:szCs w:val="20"/>
        </w:rPr>
        <w:t xml:space="preserve">Einhorn LH, </w:t>
      </w:r>
      <w:proofErr w:type="spellStart"/>
      <w:r w:rsidRPr="00252C91">
        <w:rPr>
          <w:rFonts w:ascii="Times New Roman" w:eastAsia="Times New Roman" w:hAnsi="Times New Roman" w:cs="Times New Roman"/>
          <w:color w:val="000000" w:themeColor="text1"/>
          <w:sz w:val="20"/>
          <w:szCs w:val="20"/>
        </w:rPr>
        <w:t>Brames</w:t>
      </w:r>
      <w:proofErr w:type="spellEnd"/>
      <w:r w:rsidRPr="00252C91">
        <w:rPr>
          <w:rFonts w:ascii="Times New Roman" w:eastAsia="Times New Roman" w:hAnsi="Times New Roman" w:cs="Times New Roman"/>
          <w:color w:val="000000" w:themeColor="text1"/>
          <w:sz w:val="20"/>
          <w:szCs w:val="20"/>
        </w:rPr>
        <w:t xml:space="preserve"> MJ, </w:t>
      </w:r>
      <w:proofErr w:type="spellStart"/>
      <w:r w:rsidRPr="00252C91">
        <w:rPr>
          <w:rFonts w:ascii="Times New Roman" w:eastAsia="Times New Roman" w:hAnsi="Times New Roman" w:cs="Times New Roman"/>
          <w:color w:val="000000" w:themeColor="text1"/>
          <w:sz w:val="20"/>
          <w:szCs w:val="20"/>
        </w:rPr>
        <w:t>Dreicer</w:t>
      </w:r>
      <w:proofErr w:type="spellEnd"/>
      <w:r w:rsidRPr="00252C91">
        <w:rPr>
          <w:rFonts w:ascii="Times New Roman" w:eastAsia="Times New Roman" w:hAnsi="Times New Roman" w:cs="Times New Roman"/>
          <w:color w:val="000000" w:themeColor="text1"/>
          <w:sz w:val="20"/>
          <w:szCs w:val="20"/>
        </w:rPr>
        <w:t xml:space="preserve"> R, Nichols CR, Cullen MT, Bubalo J. Palonosetron plus dexamethasone for prevention of chemotherapy-induced nausea and vomiting in patients receiving multiple-day cisplatin chemotherapy for germ cell cancer. Support Care Cancer. 2007; 15(11): 1293–1300. doi: 10.1007/s00520-007-0255-6.</w:t>
      </w:r>
    </w:p>
    <w:p w14:paraId="2B763154" w14:textId="77777777" w:rsidR="00252C91" w:rsidRPr="00252C91" w:rsidRDefault="00252C91" w:rsidP="00252C91">
      <w:pPr>
        <w:pStyle w:val="ListParagraph"/>
        <w:numPr>
          <w:ilvl w:val="0"/>
          <w:numId w:val="2"/>
        </w:numPr>
        <w:spacing w:after="0" w:line="480" w:lineRule="auto"/>
        <w:rPr>
          <w:rFonts w:ascii="Times New Roman" w:eastAsia="Times New Roman" w:hAnsi="Times New Roman" w:cs="Times New Roman"/>
          <w:color w:val="000000" w:themeColor="text1"/>
          <w:sz w:val="20"/>
          <w:szCs w:val="20"/>
        </w:rPr>
      </w:pPr>
      <w:proofErr w:type="spellStart"/>
      <w:r w:rsidRPr="00252C91">
        <w:rPr>
          <w:rFonts w:ascii="Times New Roman" w:eastAsia="Times New Roman" w:hAnsi="Times New Roman" w:cs="Times New Roman"/>
          <w:color w:val="000000" w:themeColor="text1"/>
          <w:sz w:val="20"/>
          <w:szCs w:val="20"/>
        </w:rPr>
        <w:t>Akynzeo</w:t>
      </w:r>
      <w:proofErr w:type="spellEnd"/>
      <w:r w:rsidRPr="00252C91">
        <w:rPr>
          <w:rFonts w:ascii="Times New Roman" w:eastAsia="Times New Roman" w:hAnsi="Times New Roman" w:cs="Times New Roman"/>
          <w:color w:val="000000" w:themeColor="text1"/>
          <w:sz w:val="20"/>
          <w:szCs w:val="20"/>
        </w:rPr>
        <w:t xml:space="preserve">- FDA. Food and Drug Administration Web site. </w:t>
      </w:r>
      <w:hyperlink r:id="rId8" w:history="1">
        <w:r w:rsidRPr="00252C91">
          <w:rPr>
            <w:rFonts w:ascii="Times New Roman" w:hAnsi="Times New Roman" w:cs="Times New Roman"/>
            <w:color w:val="000000" w:themeColor="text1"/>
            <w:sz w:val="20"/>
            <w:szCs w:val="20"/>
          </w:rPr>
          <w:t>Accessed November 28</w:t>
        </w:r>
      </w:hyperlink>
      <w:r w:rsidRPr="00252C91">
        <w:rPr>
          <w:rFonts w:ascii="Times New Roman" w:eastAsia="Times New Roman" w:hAnsi="Times New Roman" w:cs="Times New Roman"/>
          <w:color w:val="000000" w:themeColor="text1"/>
          <w:sz w:val="20"/>
          <w:szCs w:val="20"/>
        </w:rPr>
        <w:t>, 2020. https://www.accessdata.fda.gov/drugsatfda_docs/label/2018/210493s000lbl.pdf.</w:t>
      </w:r>
    </w:p>
    <w:p w14:paraId="704F200E" w14:textId="77777777" w:rsidR="00252C91" w:rsidRPr="00252C91" w:rsidRDefault="00252C91" w:rsidP="00252C91">
      <w:pPr>
        <w:pStyle w:val="ListParagraph"/>
        <w:numPr>
          <w:ilvl w:val="0"/>
          <w:numId w:val="2"/>
        </w:numPr>
        <w:spacing w:after="0" w:line="480" w:lineRule="auto"/>
        <w:rPr>
          <w:rFonts w:ascii="Times New Roman" w:eastAsia="Times New Roman" w:hAnsi="Times New Roman" w:cs="Times New Roman"/>
          <w:color w:val="000000" w:themeColor="text1"/>
          <w:sz w:val="20"/>
          <w:szCs w:val="20"/>
        </w:rPr>
      </w:pPr>
      <w:r w:rsidRPr="00252C91">
        <w:rPr>
          <w:rFonts w:ascii="Times New Roman" w:eastAsia="Times New Roman" w:hAnsi="Times New Roman" w:cs="Times New Roman"/>
          <w:color w:val="000000" w:themeColor="text1"/>
          <w:sz w:val="20"/>
          <w:szCs w:val="20"/>
        </w:rPr>
        <w:t>Apolito V, Giaccone L, Ferrero S, et al. Netupitant-palonosetron to prevent chemotherapy-induced nausea and vomiting in multiple myeloma patients receiving high-dose melphalan and autologous stem cell transplantation. Ann Hematol. 2020; 99(9): 2197–2199. https://doi.org/10.1007/s00277-020-04180-6.</w:t>
      </w:r>
    </w:p>
    <w:p w14:paraId="268DB04C" w14:textId="77777777" w:rsidR="00252C91" w:rsidRPr="00252C91" w:rsidRDefault="00252C91" w:rsidP="00252C91">
      <w:pPr>
        <w:pStyle w:val="ListParagraph"/>
        <w:numPr>
          <w:ilvl w:val="0"/>
          <w:numId w:val="2"/>
        </w:numPr>
        <w:spacing w:after="0" w:line="480" w:lineRule="auto"/>
        <w:rPr>
          <w:rFonts w:ascii="Times New Roman" w:eastAsia="Times New Roman" w:hAnsi="Times New Roman" w:cs="Times New Roman"/>
          <w:color w:val="000000" w:themeColor="text1"/>
          <w:sz w:val="20"/>
          <w:szCs w:val="20"/>
        </w:rPr>
      </w:pPr>
      <w:r w:rsidRPr="00252C91">
        <w:rPr>
          <w:rFonts w:ascii="Times New Roman" w:eastAsia="Times New Roman" w:hAnsi="Times New Roman" w:cs="Times New Roman"/>
          <w:color w:val="000000" w:themeColor="text1"/>
          <w:sz w:val="20"/>
          <w:szCs w:val="20"/>
        </w:rPr>
        <w:t>Hesketh PJ, Jordan K, Gralla R. Prevention of chemotherapy-induced nausea and vomiting with a fixed-dose combination of netupitant and palonosetron (NEPA) following highly emetogenic chemotherapy: evaluation of response based on gender and age. Ann Oncol. 2014; 25 (4 Suppl): iv517–iv541.</w:t>
      </w:r>
    </w:p>
    <w:p w14:paraId="24B12D27" w14:textId="77777777" w:rsidR="00252C91" w:rsidRPr="00252C91" w:rsidRDefault="00252C91" w:rsidP="00252C91">
      <w:pPr>
        <w:pStyle w:val="ListParagraph"/>
        <w:numPr>
          <w:ilvl w:val="0"/>
          <w:numId w:val="2"/>
        </w:numPr>
        <w:spacing w:after="0" w:line="480" w:lineRule="auto"/>
        <w:jc w:val="both"/>
        <w:rPr>
          <w:rFonts w:ascii="Times New Roman" w:eastAsia="Times New Roman" w:hAnsi="Times New Roman" w:cs="Times New Roman"/>
          <w:color w:val="000000" w:themeColor="text1"/>
          <w:sz w:val="20"/>
          <w:szCs w:val="20"/>
        </w:rPr>
      </w:pPr>
      <w:proofErr w:type="spellStart"/>
      <w:r w:rsidRPr="00252C91">
        <w:rPr>
          <w:rFonts w:ascii="Times New Roman" w:eastAsia="Times New Roman" w:hAnsi="Times New Roman" w:cs="Times New Roman"/>
          <w:color w:val="000000" w:themeColor="text1"/>
          <w:sz w:val="20"/>
          <w:szCs w:val="20"/>
        </w:rPr>
        <w:t>Behbahany</w:t>
      </w:r>
      <w:proofErr w:type="spellEnd"/>
      <w:r w:rsidRPr="00252C91">
        <w:rPr>
          <w:rFonts w:ascii="Times New Roman" w:eastAsia="Times New Roman" w:hAnsi="Times New Roman" w:cs="Times New Roman"/>
          <w:color w:val="000000" w:themeColor="text1"/>
          <w:sz w:val="20"/>
          <w:szCs w:val="20"/>
        </w:rPr>
        <w:t xml:space="preserve"> K, </w:t>
      </w:r>
      <w:proofErr w:type="spellStart"/>
      <w:r w:rsidRPr="00252C91">
        <w:rPr>
          <w:rFonts w:ascii="Times New Roman" w:eastAsia="Times New Roman" w:hAnsi="Times New Roman" w:cs="Times New Roman"/>
          <w:color w:val="000000" w:themeColor="text1"/>
          <w:sz w:val="20"/>
          <w:szCs w:val="20"/>
        </w:rPr>
        <w:t>Bubalo</w:t>
      </w:r>
      <w:proofErr w:type="spellEnd"/>
      <w:r w:rsidRPr="00252C91">
        <w:rPr>
          <w:rFonts w:ascii="Times New Roman" w:eastAsia="Times New Roman" w:hAnsi="Times New Roman" w:cs="Times New Roman"/>
          <w:color w:val="000000" w:themeColor="text1"/>
          <w:sz w:val="20"/>
          <w:szCs w:val="20"/>
        </w:rPr>
        <w:t xml:space="preserve"> J. Capsule-related dysphagia and the use of </w:t>
      </w:r>
      <w:proofErr w:type="spellStart"/>
      <w:r w:rsidRPr="00252C91">
        <w:rPr>
          <w:rFonts w:ascii="Times New Roman" w:eastAsia="Times New Roman" w:hAnsi="Times New Roman" w:cs="Times New Roman"/>
          <w:color w:val="000000" w:themeColor="text1"/>
          <w:sz w:val="20"/>
          <w:szCs w:val="20"/>
        </w:rPr>
        <w:t>netupitant</w:t>
      </w:r>
      <w:proofErr w:type="spellEnd"/>
      <w:r w:rsidRPr="00252C91">
        <w:rPr>
          <w:rFonts w:ascii="Times New Roman" w:eastAsia="Times New Roman" w:hAnsi="Times New Roman" w:cs="Times New Roman"/>
          <w:color w:val="000000" w:themeColor="text1"/>
          <w:sz w:val="20"/>
          <w:szCs w:val="20"/>
        </w:rPr>
        <w:t>/palonosetron (</w:t>
      </w:r>
      <w:proofErr w:type="spellStart"/>
      <w:r w:rsidRPr="00252C91">
        <w:rPr>
          <w:rFonts w:ascii="Times New Roman" w:eastAsia="Times New Roman" w:hAnsi="Times New Roman" w:cs="Times New Roman"/>
          <w:color w:val="000000" w:themeColor="text1"/>
          <w:sz w:val="20"/>
          <w:szCs w:val="20"/>
        </w:rPr>
        <w:t>Akynzeo</w:t>
      </w:r>
      <w:proofErr w:type="spellEnd"/>
      <w:r w:rsidRPr="00252C91">
        <w:rPr>
          <w:rFonts w:ascii="Times New Roman" w:eastAsia="Times New Roman" w:hAnsi="Times New Roman" w:cs="Times New Roman"/>
          <w:color w:val="000000" w:themeColor="text1"/>
          <w:sz w:val="20"/>
          <w:szCs w:val="20"/>
        </w:rPr>
        <w:t>™) capsules - a report of two cases and a solution [published online ahead of print, 2020 Oct 25]. J Oncol Pharm Pract. 2020;1078155220965671. doi:10.1177/1078155220965671.</w:t>
      </w:r>
    </w:p>
    <w:p w14:paraId="3C1DE6F8" w14:textId="77777777" w:rsidR="00252C91" w:rsidRPr="00252C91" w:rsidRDefault="00252C91" w:rsidP="00252C91">
      <w:pPr>
        <w:pStyle w:val="ListParagraph"/>
        <w:numPr>
          <w:ilvl w:val="0"/>
          <w:numId w:val="2"/>
        </w:numPr>
        <w:spacing w:after="0" w:line="480" w:lineRule="auto"/>
        <w:jc w:val="both"/>
        <w:rPr>
          <w:rFonts w:ascii="Times New Roman" w:eastAsia="Times New Roman" w:hAnsi="Times New Roman" w:cs="Times New Roman"/>
          <w:color w:val="000000" w:themeColor="text1"/>
          <w:sz w:val="20"/>
          <w:szCs w:val="20"/>
        </w:rPr>
      </w:pPr>
      <w:r w:rsidRPr="00252C91">
        <w:rPr>
          <w:rFonts w:ascii="Times New Roman" w:eastAsia="Times New Roman" w:hAnsi="Times New Roman" w:cs="Times New Roman"/>
          <w:color w:val="000000" w:themeColor="text1"/>
          <w:sz w:val="20"/>
          <w:szCs w:val="20"/>
        </w:rPr>
        <w:lastRenderedPageBreak/>
        <w:t>Janelsins MC, Tejani MA, Kamen C, Peoples AR, Mustian KM, Morrow GR. Current pharmacotherapy for chemotherapy-induced nausea and vomiting in cancer patients. Expert Opin Pharmacother. 2013; 14(6): 757-766. doi: 10.1517/14656566.2013.776541.</w:t>
      </w:r>
    </w:p>
    <w:p w14:paraId="62327B9A" w14:textId="77777777" w:rsidR="00252C91" w:rsidRPr="00252C91" w:rsidRDefault="00252C91" w:rsidP="00252C91">
      <w:pPr>
        <w:pStyle w:val="ListParagraph"/>
        <w:numPr>
          <w:ilvl w:val="0"/>
          <w:numId w:val="2"/>
        </w:numPr>
        <w:spacing w:after="0" w:line="480" w:lineRule="auto"/>
        <w:jc w:val="both"/>
        <w:rPr>
          <w:rFonts w:ascii="Times New Roman" w:eastAsia="Times New Roman" w:hAnsi="Times New Roman" w:cs="Times New Roman"/>
          <w:color w:val="000000" w:themeColor="text1"/>
          <w:sz w:val="20"/>
          <w:szCs w:val="20"/>
        </w:rPr>
      </w:pPr>
      <w:proofErr w:type="spellStart"/>
      <w:r w:rsidRPr="00252C91">
        <w:rPr>
          <w:rFonts w:ascii="Times New Roman" w:eastAsia="Times New Roman" w:hAnsi="Times New Roman" w:cs="Times New Roman"/>
          <w:color w:val="000000" w:themeColor="text1"/>
          <w:sz w:val="20"/>
          <w:szCs w:val="20"/>
        </w:rPr>
        <w:t>Slavin</w:t>
      </w:r>
      <w:proofErr w:type="spellEnd"/>
      <w:r w:rsidRPr="00252C91">
        <w:rPr>
          <w:rFonts w:ascii="Times New Roman" w:eastAsia="Times New Roman" w:hAnsi="Times New Roman" w:cs="Times New Roman"/>
          <w:color w:val="000000" w:themeColor="text1"/>
          <w:sz w:val="20"/>
          <w:szCs w:val="20"/>
        </w:rPr>
        <w:t xml:space="preserve"> RE, Dias MA, </w:t>
      </w:r>
      <w:proofErr w:type="spellStart"/>
      <w:r w:rsidRPr="00252C91">
        <w:rPr>
          <w:rFonts w:ascii="Times New Roman" w:eastAsia="Times New Roman" w:hAnsi="Times New Roman" w:cs="Times New Roman"/>
          <w:color w:val="000000" w:themeColor="text1"/>
          <w:sz w:val="20"/>
          <w:szCs w:val="20"/>
        </w:rPr>
        <w:t>Saral</w:t>
      </w:r>
      <w:proofErr w:type="spellEnd"/>
      <w:r w:rsidRPr="00252C91">
        <w:rPr>
          <w:rFonts w:ascii="Times New Roman" w:eastAsia="Times New Roman" w:hAnsi="Times New Roman" w:cs="Times New Roman"/>
          <w:color w:val="000000" w:themeColor="text1"/>
          <w:sz w:val="20"/>
          <w:szCs w:val="20"/>
        </w:rPr>
        <w:t xml:space="preserve"> R. Cytosine arabinoside induced gastrointestinal toxic alterations in sequential chemotherapeutic protocols: a clinical-pathologic study of 33 patients. Cancer. 1978; 42(4): 1747-1759. </w:t>
      </w:r>
    </w:p>
    <w:p w14:paraId="45BCB609" w14:textId="77777777" w:rsidR="00252C91" w:rsidRPr="00252C91" w:rsidRDefault="00252C91" w:rsidP="00252C91">
      <w:pPr>
        <w:pStyle w:val="ListParagraph"/>
        <w:numPr>
          <w:ilvl w:val="0"/>
          <w:numId w:val="2"/>
        </w:numPr>
        <w:spacing w:after="0" w:line="480" w:lineRule="auto"/>
        <w:jc w:val="both"/>
        <w:rPr>
          <w:rFonts w:ascii="Times New Roman" w:eastAsia="Times New Roman" w:hAnsi="Times New Roman" w:cs="Times New Roman"/>
          <w:color w:val="000000" w:themeColor="text1"/>
          <w:sz w:val="20"/>
          <w:szCs w:val="20"/>
        </w:rPr>
      </w:pPr>
      <w:r w:rsidRPr="00252C91">
        <w:rPr>
          <w:rFonts w:ascii="Times New Roman" w:eastAsia="Times New Roman" w:hAnsi="Times New Roman" w:cs="Times New Roman"/>
          <w:color w:val="000000" w:themeColor="text1"/>
          <w:sz w:val="20"/>
          <w:szCs w:val="20"/>
        </w:rPr>
        <w:t>To T, Coghlan D. Gastroparesis associated with high-dose cytosine arabinoside. Intern Med J. 2008; 38(2): 143-4. doi: 10.1111/j.1445-5994.2007.01605.x.</w:t>
      </w:r>
    </w:p>
    <w:p w14:paraId="73A0511B" w14:textId="77777777" w:rsidR="00252C91" w:rsidRPr="00252C91" w:rsidRDefault="00252C91" w:rsidP="00252C91">
      <w:pPr>
        <w:pStyle w:val="ListParagraph"/>
        <w:numPr>
          <w:ilvl w:val="0"/>
          <w:numId w:val="2"/>
        </w:numPr>
        <w:spacing w:after="0" w:line="480" w:lineRule="auto"/>
        <w:jc w:val="both"/>
        <w:rPr>
          <w:rFonts w:ascii="Times New Roman" w:eastAsia="Times New Roman" w:hAnsi="Times New Roman" w:cs="Times New Roman"/>
          <w:color w:val="000000" w:themeColor="text1"/>
          <w:sz w:val="20"/>
          <w:szCs w:val="20"/>
        </w:rPr>
      </w:pPr>
      <w:proofErr w:type="spellStart"/>
      <w:r w:rsidRPr="00252C91">
        <w:rPr>
          <w:rFonts w:ascii="Times New Roman" w:eastAsia="Times New Roman" w:hAnsi="Times New Roman" w:cs="Times New Roman"/>
          <w:color w:val="000000" w:themeColor="text1"/>
          <w:sz w:val="20"/>
          <w:szCs w:val="20"/>
        </w:rPr>
        <w:t>Blijlevens</w:t>
      </w:r>
      <w:proofErr w:type="spellEnd"/>
      <w:r w:rsidRPr="00252C91">
        <w:rPr>
          <w:rFonts w:ascii="Times New Roman" w:eastAsia="Times New Roman" w:hAnsi="Times New Roman" w:cs="Times New Roman"/>
          <w:color w:val="000000" w:themeColor="text1"/>
          <w:sz w:val="20"/>
          <w:szCs w:val="20"/>
        </w:rPr>
        <w:t xml:space="preserve"> N, </w:t>
      </w:r>
      <w:proofErr w:type="spellStart"/>
      <w:r w:rsidRPr="00252C91">
        <w:rPr>
          <w:rFonts w:ascii="Times New Roman" w:eastAsia="Times New Roman" w:hAnsi="Times New Roman" w:cs="Times New Roman"/>
          <w:color w:val="000000" w:themeColor="text1"/>
          <w:sz w:val="20"/>
          <w:szCs w:val="20"/>
        </w:rPr>
        <w:t>Schwenkglenks</w:t>
      </w:r>
      <w:proofErr w:type="spellEnd"/>
      <w:r w:rsidRPr="00252C91">
        <w:rPr>
          <w:rFonts w:ascii="Times New Roman" w:eastAsia="Times New Roman" w:hAnsi="Times New Roman" w:cs="Times New Roman"/>
          <w:color w:val="000000" w:themeColor="text1"/>
          <w:sz w:val="20"/>
          <w:szCs w:val="20"/>
        </w:rPr>
        <w:t xml:space="preserve"> M, Bacon P, et al. Prospective oral mucositis audit: oral mucositis in patients receiving high-dose melphalan or BEAM conditioning chemotherapy—European Blood and Marrow Transplantation Mucositis Advisory Group. J Clin Oncol. 2008; 26(9):1519-25. doi: 10.1200/JCO.2007.13.6028. </w:t>
      </w:r>
    </w:p>
    <w:p w14:paraId="685470D7" w14:textId="77777777" w:rsidR="00252C91" w:rsidRPr="00252C91" w:rsidRDefault="00252C91" w:rsidP="00252C91">
      <w:pPr>
        <w:pStyle w:val="ListParagraph"/>
        <w:numPr>
          <w:ilvl w:val="0"/>
          <w:numId w:val="2"/>
        </w:numPr>
        <w:spacing w:line="480" w:lineRule="auto"/>
        <w:rPr>
          <w:rFonts w:ascii="Times New Roman" w:eastAsia="Times New Roman" w:hAnsi="Times New Roman" w:cs="Times New Roman"/>
          <w:color w:val="000000" w:themeColor="text1"/>
          <w:sz w:val="20"/>
          <w:szCs w:val="20"/>
        </w:rPr>
      </w:pPr>
      <w:r w:rsidRPr="00252C91">
        <w:rPr>
          <w:rFonts w:ascii="Times New Roman" w:eastAsia="Times New Roman" w:hAnsi="Times New Roman" w:cs="Times New Roman"/>
          <w:color w:val="000000" w:themeColor="text1"/>
          <w:sz w:val="20"/>
          <w:szCs w:val="20"/>
        </w:rPr>
        <w:t>Netupitant and Palonosetron. Lexi-Drugs. Hudson, OH: Lexicomp, 2021. http://online.lexi.com/. Updated October 1, 2021. Accessed October 2, 2021.</w:t>
      </w:r>
    </w:p>
    <w:p w14:paraId="0A79E803" w14:textId="77777777" w:rsidR="00252C91" w:rsidRPr="00252C91" w:rsidRDefault="00252C91" w:rsidP="00252C91">
      <w:pPr>
        <w:pStyle w:val="ListParagraph"/>
        <w:numPr>
          <w:ilvl w:val="0"/>
          <w:numId w:val="2"/>
        </w:numPr>
        <w:spacing w:line="480" w:lineRule="auto"/>
        <w:rPr>
          <w:rFonts w:ascii="Times New Roman" w:eastAsia="Times New Roman" w:hAnsi="Times New Roman" w:cs="Times New Roman"/>
          <w:color w:val="000000" w:themeColor="text1"/>
          <w:sz w:val="20"/>
          <w:szCs w:val="20"/>
        </w:rPr>
      </w:pPr>
      <w:r w:rsidRPr="00252C91">
        <w:rPr>
          <w:rFonts w:ascii="Times New Roman" w:eastAsia="Times New Roman" w:hAnsi="Times New Roman" w:cs="Times New Roman"/>
          <w:color w:val="000000" w:themeColor="text1"/>
          <w:sz w:val="20"/>
          <w:szCs w:val="20"/>
        </w:rPr>
        <w:t>Ondansetron. Lexi-Drugs. Hudson, OH: Lexicomp, 2021. http://online.lexi.com/. Updated October 8, 2021. Accessed October 10, 2021.</w:t>
      </w:r>
    </w:p>
    <w:p w14:paraId="01C670E4" w14:textId="77777777" w:rsidR="00252C91" w:rsidRPr="00252C91" w:rsidRDefault="00252C91" w:rsidP="00252C91">
      <w:pPr>
        <w:pStyle w:val="ListParagraph"/>
        <w:numPr>
          <w:ilvl w:val="0"/>
          <w:numId w:val="2"/>
        </w:numPr>
        <w:spacing w:line="480" w:lineRule="auto"/>
        <w:rPr>
          <w:rFonts w:ascii="Times New Roman" w:eastAsia="Times New Roman" w:hAnsi="Times New Roman" w:cs="Times New Roman"/>
          <w:color w:val="000000" w:themeColor="text1"/>
          <w:sz w:val="20"/>
          <w:szCs w:val="20"/>
        </w:rPr>
      </w:pPr>
      <w:r w:rsidRPr="00252C91">
        <w:rPr>
          <w:rFonts w:ascii="Times New Roman" w:eastAsia="Times New Roman" w:hAnsi="Times New Roman" w:cs="Times New Roman"/>
          <w:color w:val="000000" w:themeColor="text1"/>
          <w:sz w:val="20"/>
          <w:szCs w:val="20"/>
        </w:rPr>
        <w:t>Aprepitant. Lexi-Drugs. Hudson, OH: Lexicomp, 2021. http://online.lexi.com/. Updated October 1, 2021. Accessed October 2, 2021.</w:t>
      </w:r>
    </w:p>
    <w:p w14:paraId="53ABFC26" w14:textId="77777777" w:rsidR="00252C91" w:rsidRDefault="00252C91" w:rsidP="006476AE">
      <w:pPr>
        <w:spacing w:line="480" w:lineRule="auto"/>
      </w:pPr>
    </w:p>
    <w:sectPr w:rsidR="00252C91" w:rsidSect="00381B3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777AB" w14:textId="77777777" w:rsidR="00082A15" w:rsidRDefault="00082A15" w:rsidP="00082A15">
      <w:pPr>
        <w:spacing w:after="0" w:line="240" w:lineRule="auto"/>
      </w:pPr>
      <w:r>
        <w:separator/>
      </w:r>
    </w:p>
  </w:endnote>
  <w:endnote w:type="continuationSeparator" w:id="0">
    <w:p w14:paraId="21EA31E6" w14:textId="77777777" w:rsidR="00082A15" w:rsidRDefault="00082A15" w:rsidP="00082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Pro Cond SemiBold">
    <w:altName w:val="Verdana Pro Cond SemiBold"/>
    <w:charset w:val="00"/>
    <w:family w:val="swiss"/>
    <w:pitch w:val="variable"/>
    <w:sig w:usb0="80000287" w:usb1="00000043"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0066123"/>
      <w:docPartObj>
        <w:docPartGallery w:val="Page Numbers (Bottom of Page)"/>
        <w:docPartUnique/>
      </w:docPartObj>
    </w:sdtPr>
    <w:sdtEndPr>
      <w:rPr>
        <w:rFonts w:ascii="Times New Roman" w:hAnsi="Times New Roman" w:cs="Times New Roman"/>
        <w:noProof/>
      </w:rPr>
    </w:sdtEndPr>
    <w:sdtContent>
      <w:p w14:paraId="2E962394" w14:textId="698707DB" w:rsidR="00082A15" w:rsidRPr="00082A15" w:rsidRDefault="00082A15">
        <w:pPr>
          <w:pStyle w:val="Footer"/>
          <w:jc w:val="center"/>
          <w:rPr>
            <w:rFonts w:ascii="Times New Roman" w:hAnsi="Times New Roman" w:cs="Times New Roman"/>
          </w:rPr>
        </w:pPr>
        <w:r w:rsidRPr="00082A15">
          <w:rPr>
            <w:rFonts w:ascii="Times New Roman" w:hAnsi="Times New Roman" w:cs="Times New Roman"/>
          </w:rPr>
          <w:fldChar w:fldCharType="begin"/>
        </w:r>
        <w:r w:rsidRPr="00082A15">
          <w:rPr>
            <w:rFonts w:ascii="Times New Roman" w:hAnsi="Times New Roman" w:cs="Times New Roman"/>
          </w:rPr>
          <w:instrText xml:space="preserve"> PAGE   \* MERGEFORMAT </w:instrText>
        </w:r>
        <w:r w:rsidRPr="00082A15">
          <w:rPr>
            <w:rFonts w:ascii="Times New Roman" w:hAnsi="Times New Roman" w:cs="Times New Roman"/>
          </w:rPr>
          <w:fldChar w:fldCharType="separate"/>
        </w:r>
        <w:r w:rsidR="008E5279">
          <w:rPr>
            <w:rFonts w:ascii="Times New Roman" w:hAnsi="Times New Roman" w:cs="Times New Roman"/>
            <w:noProof/>
          </w:rPr>
          <w:t>1</w:t>
        </w:r>
        <w:r w:rsidRPr="00082A15">
          <w:rPr>
            <w:rFonts w:ascii="Times New Roman" w:hAnsi="Times New Roman" w:cs="Times New Roman"/>
            <w:noProof/>
          </w:rPr>
          <w:fldChar w:fldCharType="end"/>
        </w:r>
      </w:p>
    </w:sdtContent>
  </w:sdt>
  <w:p w14:paraId="3F44F6AE" w14:textId="77777777" w:rsidR="00082A15" w:rsidRDefault="00082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6D289" w14:textId="77777777" w:rsidR="00082A15" w:rsidRDefault="00082A15" w:rsidP="00082A15">
      <w:pPr>
        <w:spacing w:after="0" w:line="240" w:lineRule="auto"/>
      </w:pPr>
      <w:r>
        <w:separator/>
      </w:r>
    </w:p>
  </w:footnote>
  <w:footnote w:type="continuationSeparator" w:id="0">
    <w:p w14:paraId="611FDEF9" w14:textId="77777777" w:rsidR="00082A15" w:rsidRDefault="00082A15" w:rsidP="00082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372F9"/>
    <w:multiLevelType w:val="multilevel"/>
    <w:tmpl w:val="231A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C13771"/>
    <w:multiLevelType w:val="hybridMultilevel"/>
    <w:tmpl w:val="D0CCE086"/>
    <w:lvl w:ilvl="0" w:tplc="1EDAD432">
      <w:start w:val="1"/>
      <w:numFmt w:val="decimal"/>
      <w:lvlText w:val="%1)"/>
      <w:lvlJc w:val="left"/>
      <w:pPr>
        <w:ind w:left="720" w:hanging="360"/>
      </w:pPr>
      <w:rPr>
        <w:rFonts w:ascii="Times New Roman" w:hAnsi="Times New Roman" w:cs="Times New Roman"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6AE"/>
    <w:rsid w:val="00082A15"/>
    <w:rsid w:val="000A59E9"/>
    <w:rsid w:val="000C7BE2"/>
    <w:rsid w:val="000E1C95"/>
    <w:rsid w:val="002417E2"/>
    <w:rsid w:val="00252C91"/>
    <w:rsid w:val="00276A11"/>
    <w:rsid w:val="00381B3B"/>
    <w:rsid w:val="003941F3"/>
    <w:rsid w:val="00442610"/>
    <w:rsid w:val="00481EE2"/>
    <w:rsid w:val="00496AC4"/>
    <w:rsid w:val="005A2C85"/>
    <w:rsid w:val="006476AE"/>
    <w:rsid w:val="00685413"/>
    <w:rsid w:val="007061AF"/>
    <w:rsid w:val="00794D5E"/>
    <w:rsid w:val="007A712C"/>
    <w:rsid w:val="007F1DA4"/>
    <w:rsid w:val="008B1D5A"/>
    <w:rsid w:val="008E5279"/>
    <w:rsid w:val="009A7773"/>
    <w:rsid w:val="00B6469A"/>
    <w:rsid w:val="00C24A1B"/>
    <w:rsid w:val="00CE0073"/>
    <w:rsid w:val="00DB05D9"/>
    <w:rsid w:val="00DC5CDE"/>
    <w:rsid w:val="00E25A14"/>
    <w:rsid w:val="00E721E2"/>
    <w:rsid w:val="00E744A4"/>
    <w:rsid w:val="00ED7F69"/>
    <w:rsid w:val="00F8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5DC49"/>
  <w15:chartTrackingRefBased/>
  <w15:docId w15:val="{E91D52EA-A013-4AF3-B27D-DD5C60A7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6476AE"/>
    <w:pPr>
      <w:spacing w:line="240" w:lineRule="auto"/>
    </w:pPr>
    <w:rPr>
      <w:sz w:val="20"/>
      <w:szCs w:val="20"/>
    </w:rPr>
  </w:style>
  <w:style w:type="character" w:customStyle="1" w:styleId="CommentTextChar">
    <w:name w:val="Comment Text Char"/>
    <w:basedOn w:val="DefaultParagraphFont"/>
    <w:link w:val="CommentText"/>
    <w:uiPriority w:val="99"/>
    <w:rsid w:val="006476AE"/>
    <w:rPr>
      <w:sz w:val="20"/>
      <w:szCs w:val="20"/>
    </w:rPr>
  </w:style>
  <w:style w:type="character" w:styleId="CommentReference">
    <w:name w:val="annotation reference"/>
    <w:basedOn w:val="DefaultParagraphFont"/>
    <w:uiPriority w:val="99"/>
    <w:semiHidden/>
    <w:unhideWhenUsed/>
    <w:rsid w:val="006476AE"/>
    <w:rPr>
      <w:sz w:val="16"/>
      <w:szCs w:val="16"/>
    </w:rPr>
  </w:style>
  <w:style w:type="paragraph" w:styleId="BalloonText">
    <w:name w:val="Balloon Text"/>
    <w:basedOn w:val="Normal"/>
    <w:link w:val="BalloonTextChar"/>
    <w:uiPriority w:val="99"/>
    <w:semiHidden/>
    <w:unhideWhenUsed/>
    <w:rsid w:val="006476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6AE"/>
    <w:rPr>
      <w:rFonts w:ascii="Segoe UI" w:hAnsi="Segoe UI" w:cs="Segoe UI"/>
      <w:sz w:val="18"/>
      <w:szCs w:val="18"/>
    </w:rPr>
  </w:style>
  <w:style w:type="character" w:customStyle="1" w:styleId="Hyperlink1">
    <w:name w:val="Hyperlink1"/>
    <w:basedOn w:val="DefaultParagraphFont"/>
    <w:uiPriority w:val="99"/>
    <w:unhideWhenUsed/>
    <w:rsid w:val="00CE0073"/>
    <w:rPr>
      <w:color w:val="0563C1"/>
      <w:u w:val="single"/>
    </w:rPr>
  </w:style>
  <w:style w:type="character" w:styleId="Hyperlink">
    <w:name w:val="Hyperlink"/>
    <w:basedOn w:val="DefaultParagraphFont"/>
    <w:uiPriority w:val="99"/>
    <w:unhideWhenUsed/>
    <w:rsid w:val="00CE0073"/>
    <w:rPr>
      <w:color w:val="0563C1" w:themeColor="hyperlink"/>
      <w:u w:val="single"/>
    </w:rPr>
  </w:style>
  <w:style w:type="paragraph" w:styleId="ListParagraph">
    <w:name w:val="List Paragraph"/>
    <w:basedOn w:val="Normal"/>
    <w:uiPriority w:val="34"/>
    <w:qFormat/>
    <w:rsid w:val="00481EE2"/>
    <w:pPr>
      <w:ind w:left="720"/>
      <w:contextualSpacing/>
    </w:pPr>
  </w:style>
  <w:style w:type="paragraph" w:styleId="Header">
    <w:name w:val="header"/>
    <w:basedOn w:val="Normal"/>
    <w:link w:val="HeaderChar"/>
    <w:uiPriority w:val="99"/>
    <w:unhideWhenUsed/>
    <w:rsid w:val="00082A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A15"/>
  </w:style>
  <w:style w:type="paragraph" w:styleId="Footer">
    <w:name w:val="footer"/>
    <w:basedOn w:val="Normal"/>
    <w:link w:val="FooterChar"/>
    <w:uiPriority w:val="99"/>
    <w:unhideWhenUsed/>
    <w:rsid w:val="00082A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A15"/>
  </w:style>
  <w:style w:type="character" w:styleId="LineNumber">
    <w:name w:val="line number"/>
    <w:basedOn w:val="DefaultParagraphFont"/>
    <w:uiPriority w:val="99"/>
    <w:semiHidden/>
    <w:unhideWhenUsed/>
    <w:rsid w:val="00082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essdata.fda.gov/drugsatfda_docs/label/2018/210493s000lbl.pdf.%20Accessed%20November%2028"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1332</Words>
  <Characters>8251</Characters>
  <Application>Microsoft Office Word</Application>
  <DocSecurity>0</DocSecurity>
  <Lines>110</Lines>
  <Paragraphs>33</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Radke</dc:creator>
  <cp:keywords/>
  <dc:description/>
  <cp:lastModifiedBy>Jenny Radke</cp:lastModifiedBy>
  <cp:revision>2</cp:revision>
  <cp:lastPrinted>2022-10-18T03:56:00Z</cp:lastPrinted>
  <dcterms:created xsi:type="dcterms:W3CDTF">2022-10-18T03:58:00Z</dcterms:created>
  <dcterms:modified xsi:type="dcterms:W3CDTF">2022-10-18T03:58:00Z</dcterms:modified>
</cp:coreProperties>
</file>