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</w:rPr>
        <w:t>App-Figure 1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</w:rPr>
        <w:t>Flow-chart of patient selection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>
        <w:rPr>
          <w:rFonts w:ascii="Century" w:eastAsia="游明朝" w:hAnsi="Century" w:cs="Times New Roman"/>
        </w:rPr>
        <w:t xml:space="preserve">Twenty-eight patients are approached </w:t>
      </w:r>
      <w:r w:rsidRPr="000663FE">
        <w:rPr>
          <w:rFonts w:ascii="Century" w:hAnsi="Century"/>
        </w:rPr>
        <w:t xml:space="preserve">to participate in this study. </w:t>
      </w:r>
      <w:r>
        <w:rPr>
          <w:rFonts w:ascii="Century" w:hAnsi="Century"/>
        </w:rPr>
        <w:t>However,</w:t>
      </w:r>
      <w:r w:rsidRPr="000663FE">
        <w:rPr>
          <w:rFonts w:ascii="Century" w:hAnsi="Century"/>
        </w:rPr>
        <w:t xml:space="preserve"> 25 </w:t>
      </w:r>
      <w:r>
        <w:rPr>
          <w:rFonts w:ascii="Century" w:hAnsi="Century"/>
        </w:rPr>
        <w:t>are</w:t>
      </w:r>
      <w:r w:rsidRPr="000663FE">
        <w:rPr>
          <w:rFonts w:ascii="Century" w:hAnsi="Century"/>
        </w:rPr>
        <w:t xml:space="preserve"> excluded for several reasons.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</w:rPr>
        <w:t>App-Figure 2</w:t>
      </w:r>
    </w:p>
    <w:p w:rsidR="006A3F85" w:rsidRPr="000663FE" w:rsidRDefault="006A3F85" w:rsidP="006A3F85">
      <w:pPr>
        <w:spacing w:line="360" w:lineRule="auto"/>
        <w:rPr>
          <w:rFonts w:ascii="Century" w:hAnsi="Century"/>
          <w:shd w:val="pct15" w:color="auto" w:fill="FFFFFF"/>
        </w:rPr>
      </w:pPr>
      <w:r w:rsidRPr="000663FE">
        <w:rPr>
          <w:rFonts w:ascii="Century" w:hAnsi="Century"/>
        </w:rPr>
        <w:t>Flow</w:t>
      </w:r>
      <w:r>
        <w:rPr>
          <w:rFonts w:ascii="Century" w:hAnsi="Century"/>
        </w:rPr>
        <w:t>-chart</w:t>
      </w:r>
      <w:r>
        <w:rPr>
          <w:rFonts w:ascii="Century" w:eastAsia="游明朝" w:hAnsi="Century" w:cs="Times New Roman"/>
        </w:rPr>
        <w:t xml:space="preserve"> of the investigation of patients </w:t>
      </w:r>
      <w:r w:rsidRPr="000663FE">
        <w:rPr>
          <w:rFonts w:ascii="Century" w:hAnsi="Century"/>
        </w:rPr>
        <w:t xml:space="preserve">with </w:t>
      </w:r>
      <w:r>
        <w:rPr>
          <w:rFonts w:ascii="Century" w:eastAsia="游明朝" w:hAnsi="Century" w:cs="Times New Roman"/>
        </w:rPr>
        <w:t>a single administration.</w:t>
      </w:r>
      <w:r w:rsidRPr="000663FE">
        <w:rPr>
          <w:rFonts w:ascii="Century" w:hAnsi="Century"/>
        </w:rPr>
        <w:t xml:space="preserve"> </w:t>
      </w:r>
      <w:r>
        <w:rPr>
          <w:rFonts w:ascii="Century" w:hAnsi="Century"/>
        </w:rPr>
        <w:t>“</w:t>
      </w:r>
      <w:r w:rsidRPr="000663FE">
        <w:rPr>
          <w:rFonts w:ascii="Century" w:hAnsi="Century"/>
        </w:rPr>
        <w:t>Single administration</w:t>
      </w:r>
      <w:r>
        <w:rPr>
          <w:rFonts w:ascii="Century" w:hAnsi="Century"/>
        </w:rPr>
        <w:t>”</w:t>
      </w:r>
      <w:r w:rsidRPr="000663FE">
        <w:rPr>
          <w:rFonts w:ascii="Century" w:hAnsi="Century"/>
        </w:rPr>
        <w:t xml:space="preserve"> </w:t>
      </w:r>
      <w:r>
        <w:rPr>
          <w:rFonts w:ascii="Century" w:hAnsi="Century"/>
        </w:rPr>
        <w:t>indicates</w:t>
      </w:r>
      <w:r w:rsidRPr="000663FE">
        <w:rPr>
          <w:rFonts w:ascii="Century" w:hAnsi="Century"/>
        </w:rPr>
        <w:t xml:space="preserve"> professional care using MA-T gel </w:t>
      </w:r>
      <w:r>
        <w:rPr>
          <w:rFonts w:ascii="Century" w:hAnsi="Century"/>
        </w:rPr>
        <w:t xml:space="preserve">and daily care </w:t>
      </w:r>
      <w:r w:rsidRPr="000663FE">
        <w:rPr>
          <w:rFonts w:ascii="Century" w:hAnsi="Century"/>
        </w:rPr>
        <w:t xml:space="preserve">with water. </w:t>
      </w:r>
      <w:r>
        <w:rPr>
          <w:rFonts w:ascii="Century" w:hAnsi="Century"/>
        </w:rPr>
        <w:t>The b</w:t>
      </w:r>
      <w:r w:rsidRPr="000663FE">
        <w:rPr>
          <w:rFonts w:ascii="Century" w:hAnsi="Century"/>
        </w:rPr>
        <w:t xml:space="preserve">lack triangle shows </w:t>
      </w:r>
      <w:r>
        <w:rPr>
          <w:rFonts w:ascii="Century" w:eastAsia="游明朝" w:hAnsi="Century" w:cs="Times New Roman"/>
        </w:rPr>
        <w:t xml:space="preserve">a single administration of professional care </w:t>
      </w:r>
      <w:r w:rsidRPr="000663FE">
        <w:rPr>
          <w:rFonts w:ascii="Century" w:hAnsi="Century"/>
        </w:rPr>
        <w:t xml:space="preserve">using MA-T gel and daily care with water (A). Differences in oral moisture </w:t>
      </w:r>
      <w:r>
        <w:rPr>
          <w:rFonts w:ascii="Century" w:eastAsia="游明朝" w:hAnsi="Century" w:cs="Times New Roman"/>
        </w:rPr>
        <w:t xml:space="preserve">counts between water and MA-T gel care </w:t>
      </w:r>
      <w:r w:rsidRPr="000663FE">
        <w:rPr>
          <w:rFonts w:ascii="Century" w:hAnsi="Century"/>
        </w:rPr>
        <w:t xml:space="preserve">for each patient (B). Normalization data of total bacteria between water and MA-T gel care for each patient. </w:t>
      </w:r>
      <w:r>
        <w:rPr>
          <w:rFonts w:ascii="Century" w:hAnsi="Century"/>
        </w:rPr>
        <w:t>The b</w:t>
      </w:r>
      <w:r w:rsidRPr="000663FE">
        <w:rPr>
          <w:rFonts w:ascii="Century" w:hAnsi="Century"/>
        </w:rPr>
        <w:t xml:space="preserve">lack triangle shows </w:t>
      </w:r>
      <w:r>
        <w:rPr>
          <w:rFonts w:ascii="Century" w:eastAsia="游明朝" w:hAnsi="Century" w:cs="Times New Roman"/>
        </w:rPr>
        <w:t xml:space="preserve">a single administration of professional care </w:t>
      </w:r>
      <w:r w:rsidRPr="000663FE">
        <w:rPr>
          <w:rFonts w:ascii="Century" w:hAnsi="Century"/>
        </w:rPr>
        <w:t>using MA-T gel and daily care with water (C).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</w:rPr>
        <w:t>App-Figure 3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</w:rPr>
        <w:t>Differen</w:t>
      </w:r>
      <w:r>
        <w:rPr>
          <w:rFonts w:ascii="Century" w:hAnsi="Century"/>
        </w:rPr>
        <w:t>tial</w:t>
      </w:r>
      <w:r w:rsidRPr="000663FE">
        <w:rPr>
          <w:rFonts w:ascii="Century" w:hAnsi="Century"/>
        </w:rPr>
        <w:t xml:space="preserve"> counts of total bacteria between water and MA-T gel care.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</w:rPr>
        <w:t>Non-normalized data of Figure 3B and App (Figure 2C</w:t>
      </w:r>
      <w:r>
        <w:rPr>
          <w:rFonts w:ascii="Century" w:eastAsia="游明朝" w:hAnsi="Century" w:cs="Times New Roman"/>
        </w:rPr>
        <w:t>)</w:t>
      </w:r>
      <w:r w:rsidRPr="000663FE">
        <w:rPr>
          <w:rFonts w:ascii="Century" w:hAnsi="Century"/>
        </w:rPr>
        <w:t xml:space="preserve">. </w:t>
      </w:r>
      <w:r>
        <w:rPr>
          <w:rFonts w:ascii="Century" w:hAnsi="Century"/>
        </w:rPr>
        <w:t>The d</w:t>
      </w:r>
      <w:r w:rsidRPr="000663FE">
        <w:rPr>
          <w:rFonts w:ascii="Century" w:hAnsi="Century"/>
        </w:rPr>
        <w:t>ifference in the total number of oral bacteria between water and MA-T gel</w:t>
      </w:r>
      <w:r>
        <w:rPr>
          <w:rFonts w:ascii="Century" w:eastAsia="游明朝" w:hAnsi="Century" w:cs="Times New Roman"/>
        </w:rPr>
        <w:t>s.</w:t>
      </w:r>
      <w:r w:rsidRPr="000663FE">
        <w:rPr>
          <w:rFonts w:ascii="Century" w:hAnsi="Century"/>
        </w:rPr>
        <w:t xml:space="preserve"> These data </w:t>
      </w:r>
      <w:r>
        <w:rPr>
          <w:rFonts w:ascii="Century" w:hAnsi="Century"/>
        </w:rPr>
        <w:t>are</w:t>
      </w:r>
      <w:r w:rsidRPr="000663FE">
        <w:rPr>
          <w:rFonts w:ascii="Century" w:hAnsi="Century"/>
        </w:rPr>
        <w:t xml:space="preserve"> sampled from three </w:t>
      </w:r>
      <w:r>
        <w:rPr>
          <w:rFonts w:ascii="Century" w:hAnsi="Century"/>
        </w:rPr>
        <w:t>participants</w:t>
      </w:r>
      <w:r>
        <w:rPr>
          <w:rFonts w:ascii="Century" w:eastAsia="游明朝" w:hAnsi="Century" w:cs="Times New Roman"/>
        </w:rPr>
        <w:t>, three times each.</w:t>
      </w:r>
      <w:r w:rsidRPr="000663FE">
        <w:rPr>
          <w:rFonts w:ascii="Century" w:hAnsi="Century"/>
        </w:rPr>
        <w:t xml:space="preserve"> *P &lt; 0.05, **P &lt; 0.01 respectively </w:t>
      </w:r>
      <w:r>
        <w:rPr>
          <w:rFonts w:ascii="Century" w:hAnsi="Century"/>
        </w:rPr>
        <w:t>using</w:t>
      </w:r>
      <w:r w:rsidRPr="000663FE">
        <w:rPr>
          <w:rFonts w:ascii="Century" w:hAnsi="Century"/>
        </w:rPr>
        <w:t xml:space="preserve"> the Bonferroni method (A). Differences in total bacterial counts between water care and MA-T gel care in each patient. </w:t>
      </w:r>
      <w:r>
        <w:rPr>
          <w:rFonts w:ascii="Century" w:hAnsi="Century"/>
        </w:rPr>
        <w:t>The b</w:t>
      </w:r>
      <w:r w:rsidRPr="000663FE">
        <w:rPr>
          <w:rFonts w:ascii="Century" w:hAnsi="Century"/>
        </w:rPr>
        <w:t xml:space="preserve">lack triangle shows </w:t>
      </w:r>
      <w:r>
        <w:rPr>
          <w:rFonts w:ascii="Century" w:eastAsia="游明朝" w:hAnsi="Century" w:cs="Times New Roman"/>
        </w:rPr>
        <w:t xml:space="preserve">a single administration of professional care </w:t>
      </w:r>
      <w:r w:rsidRPr="000663FE">
        <w:rPr>
          <w:rFonts w:ascii="Century" w:hAnsi="Century"/>
        </w:rPr>
        <w:t xml:space="preserve">using MA-T gel with </w:t>
      </w:r>
      <w:r>
        <w:rPr>
          <w:rFonts w:ascii="Century" w:eastAsia="游明朝" w:hAnsi="Century" w:cs="Times New Roman"/>
        </w:rPr>
        <w:t>daily water</w:t>
      </w:r>
      <w:r w:rsidRPr="000663FE">
        <w:rPr>
          <w:rFonts w:ascii="Century" w:hAnsi="Century"/>
        </w:rPr>
        <w:t xml:space="preserve"> care(B).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</w:rPr>
        <w:t>App-Figure 4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</w:rPr>
        <w:lastRenderedPageBreak/>
        <w:t>Differences in total bacterial counts between water care and MA-T gel care in each patient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  <w:i/>
        </w:rPr>
        <w:t>MRSA</w:t>
      </w:r>
      <w:r>
        <w:rPr>
          <w:rFonts w:ascii="Century" w:hAnsi="Century"/>
          <w:i/>
        </w:rPr>
        <w:t xml:space="preserve"> </w:t>
      </w:r>
      <w:r w:rsidRPr="000663FE">
        <w:rPr>
          <w:rFonts w:ascii="Century" w:hAnsi="Century"/>
        </w:rPr>
        <w:t>(A),</w:t>
      </w:r>
      <w:r w:rsidRPr="000663FE">
        <w:rPr>
          <w:rFonts w:ascii="Century" w:hAnsi="Century"/>
          <w:i/>
        </w:rPr>
        <w:t xml:space="preserve"> P. aeruginosa</w:t>
      </w:r>
      <w:r>
        <w:rPr>
          <w:rFonts w:ascii="Century" w:hAnsi="Century"/>
          <w:i/>
        </w:rPr>
        <w:t xml:space="preserve"> </w:t>
      </w:r>
      <w:r w:rsidRPr="000663FE">
        <w:rPr>
          <w:rFonts w:ascii="Century" w:hAnsi="Century"/>
        </w:rPr>
        <w:t xml:space="preserve">(B), </w:t>
      </w:r>
      <w:r>
        <w:rPr>
          <w:rFonts w:ascii="Century" w:eastAsia="游明朝" w:hAnsi="Century" w:cs="Times New Roman"/>
          <w:i/>
        </w:rPr>
        <w:t xml:space="preserve">and </w:t>
      </w:r>
      <w:r w:rsidRPr="000663FE">
        <w:rPr>
          <w:rFonts w:ascii="Century" w:hAnsi="Century"/>
          <w:i/>
        </w:rPr>
        <w:t>S. pneumoniae</w:t>
      </w:r>
      <w:r w:rsidRPr="000663FE">
        <w:rPr>
          <w:rFonts w:ascii="Century" w:hAnsi="Century"/>
        </w:rPr>
        <w:t xml:space="preserve"> (C) Vertical axis shows opportunistic infection bacteria</w:t>
      </w:r>
      <w:r>
        <w:rPr>
          <w:rFonts w:ascii="Century" w:eastAsia="游明朝" w:hAnsi="Century" w:cs="Times New Roman"/>
        </w:rPr>
        <w:t xml:space="preserve">l scores. </w:t>
      </w:r>
      <w:r w:rsidRPr="000663FE">
        <w:rPr>
          <w:rFonts w:ascii="Century" w:hAnsi="Century"/>
        </w:rPr>
        <w:t>The opportunistic infection bacteria</w:t>
      </w:r>
      <w:r>
        <w:rPr>
          <w:rFonts w:ascii="Century" w:hAnsi="Century" w:hint="eastAsia"/>
        </w:rPr>
        <w:t xml:space="preserve">　</w:t>
      </w:r>
      <w:r>
        <w:rPr>
          <w:rFonts w:ascii="Century" w:hAnsi="Century" w:hint="eastAsia"/>
        </w:rPr>
        <w:t>e</w:t>
      </w:r>
      <w:r>
        <w:rPr>
          <w:rFonts w:ascii="Century" w:hAnsi="Century"/>
        </w:rPr>
        <w:t>xpansion</w:t>
      </w:r>
      <w:r w:rsidRPr="000663FE">
        <w:rPr>
          <w:rFonts w:ascii="Century" w:hAnsi="Century"/>
        </w:rPr>
        <w:t xml:space="preserve"> score </w:t>
      </w:r>
      <w:r>
        <w:rPr>
          <w:rFonts w:ascii="Century" w:hAnsi="Century"/>
        </w:rPr>
        <w:t>is</w:t>
      </w:r>
      <w:r>
        <w:rPr>
          <w:rFonts w:ascii="Century" w:eastAsia="游明朝" w:hAnsi="Century" w:cs="Times New Roman"/>
        </w:rPr>
        <w:t xml:space="preserve"> set</w:t>
      </w:r>
      <w:r w:rsidRPr="000663FE">
        <w:rPr>
          <w:rFonts w:ascii="Century" w:hAnsi="Century"/>
        </w:rPr>
        <w:t xml:space="preserve"> as follows:</w:t>
      </w:r>
    </w:p>
    <w:p w:rsidR="006A3F85" w:rsidRPr="000663FE" w:rsidRDefault="006A3F85" w:rsidP="006A3F85">
      <w:pPr>
        <w:spacing w:line="360" w:lineRule="auto"/>
        <w:rPr>
          <w:rFonts w:ascii="Century" w:hAnsi="Century"/>
          <w:shd w:val="pct15" w:color="auto" w:fill="FFFFFF"/>
        </w:rPr>
      </w:pPr>
      <w:r w:rsidRPr="000663FE">
        <w:rPr>
          <w:rFonts w:ascii="Century" w:hAnsi="Century"/>
        </w:rPr>
        <w:t>(</w:t>
      </w:r>
      <w:r w:rsidR="009C6FC6">
        <w:rPr>
          <w:rFonts w:ascii="Century" w:hAnsi="Century"/>
        </w:rPr>
        <w:t>-</w:t>
      </w:r>
      <w:r w:rsidRPr="000663FE">
        <w:rPr>
          <w:rFonts w:ascii="Century" w:hAnsi="Century"/>
        </w:rPr>
        <w:t xml:space="preserve">): </w:t>
      </w:r>
      <w:r>
        <w:rPr>
          <w:rFonts w:ascii="Century" w:hAnsi="Century"/>
        </w:rPr>
        <w:t>No</w:t>
      </w:r>
      <w:r w:rsidRPr="000663FE">
        <w:rPr>
          <w:rFonts w:ascii="Century" w:hAnsi="Century"/>
        </w:rPr>
        <w:t xml:space="preserve"> growth of bacteria, (1+): Bacteria grow up to </w:t>
      </w:r>
      <w:r>
        <w:rPr>
          <w:rFonts w:ascii="Century" w:hAnsi="Century"/>
        </w:rPr>
        <w:t xml:space="preserve">one-third </w:t>
      </w:r>
      <w:r w:rsidRPr="000663FE">
        <w:rPr>
          <w:rFonts w:ascii="Century" w:hAnsi="Century"/>
        </w:rPr>
        <w:t>of the nutrient medium (</w:t>
      </w:r>
      <w:r>
        <w:rPr>
          <w:rFonts w:ascii="Century" w:hAnsi="Century"/>
        </w:rPr>
        <w:t>approximately</w:t>
      </w:r>
      <w:r w:rsidRPr="000663FE">
        <w:rPr>
          <w:rFonts w:ascii="Century" w:hAnsi="Century"/>
        </w:rPr>
        <w:t xml:space="preserve"> 1.0×10</w:t>
      </w:r>
      <w:r w:rsidRPr="000663FE">
        <w:rPr>
          <w:rFonts w:ascii="Century" w:hAnsi="Century"/>
          <w:vertAlign w:val="superscript"/>
        </w:rPr>
        <w:t>3</w:t>
      </w:r>
      <w:r>
        <w:rPr>
          <w:rFonts w:ascii="Century" w:hAnsi="Century"/>
          <w:vertAlign w:val="superscript"/>
        </w:rPr>
        <w:t xml:space="preserve"> </w:t>
      </w:r>
      <w:r w:rsidRPr="000663FE">
        <w:rPr>
          <w:rFonts w:ascii="Century" w:hAnsi="Century"/>
        </w:rPr>
        <w:t>CFU/mL), (2</w:t>
      </w:r>
      <w:bookmarkStart w:id="0" w:name="_Hlk117865053"/>
      <w:r w:rsidRPr="000663FE">
        <w:rPr>
          <w:rFonts w:ascii="Century" w:hAnsi="Century"/>
        </w:rPr>
        <w:t>+</w:t>
      </w:r>
      <w:bookmarkEnd w:id="0"/>
      <w:r w:rsidRPr="000663FE">
        <w:rPr>
          <w:rFonts w:ascii="Century" w:hAnsi="Century"/>
        </w:rPr>
        <w:t xml:space="preserve">): Bacteria grow up to </w:t>
      </w:r>
      <w:r>
        <w:rPr>
          <w:rFonts w:ascii="Century" w:hAnsi="Century"/>
        </w:rPr>
        <w:t>two-third</w:t>
      </w:r>
      <w:r w:rsidRPr="000663FE">
        <w:rPr>
          <w:rFonts w:ascii="Century" w:hAnsi="Century"/>
        </w:rPr>
        <w:t xml:space="preserve"> of the nutrient medium (</w:t>
      </w:r>
      <w:r>
        <w:rPr>
          <w:rFonts w:ascii="Century" w:hAnsi="Century"/>
        </w:rPr>
        <w:t>approximately</w:t>
      </w:r>
      <w:r w:rsidRPr="000663FE">
        <w:rPr>
          <w:rFonts w:ascii="Century" w:hAnsi="Century"/>
        </w:rPr>
        <w:t xml:space="preserve"> 1.0×10</w:t>
      </w:r>
      <w:r w:rsidRPr="000663FE">
        <w:rPr>
          <w:rFonts w:ascii="Century" w:hAnsi="Century"/>
          <w:vertAlign w:val="superscript"/>
        </w:rPr>
        <w:t>4</w:t>
      </w:r>
      <w:r>
        <w:rPr>
          <w:rFonts w:ascii="Century" w:hAnsi="Century"/>
          <w:vertAlign w:val="superscript"/>
        </w:rPr>
        <w:t xml:space="preserve"> </w:t>
      </w:r>
      <w:r w:rsidRPr="000663FE">
        <w:rPr>
          <w:rFonts w:ascii="Century" w:hAnsi="Century"/>
        </w:rPr>
        <w:t>CFU/mL), (3+): Bacteria grow to the whole nutrient medium (</w:t>
      </w:r>
      <w:r>
        <w:rPr>
          <w:rFonts w:ascii="Century" w:hAnsi="Century"/>
        </w:rPr>
        <w:t>above</w:t>
      </w:r>
      <w:r w:rsidRPr="000663FE">
        <w:rPr>
          <w:rFonts w:ascii="Century" w:hAnsi="Century"/>
        </w:rPr>
        <w:t xml:space="preserve"> 1.0×10</w:t>
      </w:r>
      <w:r w:rsidRPr="000663FE">
        <w:rPr>
          <w:rFonts w:ascii="Century" w:hAnsi="Century"/>
          <w:vertAlign w:val="superscript"/>
        </w:rPr>
        <w:t>5</w:t>
      </w:r>
      <w:r>
        <w:rPr>
          <w:rFonts w:ascii="Century" w:hAnsi="Century"/>
          <w:vertAlign w:val="superscript"/>
        </w:rPr>
        <w:t xml:space="preserve"> </w:t>
      </w:r>
      <w:r w:rsidRPr="000663FE">
        <w:rPr>
          <w:rFonts w:ascii="Century" w:hAnsi="Century"/>
        </w:rPr>
        <w:t xml:space="preserve">CFU/mL). The large circle indicates that there </w:t>
      </w:r>
      <w:r>
        <w:rPr>
          <w:rFonts w:ascii="Century" w:hAnsi="Century"/>
        </w:rPr>
        <w:t>are</w:t>
      </w:r>
      <w:r w:rsidRPr="000663FE">
        <w:rPr>
          <w:rFonts w:ascii="Century" w:hAnsi="Century"/>
        </w:rPr>
        <w:t xml:space="preserve"> many cases.</w:t>
      </w: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</w:p>
    <w:p w:rsidR="006A3F85" w:rsidRPr="000663FE" w:rsidRDefault="006A3F85" w:rsidP="006A3F85">
      <w:pPr>
        <w:spacing w:line="360" w:lineRule="auto"/>
        <w:rPr>
          <w:rFonts w:ascii="Century" w:hAnsi="Century"/>
        </w:rPr>
      </w:pPr>
      <w:r w:rsidRPr="000663FE">
        <w:rPr>
          <w:rFonts w:ascii="Century" w:hAnsi="Century"/>
        </w:rPr>
        <w:t>App-Table 1</w:t>
      </w:r>
    </w:p>
    <w:p w:rsidR="00CF450D" w:rsidRDefault="006A3F85" w:rsidP="009C6FC6">
      <w:pPr>
        <w:spacing w:line="360" w:lineRule="auto"/>
      </w:pPr>
      <w:r w:rsidRPr="000663FE">
        <w:rPr>
          <w:rFonts w:ascii="Century" w:hAnsi="Century"/>
        </w:rPr>
        <w:t xml:space="preserve">Patient </w:t>
      </w:r>
      <w:r>
        <w:rPr>
          <w:rFonts w:ascii="Century" w:hAnsi="Century"/>
        </w:rPr>
        <w:t>demographics</w:t>
      </w:r>
      <w:bookmarkStart w:id="1" w:name="_GoBack"/>
      <w:bookmarkEnd w:id="1"/>
    </w:p>
    <w:sectPr w:rsidR="00CF450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434E" w:rsidRDefault="0079434E" w:rsidP="009C6FC6">
      <w:r>
        <w:separator/>
      </w:r>
    </w:p>
  </w:endnote>
  <w:endnote w:type="continuationSeparator" w:id="0">
    <w:p w:rsidR="0079434E" w:rsidRDefault="0079434E" w:rsidP="009C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434E" w:rsidRDefault="0079434E" w:rsidP="009C6FC6">
      <w:r>
        <w:separator/>
      </w:r>
    </w:p>
  </w:footnote>
  <w:footnote w:type="continuationSeparator" w:id="0">
    <w:p w:rsidR="0079434E" w:rsidRDefault="0079434E" w:rsidP="009C6F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85"/>
    <w:rsid w:val="006A3F85"/>
    <w:rsid w:val="0079434E"/>
    <w:rsid w:val="009C6FC6"/>
    <w:rsid w:val="00CF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C2E3E20"/>
  <w15:chartTrackingRefBased/>
  <w15:docId w15:val="{A2926052-9B6B-4617-9458-91F8457FB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3F8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F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6FC6"/>
  </w:style>
  <w:style w:type="paragraph" w:styleId="a5">
    <w:name w:val="footer"/>
    <w:basedOn w:val="a"/>
    <w:link w:val="a6"/>
    <w:uiPriority w:val="99"/>
    <w:unhideWhenUsed/>
    <w:rsid w:val="009C6F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6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皆木</dc:creator>
  <cp:keywords/>
  <dc:description/>
  <cp:lastModifiedBy>皆木</cp:lastModifiedBy>
  <cp:revision>2</cp:revision>
  <dcterms:created xsi:type="dcterms:W3CDTF">2022-10-28T06:45:00Z</dcterms:created>
  <dcterms:modified xsi:type="dcterms:W3CDTF">2022-10-28T07:00:00Z</dcterms:modified>
</cp:coreProperties>
</file>