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F1C49" w14:textId="038AE9A3" w:rsidR="00DC26E1" w:rsidRDefault="00DC26E1" w:rsidP="00DC26E1">
      <w:pPr>
        <w:rPr>
          <w:rFonts w:ascii="Times New Roman" w:hAnsi="Times New Roman" w:cs="Times New Roman"/>
          <w:b/>
          <w:bCs/>
          <w:szCs w:val="21"/>
        </w:rPr>
      </w:pPr>
      <w:r>
        <w:rPr>
          <w:rFonts w:ascii="Times New Roman" w:hAnsi="Times New Roman" w:cs="Times New Roman"/>
          <w:b/>
          <w:bCs/>
          <w:szCs w:val="21"/>
        </w:rPr>
        <w:t>Figure</w:t>
      </w:r>
      <w:r>
        <w:rPr>
          <w:rFonts w:ascii="Times New Roman" w:hAnsi="Times New Roman" w:cs="Times New Roman"/>
          <w:b/>
          <w:bCs/>
          <w:szCs w:val="21"/>
        </w:rPr>
        <w:t xml:space="preserve"> legend</w:t>
      </w:r>
    </w:p>
    <w:p w14:paraId="2C460A80" w14:textId="77777777" w:rsidR="00DB4331" w:rsidRDefault="00DB4331" w:rsidP="00DB4331">
      <w:pPr>
        <w:rPr>
          <w:rFonts w:ascii="Times New Roman" w:hAnsi="Times New Roman" w:cs="Times New Roman"/>
        </w:rPr>
      </w:pPr>
      <w:r>
        <w:rPr>
          <w:rFonts w:ascii="Times New Roman" w:hAnsi="Times New Roman" w:cs="Times New Roman"/>
          <w:b/>
          <w:bCs/>
        </w:rPr>
        <w:t>Supplementary Figure 1.</w:t>
      </w:r>
      <w:r>
        <w:rPr>
          <w:rFonts w:ascii="Times New Roman" w:hAnsi="Times New Roman" w:cs="Times New Roman"/>
        </w:rPr>
        <w:t xml:space="preserve"> Standardization of glioma samples from Renji cohort. (A) RSD of glioma samples, (B) Sample tree, (C) Normalized Proteins Expression of glioma samples, (D) Original Proteins Expression of glioma samples, (E) Normalized Protein Density of glioma samples, (F) Original Protein Density of glioma samples.</w:t>
      </w:r>
    </w:p>
    <w:p w14:paraId="160DAB51" w14:textId="77777777" w:rsidR="00DB4331" w:rsidRDefault="00DB4331" w:rsidP="00DB4331">
      <w:pPr>
        <w:rPr>
          <w:rFonts w:ascii="Times New Roman" w:hAnsi="Times New Roman" w:cs="Times New Roman"/>
        </w:rPr>
      </w:pPr>
    </w:p>
    <w:p w14:paraId="2571FB99" w14:textId="77777777" w:rsidR="00DB4331" w:rsidRDefault="00DB4331" w:rsidP="00DB4331">
      <w:pPr>
        <w:rPr>
          <w:rFonts w:ascii="Times New Roman" w:hAnsi="Times New Roman" w:cs="Times New Roman"/>
        </w:rPr>
      </w:pPr>
      <w:r>
        <w:rPr>
          <w:rFonts w:ascii="Times New Roman" w:hAnsi="Times New Roman" w:cs="Times New Roman"/>
          <w:b/>
          <w:bCs/>
        </w:rPr>
        <w:t>Supplementary Figure 2.</w:t>
      </w:r>
      <w:r>
        <w:rPr>
          <w:rFonts w:ascii="Times New Roman" w:hAnsi="Times New Roman" w:cs="Times New Roman"/>
        </w:rPr>
        <w:t xml:space="preserve"> Functional analysis of dysregulated proteins in glioma samples. (A) Biological processes (BP), Molecular Function (MF) and Cellular Component (CC) of downregulated proteins, (B) Biological processes (BP), Molecular Function (MF) and Cellular Component (CC) of upregulated proteins, (C) KEGG enrichment of downregulated proteins, (D) KEGG enrichment of upregulated proteins, (E) PPI genes of glioma samples, (F) PPI query of glioma samples.</w:t>
      </w:r>
    </w:p>
    <w:p w14:paraId="20CDE6C3" w14:textId="77777777" w:rsidR="00DB4331" w:rsidRDefault="00DB4331" w:rsidP="00DB4331">
      <w:pPr>
        <w:rPr>
          <w:rFonts w:ascii="Times New Roman" w:hAnsi="Times New Roman" w:cs="Times New Roman"/>
        </w:rPr>
      </w:pPr>
    </w:p>
    <w:p w14:paraId="161A99F0" w14:textId="77777777" w:rsidR="00DB4331" w:rsidRDefault="00DB4331" w:rsidP="00DB4331">
      <w:pPr>
        <w:rPr>
          <w:rFonts w:ascii="Times New Roman" w:hAnsi="Times New Roman" w:cs="Times New Roman"/>
        </w:rPr>
      </w:pPr>
      <w:r>
        <w:rPr>
          <w:rFonts w:ascii="Times New Roman" w:hAnsi="Times New Roman" w:cs="Times New Roman"/>
          <w:b/>
          <w:bCs/>
        </w:rPr>
        <w:t>Supplementary Figure 3.</w:t>
      </w:r>
      <w:r>
        <w:rPr>
          <w:rFonts w:ascii="Times New Roman" w:hAnsi="Times New Roman" w:cs="Times New Roman"/>
        </w:rPr>
        <w:t xml:space="preserve"> Overlapping analysis of Renji cohort and TCGA dataset.</w:t>
      </w:r>
    </w:p>
    <w:p w14:paraId="15905086" w14:textId="77777777" w:rsidR="00DB4331" w:rsidRDefault="00DB4331" w:rsidP="00DB4331">
      <w:pPr>
        <w:rPr>
          <w:rFonts w:ascii="Times New Roman" w:hAnsi="Times New Roman" w:cs="Times New Roman"/>
        </w:rPr>
      </w:pPr>
    </w:p>
    <w:p w14:paraId="5C6DF154" w14:textId="77777777" w:rsidR="00DB4331" w:rsidRDefault="00DB4331" w:rsidP="00DB4331">
      <w:pPr>
        <w:rPr>
          <w:rFonts w:ascii="Times New Roman" w:hAnsi="Times New Roman" w:cs="Times New Roman"/>
        </w:rPr>
      </w:pPr>
      <w:r>
        <w:rPr>
          <w:rFonts w:ascii="Times New Roman" w:hAnsi="Times New Roman" w:cs="Times New Roman"/>
          <w:b/>
          <w:bCs/>
        </w:rPr>
        <w:t>Supplementary Figure 4.</w:t>
      </w:r>
      <w:r>
        <w:rPr>
          <w:rFonts w:ascii="Times New Roman" w:hAnsi="Times New Roman" w:cs="Times New Roman"/>
        </w:rPr>
        <w:t xml:space="preserve"> Prognostic value of the 6-protein risk model. (A) Heatmap in the TCGA database, (B) Risk score curves in the TCGA database, (C) Dot diagrams in the TCGA database, (D) K–M survival curves in the TCGA database, (E) Comparison of prognostic accuracy between the signature and clinical characteristics, (F) Time-dependent ROC curve at 1, 3, and 5 years, (G) Classifications of sample in TCGA database, (H) K–M survival curves in different classifications of glioma samples.</w:t>
      </w:r>
    </w:p>
    <w:p w14:paraId="00D01CC1" w14:textId="77777777" w:rsidR="00DB4331" w:rsidRDefault="00DB4331" w:rsidP="00DB4331">
      <w:pPr>
        <w:rPr>
          <w:rFonts w:ascii="Times New Roman" w:hAnsi="Times New Roman" w:cs="Times New Roman"/>
        </w:rPr>
      </w:pPr>
    </w:p>
    <w:p w14:paraId="4AEBC78B" w14:textId="77777777" w:rsidR="00DB4331" w:rsidRDefault="00DB4331" w:rsidP="00DB4331">
      <w:pPr>
        <w:rPr>
          <w:rFonts w:ascii="Times New Roman" w:hAnsi="Times New Roman" w:cs="Times New Roman"/>
        </w:rPr>
      </w:pPr>
      <w:r>
        <w:rPr>
          <w:rFonts w:ascii="Times New Roman" w:hAnsi="Times New Roman" w:cs="Times New Roman"/>
          <w:b/>
          <w:bCs/>
        </w:rPr>
        <w:t>Supplementary Figure 5.</w:t>
      </w:r>
      <w:r>
        <w:rPr>
          <w:rFonts w:ascii="Times New Roman" w:hAnsi="Times New Roman" w:cs="Times New Roman"/>
        </w:rPr>
        <w:t xml:space="preserve"> The Kaplan–Meier survival analysis for the 6 proteins in the risk model. (A) The KM curve of BAX, (B) The KM curve of COG3, (C) The KM curve of IGFBP2, (D) The KM curve of MSH2, (E) The KM curve of SOX2, (F) The KM curve of VAV1.</w:t>
      </w:r>
    </w:p>
    <w:p w14:paraId="5252F883" w14:textId="77777777" w:rsidR="00DB4331" w:rsidRDefault="00DB4331" w:rsidP="00DB4331">
      <w:pPr>
        <w:rPr>
          <w:rFonts w:ascii="Times New Roman" w:hAnsi="Times New Roman" w:cs="Times New Roman"/>
        </w:rPr>
      </w:pPr>
    </w:p>
    <w:p w14:paraId="541496CD" w14:textId="77777777" w:rsidR="00DB4331" w:rsidRDefault="00DB4331" w:rsidP="00DB4331">
      <w:pPr>
        <w:rPr>
          <w:rFonts w:ascii="Times New Roman" w:hAnsi="Times New Roman" w:cs="Times New Roman"/>
        </w:rPr>
      </w:pPr>
      <w:r>
        <w:rPr>
          <w:rFonts w:ascii="Times New Roman" w:hAnsi="Times New Roman" w:cs="Times New Roman"/>
          <w:b/>
          <w:bCs/>
        </w:rPr>
        <w:t>Supplementary Figure 6.</w:t>
      </w:r>
      <w:r>
        <w:rPr>
          <w:rFonts w:ascii="Times New Roman" w:hAnsi="Times New Roman" w:cs="Times New Roman"/>
        </w:rPr>
        <w:t xml:space="preserve"> ROC analysis of 8-IRDEGs signature. (A) ROC analysis of 8-IRDEGs signature on OS at 0.5- (I), 0.75- (J), and 1-year (K) follow-up. (</w:t>
      </w:r>
      <w:proofErr w:type="gramStart"/>
      <w:r>
        <w:rPr>
          <w:rFonts w:ascii="Times New Roman" w:hAnsi="Times New Roman" w:cs="Times New Roman"/>
        </w:rPr>
        <w:t>person</w:t>
      </w:r>
      <w:proofErr w:type="gramEnd"/>
      <w:r>
        <w:rPr>
          <w:rFonts w:ascii="Times New Roman" w:hAnsi="Times New Roman" w:cs="Times New Roman"/>
        </w:rPr>
        <w:t xml:space="preserve"> correlation analysis, AUC, area under ROC curve), (B) Comparison of prognostic accuracy between the signature and clinical characteristics at 0.5-year. (C) Comparison of prognostic accuracy between the signature and clinical characteristics at 0.75-year. (D) Comparison of prognostic accuracy between the signature and clinical characteristics at 1-year.</w:t>
      </w:r>
    </w:p>
    <w:p w14:paraId="34EA0ED0" w14:textId="77777777" w:rsidR="00DB4331" w:rsidRDefault="00DB4331" w:rsidP="00DB4331">
      <w:pPr>
        <w:rPr>
          <w:rFonts w:ascii="Times New Roman" w:hAnsi="Times New Roman" w:cs="Times New Roman"/>
        </w:rPr>
      </w:pPr>
    </w:p>
    <w:p w14:paraId="12472153" w14:textId="77777777" w:rsidR="00DB4331" w:rsidRDefault="00DB4331" w:rsidP="00DB4331">
      <w:pPr>
        <w:rPr>
          <w:rFonts w:ascii="Times New Roman" w:hAnsi="Times New Roman" w:cs="Times New Roman"/>
        </w:rPr>
      </w:pPr>
      <w:r>
        <w:rPr>
          <w:rFonts w:ascii="Times New Roman" w:hAnsi="Times New Roman" w:cs="Times New Roman"/>
          <w:b/>
          <w:bCs/>
        </w:rPr>
        <w:t xml:space="preserve">Supplementary Figure 7. </w:t>
      </w:r>
      <w:r>
        <w:rPr>
          <w:rFonts w:ascii="Times New Roman" w:hAnsi="Times New Roman" w:cs="Times New Roman"/>
        </w:rPr>
        <w:t>Differential analysis of innate immune cells between the two risk groups. (A) Eosinophils, (B) Mast cells activated, (C) Mast cells resting, (D) Monocytes, (E) Differential expression of all immune cells between high and low risk groups.</w:t>
      </w:r>
    </w:p>
    <w:p w14:paraId="4DD625DF" w14:textId="77777777" w:rsidR="00DB4331" w:rsidRDefault="00DB4331" w:rsidP="00DB4331">
      <w:pPr>
        <w:rPr>
          <w:rFonts w:ascii="Times New Roman" w:hAnsi="Times New Roman" w:cs="Times New Roman"/>
        </w:rPr>
      </w:pPr>
    </w:p>
    <w:p w14:paraId="2B77C91C" w14:textId="77777777" w:rsidR="00DB4331" w:rsidRDefault="00DB4331" w:rsidP="00DB4331">
      <w:pPr>
        <w:rPr>
          <w:rFonts w:ascii="Times New Roman" w:hAnsi="Times New Roman" w:cs="Times New Roman"/>
        </w:rPr>
      </w:pPr>
      <w:r>
        <w:rPr>
          <w:rFonts w:ascii="Times New Roman" w:hAnsi="Times New Roman" w:cs="Times New Roman"/>
          <w:b/>
          <w:bCs/>
        </w:rPr>
        <w:t xml:space="preserve">Supplementary Figure 8. </w:t>
      </w:r>
      <w:r>
        <w:rPr>
          <w:rFonts w:ascii="Times New Roman" w:hAnsi="Times New Roman" w:cs="Times New Roman"/>
        </w:rPr>
        <w:t xml:space="preserve">The Kaplan-Meier survival analysis for innate immune functions. (A) The KM curve of the </w:t>
      </w:r>
      <w:proofErr w:type="spellStart"/>
      <w:r>
        <w:rPr>
          <w:rFonts w:ascii="Times New Roman" w:hAnsi="Times New Roman" w:cs="Times New Roman"/>
        </w:rPr>
        <w:t>aDCs</w:t>
      </w:r>
      <w:proofErr w:type="spellEnd"/>
      <w:r>
        <w:rPr>
          <w:rFonts w:ascii="Times New Roman" w:hAnsi="Times New Roman" w:cs="Times New Roman"/>
        </w:rPr>
        <w:t xml:space="preserve">, (B) The KM curve of the APC-co-inhibition, (C) The KM curve of the APC-co-stimulation (D) The KM curve of the CCR, (E) The KM curve of the check-point, (F) The KM curve of the Cytolytic activity, (G) The KM curve of the DCs, (H) The KM curve of the HLA, (I) The KM curve of the </w:t>
      </w:r>
      <w:proofErr w:type="spellStart"/>
      <w:r>
        <w:rPr>
          <w:rFonts w:ascii="Times New Roman" w:hAnsi="Times New Roman" w:cs="Times New Roman"/>
        </w:rPr>
        <w:t>iDCs</w:t>
      </w:r>
      <w:proofErr w:type="spellEnd"/>
      <w:r>
        <w:rPr>
          <w:rFonts w:ascii="Times New Roman" w:hAnsi="Times New Roman" w:cs="Times New Roman"/>
        </w:rPr>
        <w:t xml:space="preserve">, (J) The KM curve of the inflammation-promoting, (K) The KM curve of the Macrophage, (L) The KM curve of the Mast cells, (M) The KM curve of the MHC class I, (N) The KM curve of the Neutrophils, (O) The KM curve of the NK cells, (P) The KM curve of the </w:t>
      </w:r>
      <w:proofErr w:type="spellStart"/>
      <w:r>
        <w:rPr>
          <w:rFonts w:ascii="Times New Roman" w:hAnsi="Times New Roman" w:cs="Times New Roman"/>
        </w:rPr>
        <w:lastRenderedPageBreak/>
        <w:t>Parainflammation</w:t>
      </w:r>
      <w:proofErr w:type="spellEnd"/>
      <w:r>
        <w:rPr>
          <w:rFonts w:ascii="Times New Roman" w:hAnsi="Times New Roman" w:cs="Times New Roman"/>
        </w:rPr>
        <w:t xml:space="preserve">. (Q) The KM curve of the </w:t>
      </w:r>
      <w:proofErr w:type="spellStart"/>
      <w:r>
        <w:rPr>
          <w:rFonts w:ascii="Times New Roman" w:hAnsi="Times New Roman" w:cs="Times New Roman"/>
        </w:rPr>
        <w:t>pDCs</w:t>
      </w:r>
      <w:proofErr w:type="spellEnd"/>
      <w:r>
        <w:rPr>
          <w:rFonts w:ascii="Times New Roman" w:hAnsi="Times New Roman" w:cs="Times New Roman"/>
        </w:rPr>
        <w:t>. (P-values were calculated using the log-rank test. HR, hazard ratio)</w:t>
      </w:r>
    </w:p>
    <w:p w14:paraId="2D6AFCA2" w14:textId="77777777" w:rsidR="00DB4331" w:rsidRDefault="00DB4331" w:rsidP="00DB4331">
      <w:pPr>
        <w:rPr>
          <w:rFonts w:ascii="Times New Roman" w:hAnsi="Times New Roman" w:cs="Times New Roman"/>
          <w:b/>
          <w:bCs/>
        </w:rPr>
      </w:pPr>
    </w:p>
    <w:p w14:paraId="7C6A94EF" w14:textId="77777777" w:rsidR="00DB4331" w:rsidRDefault="00DB4331" w:rsidP="00DB4331">
      <w:pPr>
        <w:rPr>
          <w:rFonts w:ascii="Times New Roman" w:hAnsi="Times New Roman" w:cs="Times New Roman"/>
        </w:rPr>
      </w:pPr>
      <w:r>
        <w:rPr>
          <w:rFonts w:ascii="Times New Roman" w:hAnsi="Times New Roman" w:cs="Times New Roman"/>
          <w:b/>
          <w:bCs/>
        </w:rPr>
        <w:t>Supplementary Figure 9.</w:t>
      </w:r>
      <w:r>
        <w:rPr>
          <w:rFonts w:ascii="Times New Roman" w:hAnsi="Times New Roman" w:cs="Times New Roman"/>
        </w:rPr>
        <w:t xml:space="preserve"> The difference of immune functions between the high-risk and low-risk subgroups.</w:t>
      </w:r>
    </w:p>
    <w:p w14:paraId="1FE09CF9" w14:textId="77777777" w:rsidR="00DB4331" w:rsidRDefault="00DB4331" w:rsidP="00DB4331">
      <w:pPr>
        <w:rPr>
          <w:rFonts w:ascii="Times New Roman" w:hAnsi="Times New Roman" w:cs="Times New Roman"/>
          <w:b/>
          <w:bCs/>
          <w:sz w:val="24"/>
          <w:szCs w:val="24"/>
        </w:rPr>
      </w:pPr>
    </w:p>
    <w:p w14:paraId="06F2B196" w14:textId="77777777" w:rsidR="00DB4331" w:rsidRDefault="00DB4331" w:rsidP="00DB4331">
      <w:pPr>
        <w:rPr>
          <w:rFonts w:ascii="Times New Roman" w:hAnsi="Times New Roman" w:cs="Times New Roman"/>
          <w:b/>
          <w:bCs/>
          <w:szCs w:val="21"/>
        </w:rPr>
      </w:pPr>
      <w:r>
        <w:rPr>
          <w:rFonts w:ascii="Times New Roman" w:hAnsi="Times New Roman" w:cs="Times New Roman" w:hint="eastAsia"/>
          <w:b/>
          <w:bCs/>
          <w:szCs w:val="21"/>
        </w:rPr>
        <w:t>Ta</w:t>
      </w:r>
      <w:r>
        <w:rPr>
          <w:rFonts w:ascii="Times New Roman" w:hAnsi="Times New Roman" w:cs="Times New Roman"/>
          <w:b/>
          <w:bCs/>
          <w:szCs w:val="21"/>
        </w:rPr>
        <w:t>ble legend</w:t>
      </w:r>
    </w:p>
    <w:p w14:paraId="279372A7" w14:textId="77777777" w:rsidR="00DB4331" w:rsidRDefault="00DB4331" w:rsidP="00DB4331">
      <w:pPr>
        <w:rPr>
          <w:rFonts w:ascii="Times New Roman" w:hAnsi="Times New Roman" w:cs="Times New Roman"/>
          <w:szCs w:val="21"/>
        </w:rPr>
      </w:pPr>
      <w:r>
        <w:rPr>
          <w:rFonts w:ascii="Times New Roman" w:hAnsi="Times New Roman" w:cs="Times New Roman"/>
          <w:szCs w:val="21"/>
        </w:rPr>
        <w:t>Table S1. Protein expression of Renji cohort</w:t>
      </w:r>
    </w:p>
    <w:p w14:paraId="5EA23C1F" w14:textId="77777777" w:rsidR="00DB4331" w:rsidRDefault="00DB4331" w:rsidP="00DB4331">
      <w:pPr>
        <w:rPr>
          <w:rFonts w:ascii="Times New Roman" w:hAnsi="Times New Roman" w:cs="Times New Roman"/>
          <w:szCs w:val="21"/>
        </w:rPr>
      </w:pPr>
      <w:r>
        <w:rPr>
          <w:rFonts w:ascii="Times New Roman" w:hAnsi="Times New Roman" w:cs="Times New Roman"/>
          <w:szCs w:val="21"/>
        </w:rPr>
        <w:t>Table S2. Protein quantitation</w:t>
      </w:r>
    </w:p>
    <w:p w14:paraId="10E947BB" w14:textId="77777777" w:rsidR="00DB4331" w:rsidRDefault="00DB4331" w:rsidP="00DB4331">
      <w:pPr>
        <w:rPr>
          <w:rFonts w:ascii="Times New Roman" w:hAnsi="Times New Roman" w:cs="Times New Roman"/>
          <w:szCs w:val="21"/>
        </w:rPr>
      </w:pPr>
      <w:r>
        <w:rPr>
          <w:rFonts w:ascii="Times New Roman" w:hAnsi="Times New Roman" w:cs="Times New Roman"/>
          <w:szCs w:val="21"/>
        </w:rPr>
        <w:t>Table S3. Risk score of each protein</w:t>
      </w:r>
    </w:p>
    <w:p w14:paraId="60719BEF" w14:textId="77777777" w:rsidR="00DB4331" w:rsidRDefault="00DB4331" w:rsidP="00DB4331">
      <w:pPr>
        <w:rPr>
          <w:rFonts w:ascii="Times New Roman" w:hAnsi="Times New Roman" w:cs="Times New Roman"/>
          <w:szCs w:val="21"/>
        </w:rPr>
      </w:pPr>
      <w:r>
        <w:rPr>
          <w:rFonts w:ascii="Times New Roman" w:hAnsi="Times New Roman" w:cs="Times New Roman"/>
          <w:szCs w:val="21"/>
        </w:rPr>
        <w:t>Table S4. Risk score of each sample in TCGA database</w:t>
      </w:r>
    </w:p>
    <w:p w14:paraId="66B9D1D6" w14:textId="77777777" w:rsidR="000E6DCB" w:rsidRPr="00DB4331" w:rsidRDefault="000E6DCB"/>
    <w:sectPr w:rsidR="000E6DCB" w:rsidRPr="00DB43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2MzcwMzazNDIxsrBQ0lEKTi0uzszPAykwqgUAMdAJwywAAAA="/>
  </w:docVars>
  <w:rsids>
    <w:rsidRoot w:val="00DB4331"/>
    <w:rsid w:val="000E6DCB"/>
    <w:rsid w:val="00DB4331"/>
    <w:rsid w:val="00DC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1D65"/>
  <w15:chartTrackingRefBased/>
  <w15:docId w15:val="{AABD6CA1-FC56-4EA1-A664-5826FE7D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3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1481924628@qq.com</dc:creator>
  <cp:keywords/>
  <dc:description/>
  <cp:lastModifiedBy>1481924628@qq.com</cp:lastModifiedBy>
  <cp:revision>2</cp:revision>
  <dcterms:created xsi:type="dcterms:W3CDTF">2022-12-01T11:17:00Z</dcterms:created>
  <dcterms:modified xsi:type="dcterms:W3CDTF">2022-12-01T11:24:00Z</dcterms:modified>
</cp:coreProperties>
</file>