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977BC" w14:textId="1F8E2367" w:rsidR="007837EF" w:rsidRPr="00091C41" w:rsidRDefault="003A486D" w:rsidP="0089245B">
      <w:pPr>
        <w:pStyle w:val="Heading1"/>
      </w:pPr>
      <w:r w:rsidRPr="00091C41">
        <w:t>Supporting information</w:t>
      </w:r>
    </w:p>
    <w:p w14:paraId="39AA27F7" w14:textId="77777777" w:rsidR="00D979A5" w:rsidRPr="00091C41" w:rsidRDefault="00D979A5" w:rsidP="00D979A5">
      <w:r w:rsidRPr="00091C41">
        <w:t>The R-factor (</w:t>
      </w:r>
      <w:proofErr w:type="spellStart"/>
      <w:r w:rsidRPr="00091C41">
        <w:t>MJ·mm·ha</w:t>
      </w:r>
      <w:proofErr w:type="spellEnd"/>
      <w:r w:rsidRPr="00091C41">
        <w:rPr>
          <w:vertAlign w:val="superscript"/>
        </w:rPr>
        <w:t>–1</w:t>
      </w:r>
      <w:r w:rsidRPr="00091C41">
        <w:t>·h</w:t>
      </w:r>
      <w:r w:rsidRPr="00091C41">
        <w:rPr>
          <w:vertAlign w:val="superscript"/>
        </w:rPr>
        <w:t>−1</w:t>
      </w:r>
      <w:r w:rsidRPr="00091C41">
        <w:t xml:space="preserve"> yr</w:t>
      </w:r>
      <w:r w:rsidRPr="00091C41">
        <w:rPr>
          <w:vertAlign w:val="superscript"/>
        </w:rPr>
        <w:t>−1</w:t>
      </w:r>
      <w:r w:rsidRPr="00091C41">
        <w:t xml:space="preserve">) is a multi-annual average index that measures rainfall's kinetic energy and intensity to describe rainfall's effect on sheet and rill erosion </w:t>
      </w:r>
      <w:r w:rsidRPr="00091C41">
        <w:fldChar w:fldCharType="begin"/>
      </w:r>
      <w:r w:rsidRPr="00091C41">
        <w:instrText xml:space="preserve"> ADDIN ZOTERO_ITEM CSL_CITATION {"citationID":"2YgkWk7P","properties":{"formattedCitation":"(Wischmeier and Smith, 1978)","plainCitation":"(Wischmeier and Smith, 1978)","noteIndex":0},"citationItems":[{"id":120,"uris":["http://zotero.org/users/6696073/items/2BL26MIM"],"itemData":{"id":120,"type":"book","abstract":"The Universal Soil Loss Equation (USLE) enables planners to predict the average rate of soil erosion for each feasible alternative combination of crop system and management practices in association with a specified soil type, rainfall pattern, and topography. When these predicted losses are compared with given soil loss tolerances, they provide specific guidelines for effecting erosion control within specified limits. The equation groups the numerous interrelated physical and management parameters that influence erosion rate under six major factors whose site-specific values can be expressed numerically. A half century of erosion research in many States has supplied information from which at least approximate values of the USLE factors can be obtained for specified farm fields or other small erosion prone areas throughout the United States. Tables and charts presented in this handbook make this information readily available for field use. Significant limitations in the available data are identified.","language":"en","note":"Google-Books-ID: rRAUAAAAYAAJ","number-of-pages":"72","publisher":"Department of Agriculture, Science and Education Administration","source":"Google Books","title":"Predicting Rainfall Erosion Losses: A Guide to Conservation Planning","title-short":"Predicting Rainfall Erosion Losses","author":[{"family":"Wischmeier","given":"Walter H."},{"family":"Smith","given":"Dwight David"}],"issued":{"date-parts":[["1978"]]},"citation-key":"wischmeierPredictingRainfallErosion1978"}}],"schema":"https://github.com/citation-style-language/schema/raw/master/csl-citation.json"} </w:instrText>
      </w:r>
      <w:r w:rsidRPr="00091C41">
        <w:fldChar w:fldCharType="separate"/>
      </w:r>
      <w:r w:rsidRPr="00091C41">
        <w:rPr>
          <w:rFonts w:cs="Times New Roman"/>
        </w:rPr>
        <w:t>(Wischmeier and Smith, 1978)</w:t>
      </w:r>
      <w:r w:rsidRPr="00091C41">
        <w:fldChar w:fldCharType="end"/>
      </w:r>
      <w:r w:rsidRPr="00091C41">
        <w:t xml:space="preserve">. However, in the whole Former Soviet Union and Caucasus region, meteorological stations that measure rainfall intensity and kinetic energy at short time intervals are limited. Thus, spatial interpolation of point data is not a good option. In such data-sparse regions, integrating gauge measurements with satellite-based rainfall estimates </w:t>
      </w:r>
      <w:r w:rsidRPr="00091C41">
        <w:fldChar w:fldCharType="begin"/>
      </w:r>
      <w:r w:rsidRPr="00091C41">
        <w:instrText xml:space="preserve"> ADDIN ZOTERO_ITEM CSL_CITATION {"citationID":"4GtasOy8","properties":{"formattedCitation":"(Haregeweyn et al., 2017; Vrieling et al., 2010)","plainCitation":"(Haregeweyn et al., 2017; Vrieling et al., 2010)","noteIndex":0},"citationItems":[{"id":235,"uris":["http://zotero.org/users/6696073/items/YHCHKRYJ"],"itemData":{"id":235,"type":"article-journal","abstract":"In the drought-prone Upper Blue Nile River (UBNR) basin of Ethiopia, soil erosion by water results in significant consequences that also affect downstream countries. However, there have been limited comprehensive studies of this and other basins with diverse agroecologies. We analyzed the variability of gross soil loss and sediment yield rates under present and expected future conditions using a newly devised methodological framework. The results showed that the basin generates an average soil loss rate of 27.5tha−1yr−1 and a gross soil loss of ca. 473Mtyr−1, of which, at least 10% comes from gully erosion and 26.7% leaves Ethiopia. In a factor analysis, variation in agroecology (average factor score=1.32) and slope (1.28) were the two factors most responsible for this high spatial variability. About 39% of the basin area is experiencing severe to very severe (&gt;30tha−1yr−1) soil erosion risk, which is strongly linked to population density. Severe or very severe soil erosion affects the largest proportion of land in three subbasins of the UBNR basin: Blue Nile 4 (53.9%), Blue Nile 3 (45.1%), and Jema Shet (42.5%). If appropriate soil and water conservation practices targeted ca. 77.3% of the area with moderate to severe erosion (&gt;15tha−1yr−1), the total soil loss from the basin could be reduced by ca. 52%. Our methodological framework identified the potential risk for soil erosion in large-scale zones, and with a more sophisticated model and input data of higher spatial and temporal resolution, results could be specified locally within these risk zones. Accurate assessment of soil erosion in the UBNR basin would support sustainable use of the basin's land resources and possibly open up prospects for cooperation in the Eastern Nile region.","container-title":"Science of The Total Environment","DOI":"10.1016/j.scitotenv.2016.09.019","ISSN":"0048-9697","journalAbbreviation":"Science of The Total Environment","language":"en","page":"95-108","source":"ScienceDirect","title":"Comprehensive assessment of soil erosion risk for better land use planning in river basins: Case study of the Upper Blue Nile River","title-short":"Comprehensive assessment of soil erosion risk for better land use planning in river basins","volume":"574","author":[{"family":"Haregeweyn","given":"Nigussie"},{"family":"Tsunekawa","given":"Atsushi"},{"family":"Poesen","given":"Jean"},{"family":"Tsubo","given":"Mitsuru"},{"family":"Meshesha","given":"Derege Tsegaye"},{"family":"Fenta","given":"Ayele Almaw"},{"family":"Nyssen","given":"Jan"},{"family":"Adgo","given":"Enyew"}],"issued":{"date-parts":[["2017",1,1]]},"citation-key":"haregeweynComprehensiveAssessmentSoil2017"}},{"id":234,"uris":["http://zotero.org/users/6696073/items/BSC6QEVJ"],"itemData":{"id":234,"type":"article-journal","abstract":"Rainfall erosivity is a measure for the erosive force of rainfall. Rainfall kinetic energy determines the erosivity and is in turn greatly dependent on rainfall intensity. Attempts for its large-scale mapping are rare. Most are based on interpolation of erosivity values derived from rain gauge data. For data-poor regions this is not an option. This study examines whether erosivity can be accurately mapped for Africa using 3-hourly TRMM Multi-satellite Precipitation Analysis (TMPA) precipitation data. Using intensity–erosivity relationships and 11years of TMPA data (1998–2008) we calculated average annual erosivity. We also calculated erosivity from the monthly TMPA data product using the often-applied Fournier and modified Fournier indices. From literature 39 locations with long-term erosivity values were retrieved. Comparison showed that the modified Fournier index attains a much stronger correlation (r=0.84) than the results based on 3-hourly data (r=0.71). We conclude that (1) the 3-hourly and 0.25-degree TMPA data provide insufficient detail to represent high-intensity erosive events and (2) monthly satellite-based precipitation provides good spatial estimates of average annual erosivity.","container-title":"Journal of Hydrology","DOI":"10.1016/j.jhydrol.2010.10.035","ISSN":"0022-1694","issue":"3","journalAbbreviation":"Journal of Hydrology","language":"en","page":"235-241","source":"ScienceDirect","title":"Satellite-based estimation of rainfall erosivity for Africa","volume":"395","author":[{"family":"Vrieling","given":"Anton"},{"family":"Sterk","given":"Geert"},{"family":"Jong","given":"Steven M.","non-dropping-particle":"de"}],"issued":{"date-parts":[["2010",12,15]]},"citation-key":"vrielingSatellitebasedEstimationRainfall2010a"}}],"schema":"https://github.com/citation-style-language/schema/raw/master/csl-citation.json"} </w:instrText>
      </w:r>
      <w:r w:rsidRPr="00091C41">
        <w:fldChar w:fldCharType="separate"/>
      </w:r>
      <w:r w:rsidRPr="00091C41">
        <w:rPr>
          <w:rFonts w:cs="Times New Roman"/>
        </w:rPr>
        <w:t>(Haregeweyn et al., 2017; Vrieling et al., 2010)</w:t>
      </w:r>
      <w:r w:rsidRPr="00091C41">
        <w:fldChar w:fldCharType="end"/>
      </w:r>
      <w:r w:rsidRPr="00091C41">
        <w:t xml:space="preserve"> could better map rainfall erosivity.</w:t>
      </w:r>
    </w:p>
    <w:p w14:paraId="4FCBFB02" w14:textId="77777777" w:rsidR="00D979A5" w:rsidRPr="00091C41" w:rsidRDefault="00D979A5" w:rsidP="00D979A5">
      <w:r w:rsidRPr="00091C41">
        <w:t xml:space="preserve">This study used the R-factor map produced based on a relationship between long-term R-factor values calculated from meteorological station data in the North Caucasus region and an erosivity index derived from a multi-source satellite rainfall product </w:t>
      </w:r>
      <w:proofErr w:type="spellStart"/>
      <w:r w:rsidRPr="00091C41">
        <w:t>TerraClimate</w:t>
      </w:r>
      <w:proofErr w:type="spellEnd"/>
      <w:r w:rsidRPr="00091C41">
        <w:t xml:space="preserve"> </w:t>
      </w:r>
      <w:r w:rsidRPr="00091C41">
        <w:fldChar w:fldCharType="begin"/>
      </w:r>
      <w:r w:rsidRPr="00091C41">
        <w:instrText xml:space="preserve"> ADDIN ZOTERO_ITEM CSL_CITATION {"citationID":"0mN4nQ5u","properties":{"formattedCitation":"(Abatzoglou et al., 2018)","plainCitation":"(Abatzoglou et al., 2018)","noteIndex":0},"citationItems":[{"id":253,"uris":["http://zotero.org/users/6696073/items/YQVWBCAZ"],"itemData":{"id":253,"type":"article-journal","abstract":"We present TerraClimate, a dataset of high-spatial resolution (1/24°, ~4-km) monthly climate and climatic water balance for global terrestrial surfaces from 1958–2015. TerraClimate uses climatically aided interpolation, combining high-spatial resolution climatological normals from the WorldClim dataset, with coarser resolution time varying (i.e., monthly) data from other sources to produce a monthly dataset of precipitation, maximum and minimum temperature, wind speed, vapor pressure, and solar radiation. TerraClimate additionally produces monthly surface water balance datasets using a water balance model that incorporates reference evapotranspiration, precipitation, temperature, and interpolated plant extractable soil water capacity. These data provide important inputs for ecological and hydrological studies at global scales that require high spatial resolution and time varying climate and climatic water balance data. We validated spatiotemporal aspects of TerraClimate using annual temperature, precipitation, and calculated reference evapotranspiration from station data, as well as annual runoff from streamflow gauges. TerraClimate datasets showed noted improvement in overall mean absolute error and increased spatial realism relative to coarser resolution gridded datasets.","container-title":"Scientific Data","DOI":"10.1038/sdata.2017.191","ISSN":"2052-4463","issue":"1","language":"en","license":"2018 The Author(s)","note":"number: 1\npublisher: Nature Publishing Group","page":"170191","source":"www.nature.com","title":"TerraClimate, a high-resolution global dataset of monthly climate and climatic water balance from 1958–2015","volume":"5","author":[{"family":"Abatzoglou","given":"John T."},{"family":"Dobrowski","given":"Solomon Z."},{"family":"Parks","given":"Sean A."},{"family":"Hegewisch","given":"Katherine C."}],"issued":{"date-parts":[["2018",1,9]]},"citation-key":"abatzoglouTerraClimateHighresolutionGlobal2018"}}],"schema":"https://github.com/citation-style-language/schema/raw/master/csl-citation.json"} </w:instrText>
      </w:r>
      <w:r w:rsidRPr="00091C41">
        <w:fldChar w:fldCharType="separate"/>
      </w:r>
      <w:r w:rsidRPr="00091C41">
        <w:rPr>
          <w:rFonts w:cs="Times New Roman"/>
        </w:rPr>
        <w:t>(</w:t>
      </w:r>
      <w:proofErr w:type="spellStart"/>
      <w:r w:rsidRPr="00091C41">
        <w:rPr>
          <w:rFonts w:cs="Times New Roman"/>
        </w:rPr>
        <w:t>Abatzoglou</w:t>
      </w:r>
      <w:proofErr w:type="spellEnd"/>
      <w:r w:rsidRPr="00091C41">
        <w:rPr>
          <w:rFonts w:cs="Times New Roman"/>
        </w:rPr>
        <w:t xml:space="preserve"> et al., 2018)</w:t>
      </w:r>
      <w:r w:rsidRPr="00091C41">
        <w:fldChar w:fldCharType="end"/>
      </w:r>
      <w:r w:rsidRPr="00091C41">
        <w:t xml:space="preserve">. Data of R-factor values (1961-1983 average rainfall erosivity) from 5 sub-hourly gauging stations representing different climatic zones of the study area were compiled from published sources </w:t>
      </w:r>
      <w:r w:rsidRPr="00091C41">
        <w:fldChar w:fldCharType="begin"/>
      </w:r>
      <w:r w:rsidRPr="00091C41">
        <w:instrText xml:space="preserve"> ADDIN ZOTERO_ITEM CSL_CITATION {"citationID":"Zy8QfluT","properties":{"formattedCitation":"(Larionov, 1993)","plainCitation":"(Larionov, 1993)","noteIndex":0},"citationItems":[{"id":150,"uris":["http://zotero.org/users/6696073/items/DJN2Z5X6"],"itemData":{"id":150,"type":"book","event-place":"Moscow","ISBN":"5-211-02467-2","number-of-pages":"200","publisher":"Lomonosov Moscow State University","publisher-place":"Moscow","title":"Soil erosion and deflation","author":[{"family":"Larionov","given":"G. A."}],"issued":{"date-parts":[["1993"]]},"citation-key":"larionovSoilErosionDeflation1993"}}],"schema":"https://github.com/citation-style-language/schema/raw/master/csl-citation.json"} </w:instrText>
      </w:r>
      <w:r w:rsidRPr="00091C41">
        <w:fldChar w:fldCharType="separate"/>
      </w:r>
      <w:r w:rsidRPr="00091C41">
        <w:rPr>
          <w:rFonts w:cs="Times New Roman"/>
        </w:rPr>
        <w:t>(Larionov, 1993)</w:t>
      </w:r>
      <w:r w:rsidRPr="00091C41">
        <w:fldChar w:fldCharType="end"/>
      </w:r>
      <w:r w:rsidRPr="00091C41">
        <w:t>.</w:t>
      </w:r>
    </w:p>
    <w:p w14:paraId="5F69521E" w14:textId="77777777" w:rsidR="00D979A5" w:rsidRPr="00091C41" w:rsidRDefault="00D979A5" w:rsidP="00D979A5">
      <w:r w:rsidRPr="00091C41">
        <w:t xml:space="preserve">A 2018 study reported that the overall accuracy of the </w:t>
      </w:r>
      <w:proofErr w:type="spellStart"/>
      <w:r w:rsidRPr="00091C41">
        <w:t>TerraClimate</w:t>
      </w:r>
      <w:proofErr w:type="spellEnd"/>
      <w:r w:rsidRPr="00091C41">
        <w:t xml:space="preserve"> precipitation dataset is 9.1% </w:t>
      </w:r>
      <w:r w:rsidRPr="00091C41">
        <w:fldChar w:fldCharType="begin"/>
      </w:r>
      <w:r w:rsidRPr="00091C41">
        <w:instrText xml:space="preserve"> ADDIN ZOTERO_ITEM CSL_CITATION {"citationID":"NkoPcJFp","properties":{"formattedCitation":"(Abatzoglou et al., 2018)","plainCitation":"(Abatzoglou et al., 2018)","noteIndex":0},"citationItems":[{"id":253,"uris":["http://zotero.org/users/6696073/items/YQVWBCAZ"],"itemData":{"id":253,"type":"article-journal","abstract":"We present TerraClimate, a dataset of high-spatial resolution (1/24°, ~4-km) monthly climate and climatic water balance for global terrestrial surfaces from 1958–2015. TerraClimate uses climatically aided interpolation, combining high-spatial resolution climatological normals from the WorldClim dataset, with coarser resolution time varying (i.e., monthly) data from other sources to produce a monthly dataset of precipitation, maximum and minimum temperature, wind speed, vapor pressure, and solar radiation. TerraClimate additionally produces monthly surface water balance datasets using a water balance model that incorporates reference evapotranspiration, precipitation, temperature, and interpolated plant extractable soil water capacity. These data provide important inputs for ecological and hydrological studies at global scales that require high spatial resolution and time varying climate and climatic water balance data. We validated spatiotemporal aspects of TerraClimate using annual temperature, precipitation, and calculated reference evapotranspiration from station data, as well as annual runoff from streamflow gauges. TerraClimate datasets showed noted improvement in overall mean absolute error and increased spatial realism relative to coarser resolution gridded datasets.","container-title":"Scientific Data","DOI":"10.1038/sdata.2017.191","ISSN":"2052-4463","issue":"1","language":"en","license":"2018 The Author(s)","note":"number: 1\npublisher: Nature Publishing Group","page":"170191","source":"www.nature.com","title":"TerraClimate, a high-resolution global dataset of monthly climate and climatic water balance from 1958–2015","volume":"5","author":[{"family":"Abatzoglou","given":"John T."},{"family":"Dobrowski","given":"Solomon Z."},{"family":"Parks","given":"Sean A."},{"family":"Hegewisch","given":"Katherine C."}],"issued":{"date-parts":[["2018",1,9]]},"citation-key":"abatzoglouTerraClimateHighresolutionGlobal2018"}}],"schema":"https://github.com/citation-style-language/schema/raw/master/csl-citation.json"} </w:instrText>
      </w:r>
      <w:r w:rsidRPr="00091C41">
        <w:fldChar w:fldCharType="separate"/>
      </w:r>
      <w:r w:rsidRPr="00091C41">
        <w:rPr>
          <w:rFonts w:cs="Times New Roman"/>
        </w:rPr>
        <w:t>(Abatzoglou et al., 2018)</w:t>
      </w:r>
      <w:r w:rsidRPr="00091C41">
        <w:fldChar w:fldCharType="end"/>
      </w:r>
      <w:r w:rsidRPr="00091C41">
        <w:t xml:space="preserve">. Independent studies afterwards confirmed the data set's sufficient quality </w:t>
      </w:r>
      <w:r w:rsidRPr="00091C41">
        <w:fldChar w:fldCharType="begin"/>
      </w:r>
      <w:r w:rsidRPr="00091C41">
        <w:instrText xml:space="preserve"> ADDIN ZOTERO_ITEM CSL_CITATION {"citationID":"Sp8XHi3w","properties":{"formattedCitation":"(Dubey et al., 2021; Zhao et al., 2019)","plainCitation":"(Dubey et al., 2021; Zhao et al., 2019)","noteIndex":0},"citationItems":[{"id":582,"uris":["http://zotero.org/users/6696073/items/J23ZLVVW"],"itemData":{"id":582,"type":"article-journal","container-title":"International Journal of Climatology","DOI":"10.1002/joc.7102","ISSN":"0899-8418, 1097-0088","issue":"10","journalAbbreviation":"Int J Climatol","language":"en","page":"4844-4863","source":"DOI.org (Crossref)","title":"Evaluation of precipitation datasets available on Google earth engine over India","volume":"41","author":[{"family":"Dubey","given":"Saket"},{"family":"Gupta","given":"Harshit"},{"family":"Goyal","given":"Manish Kumar"},{"family":"Joshi","given":"Nitin"}],"issued":{"date-parts":[["2021",8]]},"citation-key":"dubeyEvaluationPrecipitationDatasets2021"}},{"id":581,"uris":["http://zotero.org/users/6696073/items/4FRJHPX7"],"itemData":{"id":581,"type":"article-journal","abstract":"Precipitation (P) and evapotranspiration (ET) are the key factors determining water availability for water resource management activities in river basins. While global P and ET data products have become more accessible, their performances in river basins with a diverse climate and landscape remain less discussed. This paper evaluated the performance of four representative global P (CHIRPSP, GLDASP, TRMMP and PersiannP) and ET products (CSIROET, GLDASET, MODET and TerraClimateET) against the reference data provided by the Australian Water Availability Project (AWAP) in the Murray Darling Basin (MDB) of Australia. The disparities among the data products both in the period from 2001 to 2016 and across the 22 catchments of MDB were related to a set of catchment characteristics (climate, terrain, etc.) to explore any possible contributors. The results show that the four global P products presented overall high consistency with AWAPP across the MDB catchments except in southeastern catchments with abundant rainfalls and large terrain variations. The Penman–Monteith algorithm based MODET underestimated ET in the MDB, especially in the arid, less vegetation covered catchments. While the CSIROET, which also estimated with the Penman–Monteith method, presented overall better estimations, which can be attributed to the better parameterization of the landscape in the simulation processes. The hydrological model based TerraClimateET showed overall good consistency with AWAPET except in the arid catchments, which might be attributed to the simplified water balance model it applied, however it did not adequately reflect the intensive ground water uses in these catchments. The findings indicated that basin and catchment characteristics had impacts on the accuracy of global products and therefore provided important implications for choosing appropriate product and/or conducting field calibrations for potential users in large basins characterized with diverse rainfall, terrain variations and land use patterns.","container-title":"Remote Sensing","DOI":"10.3390/rs11091077","ISSN":"2072-4292","issue":"9","language":"en","license":"http://creativecommons.org/licenses/by/3.0/","note":"number: 9\npublisher: Multidisciplinary Digital Publishing Institute","page":"1077","source":"www.mdpi.com","title":"An Assessment of Global Precipitation and Evapotranspiration Products for Regional Applications","volume":"11","author":[{"family":"Zhao","given":"Yan"},{"family":"Lu","given":"Zhixiang"},{"family":"Wei","given":"Yongping"}],"issued":{"date-parts":[["2019",1]]},"citation-key":"zhaoAssessmentGlobalPrecipitation2019"}}],"schema":"https://github.com/citation-style-language/schema/raw/master/csl-citation.json"} </w:instrText>
      </w:r>
      <w:r w:rsidRPr="00091C41">
        <w:fldChar w:fldCharType="separate"/>
      </w:r>
      <w:r w:rsidRPr="00091C41">
        <w:rPr>
          <w:rFonts w:cs="Times New Roman"/>
        </w:rPr>
        <w:t>(Dubey et al., 2021; Zhao et al., 2019)</w:t>
      </w:r>
      <w:r w:rsidRPr="00091C41">
        <w:fldChar w:fldCharType="end"/>
      </w:r>
      <w:r w:rsidRPr="00091C41">
        <w:t xml:space="preserve">. However, we have not found any quality assessment of the </w:t>
      </w:r>
      <w:proofErr w:type="spellStart"/>
      <w:r w:rsidRPr="00091C41">
        <w:t>TerraClimate</w:t>
      </w:r>
      <w:proofErr w:type="spellEnd"/>
      <w:r w:rsidRPr="00091C41">
        <w:t xml:space="preserve"> for the Caucasus region. To tackle this research gap, we compared measured monthly precipitation at several meteorological stations with </w:t>
      </w:r>
      <w:proofErr w:type="spellStart"/>
      <w:r w:rsidRPr="00091C41">
        <w:t>TerraClimate</w:t>
      </w:r>
      <w:proofErr w:type="spellEnd"/>
      <w:r w:rsidRPr="00091C41">
        <w:t xml:space="preserve">. Precipitation data were obtained from NOAA NCDC climate data </w:t>
      </w:r>
      <w:r w:rsidRPr="00091C41">
        <w:fldChar w:fldCharType="begin"/>
      </w:r>
      <w:r w:rsidRPr="00091C41">
        <w:instrText xml:space="preserve"> ADDIN ZOTERO_ITEM CSL_CITATION {"citationID":"waJOuFEQ","properties":{"formattedCitation":"(Anon, 2021)","plainCitation":"(Anon, 2021)","noteIndex":0},"citationItems":[{"id":580,"uris":["http://zotero.org/users/6696073/items/I67VWJKH"],"itemData":{"id":580,"type":"webpage","abstract":"The Global Historical Climatology Network daily (GHCNd) is an integrated database of daily climate summaries from land surface stations across the globe. GHCNd is made up of daily climate records from numerous sources that have been integrated and subjected to a common suite of quality assurance reviews.","container-title":"National Centers for Environmental Information (NCEI)","language":"en","title":"Global Historical Climatology Network daily (GHCNd)","URL":"http://www.ncei.noaa.gov/products/land-based-station/global-historical-climatology-network-daily","accessed":{"date-parts":[["2022",2,2]]},"issued":{"date-parts":[["2021",3,1]]},"citation-key":"GlobalHistoricalClimatology2021"}}],"schema":"https://github.com/citation-style-language/schema/raw/master/csl-citation.json"} </w:instrText>
      </w:r>
      <w:r w:rsidRPr="00091C41">
        <w:fldChar w:fldCharType="separate"/>
      </w:r>
      <w:r w:rsidRPr="00091C41">
        <w:rPr>
          <w:rFonts w:cs="Times New Roman"/>
        </w:rPr>
        <w:t>(Anon, 2021)</w:t>
      </w:r>
      <w:r w:rsidRPr="00091C41">
        <w:fldChar w:fldCharType="end"/>
      </w:r>
      <w:r w:rsidRPr="00091C41">
        <w:t xml:space="preserve"> using the </w:t>
      </w:r>
      <w:proofErr w:type="spellStart"/>
      <w:r w:rsidRPr="00091C41">
        <w:t>rnoaa</w:t>
      </w:r>
      <w:proofErr w:type="spellEnd"/>
      <w:r w:rsidRPr="00091C41">
        <w:t xml:space="preserve"> R package </w:t>
      </w:r>
      <w:r w:rsidRPr="00091C41">
        <w:fldChar w:fldCharType="begin"/>
      </w:r>
      <w:r w:rsidRPr="00091C41">
        <w:instrText xml:space="preserve"> ADDIN ZOTERO_ITEM CSL_CITATION {"citationID":"MlwZuR33","properties":{"formattedCitation":"(Chamberlain, 2021)","plainCitation":"(Chamberlain, 2021)","noteIndex":0},"citationItems":[{"id":583,"uris":["http://zotero.org/users/6696073/items/DE5RGSR5"],"itemData":{"id":583,"type":"book","title":"rnoaa: 'NOAA' Weather Data from R","URL":"https://CRAN.R-project.org/package=rnoaa","author":[{"family":"Chamberlain","given":"Scott"}],"issued":{"date-parts":[["2021"]]},"citation-key":"chamberlainRnoaaNOAAWeather2021"}}],"schema":"https://github.com/citation-style-language/schema/raw/master/csl-citation.json"} </w:instrText>
      </w:r>
      <w:r w:rsidRPr="00091C41">
        <w:fldChar w:fldCharType="separate"/>
      </w:r>
      <w:r w:rsidRPr="00091C41">
        <w:rPr>
          <w:rFonts w:cs="Times New Roman"/>
        </w:rPr>
        <w:t>(Chamberlain, 2021)</w:t>
      </w:r>
      <w:r w:rsidRPr="00091C41">
        <w:fldChar w:fldCharType="end"/>
      </w:r>
      <w:r w:rsidRPr="00091C41">
        <w:t>.</w:t>
      </w:r>
    </w:p>
    <w:p w14:paraId="6680334B" w14:textId="326FA80D" w:rsidR="00D979A5" w:rsidRPr="00091C41" w:rsidRDefault="00D979A5" w:rsidP="00D979A5">
      <w:r w:rsidRPr="00091C41">
        <w:t>We found that the coefficient of determination varies from 0.43 to 0.87 depending on station location (see Figure S5). The mean R</w:t>
      </w:r>
      <w:r w:rsidRPr="00091C41">
        <w:rPr>
          <w:vertAlign w:val="superscript"/>
        </w:rPr>
        <w:t>2</w:t>
      </w:r>
      <w:r w:rsidRPr="00091C41">
        <w:t xml:space="preserve"> among six </w:t>
      </w:r>
      <w:proofErr w:type="spellStart"/>
      <w:r w:rsidRPr="00091C41">
        <w:t>meteostations</w:t>
      </w:r>
      <w:proofErr w:type="spellEnd"/>
      <w:r w:rsidRPr="00091C41">
        <w:t xml:space="preserve"> was 0.68, while the mean RMSE was 23.6 mm (see Table S</w:t>
      </w:r>
      <w:r w:rsidR="0019105F" w:rsidRPr="00091C41">
        <w:t>2</w:t>
      </w:r>
      <w:r w:rsidRPr="00091C41">
        <w:t xml:space="preserve">). Our comparison revealed that </w:t>
      </w:r>
      <w:proofErr w:type="spellStart"/>
      <w:r w:rsidRPr="00091C41">
        <w:t>TerraClimate</w:t>
      </w:r>
      <w:proofErr w:type="spellEnd"/>
      <w:r w:rsidRPr="00091C41">
        <w:t xml:space="preserve"> correlates worst with </w:t>
      </w:r>
      <w:proofErr w:type="spellStart"/>
      <w:r w:rsidRPr="00091C41">
        <w:t>Terskol</w:t>
      </w:r>
      <w:proofErr w:type="spellEnd"/>
      <w:r w:rsidRPr="00091C41">
        <w:t xml:space="preserve"> meteostation (R</w:t>
      </w:r>
      <w:r w:rsidRPr="00091C41">
        <w:rPr>
          <w:vertAlign w:val="superscript"/>
        </w:rPr>
        <w:t>2</w:t>
      </w:r>
      <w:r w:rsidRPr="00091C41">
        <w:t xml:space="preserve"> = 0.43, RMSE = 39.4), located in the same Baksan River valley further upstream as the studied </w:t>
      </w:r>
      <w:proofErr w:type="spellStart"/>
      <w:r w:rsidRPr="00091C41">
        <w:t>Gizhgit-Syr</w:t>
      </w:r>
      <w:proofErr w:type="spellEnd"/>
      <w:r w:rsidRPr="00091C41">
        <w:t xml:space="preserve"> catchment. However, the prediction quality for the </w:t>
      </w:r>
      <w:proofErr w:type="spellStart"/>
      <w:r w:rsidRPr="00091C41">
        <w:t>Shadzhatmaz</w:t>
      </w:r>
      <w:proofErr w:type="spellEnd"/>
      <w:r w:rsidRPr="00091C41">
        <w:t xml:space="preserve"> meteostation, located in the </w:t>
      </w:r>
      <w:proofErr w:type="spellStart"/>
      <w:r w:rsidRPr="00091C41">
        <w:t>neighbouring</w:t>
      </w:r>
      <w:proofErr w:type="spellEnd"/>
      <w:r w:rsidRPr="00091C41">
        <w:t xml:space="preserve"> Malka River valley at the same distance from Elbrus as </w:t>
      </w:r>
      <w:proofErr w:type="spellStart"/>
      <w:r w:rsidRPr="00091C41">
        <w:t>Gizhgit-Syr</w:t>
      </w:r>
      <w:proofErr w:type="spellEnd"/>
      <w:r w:rsidRPr="00091C41">
        <w:t>, was among the highest (R</w:t>
      </w:r>
      <w:r w:rsidRPr="00091C41">
        <w:rPr>
          <w:vertAlign w:val="superscript"/>
        </w:rPr>
        <w:t>2</w:t>
      </w:r>
      <w:r w:rsidRPr="00091C41">
        <w:t xml:space="preserve"> = 0.87, RMSE = 15.4). Considering the limited number of meteorological stations and the relatively primitive nature of this comparison, these findings should be interpreted with caution. Nonetheless, they prove that the </w:t>
      </w:r>
      <w:proofErr w:type="spellStart"/>
      <w:r w:rsidRPr="00091C41">
        <w:t>TerraClimate</w:t>
      </w:r>
      <w:proofErr w:type="spellEnd"/>
      <w:r w:rsidRPr="00091C41">
        <w:t xml:space="preserve"> dataset can be used in North Caucasus regional studies, especially in the High to Low Mountain Ranges (less than 2000 m).</w:t>
      </w:r>
    </w:p>
    <w:p w14:paraId="5F3CC1C0" w14:textId="77777777" w:rsidR="00D979A5" w:rsidRPr="00091C41" w:rsidRDefault="00D979A5" w:rsidP="00D979A5">
      <w:r w:rsidRPr="00091C41">
        <w:t xml:space="preserve">It was previously reported that such a proxy of rainfall intensity as the Modified Fournier Index (MFI) could better explain R-factor variability than annual rainfall amount </w:t>
      </w:r>
      <w:r w:rsidRPr="00091C41">
        <w:fldChar w:fldCharType="begin"/>
      </w:r>
      <w:r w:rsidRPr="00091C41">
        <w:instrText xml:space="preserve"> ADDIN ZOTERO_ITEM CSL_CITATION {"citationID":"ln22a6Fd","properties":{"formattedCitation":"(Fenta et al., 2017; Ferro et al., 1999)","plainCitation":"(Fenta et al., 2017; Ferro et al., 1999)","noteIndex":0},"citationItems":[{"id":236,"uris":["http://zotero.org/users/6696073/items/TX62RA2M"],"itemData":{"id":236,"type":"article-journal","abstract":"Soil erosion by water is one of the main environmental concerns in the drought-prone Eastern Africa region. Understanding factors such as rainfall and erosivity is therefore of utmost importance for soil erosion risk assessment and soil and water conservation planning. In this study, we evaluated the spatial distribution and temporal trends of rainfall and erosivity for the Eastern Africa region during the period 1981–2016. The precipitation concentration index, seasonality index, and modified Fournier index have been analysed using 5 × 5-km resolution multisource rainfall product (Climate Hazards Group InfraRed Precipitation with Stations). The mean annual rainfall of the region was 810 mm ranging from less than 300 mm in the lowland areas to over 1,200 mm in the highlands being influenced by orography of the Eastern Africa region. The precipitation concentration index and seasonality index revealed a spatial pattern of rainfall seasonality dependent on latitude, with a more pronounced seasonality as we go far from the equator. The modified Fournier index showed high spatial variability with about 55% of the region subject to high to very high rainfall erosivity. The mean annual R-factor in the study region was calculated at 3,246 ± 1,895 MJ mm ha−1 h−1 yr−1, implying a potentially high water erosion risk in the region. Moreover, both increasing and decreasing trends of annual rainfall and erosivity were observed but spatial variability of these trends was high. This study offers useful information for better soil erosion prediction as well as can support policy development to achieve sustainable regional environmental planning and management of soil and water resources.","container-title":"Hydrological Processes","DOI":"https://doi.org/10.1002/hyp.11378","ISSN":"1099-1085","issue":"25","language":"en","license":"Copyright © 2017 John Wiley &amp; Sons, Ltd.","note":"_eprint: https://onlinelibrary.wiley.com/doi/pdf/10.1002/hyp.11378","page":"4555-4567","source":"Wiley Online Library","title":"Spatial distribution and temporal trends of rainfall and erosivity in the Eastern Africa region","volume":"31","author":[{"family":"Fenta","given":"Ayele Almaw"},{"family":"Yasuda","given":"Hiroshi"},{"family":"Shimizu","given":"Katsuyuki"},{"family":"Haregeweyn","given":"Nigussie"},{"family":"Kawai","given":"Takayuki"},{"family":"Sultan","given":"Dagnenet"},{"family":"Ebabu","given":"Kindiye"},{"family":"Belay","given":"Ashebir Sewale"}],"issued":{"date-parts":[["2017"]]},"citation-key":"fentaSpatialDistributionTemporal2017"}},{"id":578,"uris":["http://zotero.org/users/6696073/items/VQJK7IDX"],"itemData":{"id":578,"type":"article-journal","abstract":"In this paper, using Sicilian and Australian rainfall intensity data, a comparison between different estimators (modified Fournier index F, FF index) of the rainfall erosivity factor in the USLE was made. The relationship between the modified Fournier index and the mean annual rainfall, P, was theoretically derived. The K constant, linking the FF index and P, and its cumulative distribution function (CDF) were used to establish hydrological similitude among different geographical regions of southern Italy and southeastern Australia. To predict the erosion risk for an event of given average recurrence interval, the probability distribution of the annual value F a.j of the Arnoldus index was studied. In order to establish the theoretical CDF to use as a regional parent distribution, the descriptive ability of LN2 and EV1 distributions was studied by both an at-site analysis and a hierarchical regional procedure. The analysis showed that for each sub-region of southern Italy and southeastern Australia, characterized by a constant coefficient of variation, the erosion risk index is constant.","container-title":"Hydrological Sciences Journal","DOI":"10.1080/02626669909492199","ISSN":"0262-6667","issue":"1","note":"publisher: Taylor &amp; Francis\n_eprint: https://doi.org/10.1080/02626669909492199","page":"3-24","source":"Taylor and Francis+NEJM","title":"A comparative study of rainfall erosivity estimation for southern Italy and southeastern Australia","volume":"44","author":[{"family":"Ferro","given":"Vito"},{"family":"Porto","given":"Paolo"},{"family":"Yu","given":"Bofu"}],"issued":{"date-parts":[["1999"]]},"citation-key":"ferroComparativeStudyRainfall1999"}}],"schema":"https://github.com/citation-style-language/schema/raw/master/csl-citation.json"} </w:instrText>
      </w:r>
      <w:r w:rsidRPr="00091C41">
        <w:fldChar w:fldCharType="separate"/>
      </w:r>
      <w:r w:rsidRPr="00091C41">
        <w:rPr>
          <w:rFonts w:cs="Times New Roman"/>
        </w:rPr>
        <w:t>(Fenta et al., 2017; Ferro et al., 1999)</w:t>
      </w:r>
      <w:r w:rsidRPr="00091C41">
        <w:fldChar w:fldCharType="end"/>
      </w:r>
      <w:r w:rsidRPr="00091C41">
        <w:t xml:space="preserve">. Therefore, we calculated an MFI for eight meteorological stations (cf. Figure 1 for location) based on the </w:t>
      </w:r>
      <w:proofErr w:type="spellStart"/>
      <w:r w:rsidRPr="00091C41">
        <w:t>TerraClimate</w:t>
      </w:r>
      <w:proofErr w:type="spellEnd"/>
      <w:r w:rsidRPr="00091C41">
        <w:t xml:space="preserve"> dataset as follows:</w:t>
      </w:r>
    </w:p>
    <w:p w14:paraId="38E1C61B" w14:textId="0319E6E3" w:rsidR="00D979A5" w:rsidRPr="00091C41" w:rsidRDefault="00D979A5" w:rsidP="00D979A5">
      <w:pPr>
        <w:rPr>
          <w:rFonts w:eastAsiaTheme="minorEastAsia"/>
        </w:rPr>
      </w:pPr>
      <m:oMath>
        <m:r>
          <w:rPr>
            <w:rFonts w:ascii="Cambria Math" w:hAnsi="Cambria Math"/>
          </w:rPr>
          <m:t>MFI=</m:t>
        </m:r>
        <m:nary>
          <m:naryPr>
            <m:chr m:val="∑"/>
            <m:limLoc m:val="undOvr"/>
            <m:ctrlPr>
              <w:rPr>
                <w:rFonts w:ascii="Cambria Math" w:hAnsi="Cambria Math"/>
                <w:i/>
              </w:rPr>
            </m:ctrlPr>
          </m:naryPr>
          <m:sub>
            <m:r>
              <w:rPr>
                <w:rFonts w:ascii="Cambria Math" w:hAnsi="Cambria Math"/>
              </w:rPr>
              <m:t>i=1</m:t>
            </m:r>
          </m:sub>
          <m:sup>
            <m:r>
              <w:rPr>
                <w:rFonts w:ascii="Cambria Math" w:hAnsi="Cambria Math"/>
              </w:rPr>
              <m:t>12</m:t>
            </m:r>
          </m:sup>
          <m:e>
            <m:f>
              <m:fPr>
                <m:ctrlPr>
                  <w:rPr>
                    <w:rFonts w:ascii="Cambria Math" w:hAnsi="Cambria Math"/>
                    <w:i/>
                  </w:rPr>
                </m:ctrlPr>
              </m:fPr>
              <m:num>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i</m:t>
                        </m:r>
                      </m:sub>
                    </m:sSub>
                  </m:e>
                  <m:sup>
                    <m:r>
                      <w:rPr>
                        <w:rFonts w:ascii="Cambria Math" w:hAnsi="Cambria Math"/>
                      </w:rPr>
                      <m:t>2</m:t>
                    </m:r>
                  </m:sup>
                </m:sSup>
              </m:num>
              <m:den>
                <m:r>
                  <w:rPr>
                    <w:rFonts w:ascii="Cambria Math" w:hAnsi="Cambria Math"/>
                  </w:rPr>
                  <m:t>P</m:t>
                </m:r>
              </m:den>
            </m:f>
          </m:e>
        </m:nary>
      </m:oMath>
      <w:r w:rsidRPr="00091C41">
        <w:rPr>
          <w:rFonts w:eastAsiaTheme="minorEastAsia"/>
        </w:rPr>
        <w:t>,</w:t>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t>(S1)</w:t>
      </w:r>
    </w:p>
    <w:p w14:paraId="4879CE1A" w14:textId="36D3B34F" w:rsidR="00D979A5" w:rsidRPr="00091C41" w:rsidRDefault="00D979A5" w:rsidP="00D979A5">
      <w:pPr>
        <w:rPr>
          <w:rFonts w:eastAsiaTheme="minorEastAsia"/>
        </w:rPr>
      </w:pPr>
      <w:r w:rsidRPr="00091C41">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i</m:t>
            </m:r>
          </m:sub>
        </m:sSub>
      </m:oMath>
      <w:r w:rsidRPr="00091C41">
        <w:rPr>
          <w:rFonts w:eastAsiaTheme="minorEastAsia"/>
        </w:rPr>
        <w:t xml:space="preserve"> is a monthly rainfall amount (mm) for the </w:t>
      </w:r>
      <w:proofErr w:type="spellStart"/>
      <w:r w:rsidRPr="00091C41">
        <w:rPr>
          <w:rFonts w:eastAsiaTheme="minorEastAsia"/>
          <w:i/>
          <w:iCs/>
        </w:rPr>
        <w:t>i</w:t>
      </w:r>
      <w:r w:rsidRPr="00091C41">
        <w:rPr>
          <w:rFonts w:eastAsiaTheme="minorEastAsia"/>
          <w:vertAlign w:val="superscript"/>
        </w:rPr>
        <w:t>th</w:t>
      </w:r>
      <w:proofErr w:type="spellEnd"/>
      <w:r w:rsidRPr="00091C41">
        <w:rPr>
          <w:rFonts w:eastAsiaTheme="minorEastAsia"/>
        </w:rPr>
        <w:t xml:space="preserve"> month, and P is annual rainfall (mm). We found that mean annual </w:t>
      </w:r>
      <w:r w:rsidRPr="00091C41">
        <w:rPr>
          <w:rFonts w:eastAsiaTheme="minorEastAsia"/>
          <w:i/>
          <w:iCs/>
        </w:rPr>
        <w:t>MFI</w:t>
      </w:r>
      <w:r w:rsidRPr="00091C41">
        <w:rPr>
          <w:rFonts w:eastAsiaTheme="minorEastAsia"/>
        </w:rPr>
        <w:t xml:space="preserve"> values derived from </w:t>
      </w:r>
      <w:proofErr w:type="spellStart"/>
      <w:r w:rsidRPr="00091C41">
        <w:rPr>
          <w:rFonts w:eastAsiaTheme="minorEastAsia"/>
        </w:rPr>
        <w:t>TerraClimate</w:t>
      </w:r>
      <w:proofErr w:type="spellEnd"/>
      <w:r w:rsidRPr="00091C41">
        <w:rPr>
          <w:rFonts w:eastAsiaTheme="minorEastAsia"/>
        </w:rPr>
        <w:t xml:space="preserve"> explained 80% of the rainfall erosivity (Figure </w:t>
      </w:r>
      <w:r w:rsidR="009964EC" w:rsidRPr="00091C41">
        <w:rPr>
          <w:rFonts w:eastAsiaTheme="minorEastAsia"/>
        </w:rPr>
        <w:t>S6</w:t>
      </w:r>
      <w:r w:rsidRPr="00091C41">
        <w:rPr>
          <w:rFonts w:eastAsiaTheme="minorEastAsia"/>
        </w:rPr>
        <w:t xml:space="preserve">). We further </w:t>
      </w:r>
      <w:r w:rsidRPr="00091C41">
        <w:rPr>
          <w:rFonts w:eastAsiaTheme="minorEastAsia"/>
        </w:rPr>
        <w:lastRenderedPageBreak/>
        <w:t xml:space="preserve">used the following equation to estimate rainfall erosivity with </w:t>
      </w:r>
      <w:r w:rsidRPr="00091C41">
        <w:rPr>
          <w:rFonts w:eastAsiaTheme="minorEastAsia" w:cs="Times New Roman"/>
          <w:color w:val="000000"/>
        </w:rPr>
        <w:t>a known confidence</w:t>
      </w:r>
      <w:r w:rsidRPr="00091C41">
        <w:rPr>
          <w:rFonts w:eastAsiaTheme="minorEastAsia"/>
        </w:rPr>
        <w:t xml:space="preserve"> interval:</w:t>
      </w:r>
    </w:p>
    <w:p w14:paraId="03E4A28D" w14:textId="47AEDD71" w:rsidR="00D979A5" w:rsidRPr="00091C41" w:rsidRDefault="00D979A5" w:rsidP="00D979A5">
      <w:pPr>
        <w:rPr>
          <w:rFonts w:eastAsiaTheme="minorEastAsia"/>
        </w:rPr>
      </w:pPr>
      <m:oMath>
        <m:r>
          <w:rPr>
            <w:rFonts w:ascii="Cambria Math" w:hAnsi="Cambria Math"/>
          </w:rPr>
          <m:t>R=-65.9+8.82·MFI</m:t>
        </m:r>
      </m:oMath>
      <w:r w:rsidRPr="00091C41">
        <w:rPr>
          <w:rFonts w:eastAsiaTheme="minorEastAsia"/>
        </w:rPr>
        <w:t>,</w:t>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t>(S2)</w:t>
      </w:r>
    </w:p>
    <w:p w14:paraId="00DD365A" w14:textId="77777777" w:rsidR="00D979A5" w:rsidRPr="00091C41" w:rsidRDefault="00D979A5" w:rsidP="00D979A5">
      <w:r w:rsidRPr="00091C41">
        <w:t xml:space="preserve">Using 250 m resolution </w:t>
      </w:r>
      <w:proofErr w:type="spellStart"/>
      <w:r w:rsidRPr="00091C41">
        <w:t>SoilGrids</w:t>
      </w:r>
      <w:proofErr w:type="spellEnd"/>
      <w:r w:rsidRPr="00091C41">
        <w:t xml:space="preserve"> data </w:t>
      </w:r>
      <w:r w:rsidRPr="00091C41">
        <w:fldChar w:fldCharType="begin"/>
      </w:r>
      <w:r w:rsidRPr="00091C41">
        <w:instrText xml:space="preserve"> ADDIN ZOTERO_ITEM CSL_CITATION {"citationID":"Vr7Noldh","properties":{"formattedCitation":"(Hengl et al., 2017)","plainCitation":"(Hengl et al., 2017)","noteIndex":0},"citationItems":[{"id":148,"uris":["http://zotero.org/users/6696073/items/QG5JNZYV"],"itemData":{"id":148,"type":"article-journal","abstract":"This paper describes the technical development and accuracy assessment of the most recent and improved version of the SoilGrids system at 250m resolution (June 2016 update). SoilGrids provides global predictions for standard numeric soil properties (organic carbon, bulk density, Cation Exchange Capacity (CEC), pH, soil texture fractions and coarse fragments) at seven standard depths (0, 5, 15, 30, 60, 100 and 200 cm), in addition to predictions of depth to bedrock and distribution of soil classes based on the World Reference Base (WRB) and USDA classification systems (ca. 280 raster layers in total). Predictions were based on ca. 150,000 soil profiles used for training and a stack of 158 remote sensing-based soil covariates (primarily derived from MODIS land products, SRTM DEM derivatives, climatic images and global landform and lithology maps), which were used to fit an ensemble of machine learning methods—random forest and gradient boosting and/or multinomial logistic regression—as implemented in the R packages ranger, xgboost, nnet and caret. The results of 10–fold cross-validation show that the ensemble models explain between 56% (coarse fragments) and 83% (pH) of variation with an overall average of 61%. Improvements in the relative accuracy considering the amount of variation explained, in comparison to the previous version of SoilGrids at 1 km spatial resolution, range from 60 to 230%. Improvements can be attributed to: (1) the use of machine learning instead of linear regression, (2) to considerable investments in preparing finer resolution covariate layers and (3) to insertion of additional soil profiles. Further development of SoilGrids could include refinement of methods to incorporate input uncertainties and derivation of posterior probability distributions (per pixel), and further automation of spatial modeling so that soil maps can be generated for potentially hundreds of soil variables. Another area of future research is the development of methods for multiscale merging of SoilGrids predictions with local and/or national gridded soil products (e.g. up to 50 m spatial resolution) so that increasingly more accurate, complete and consistent global soil information can be produced. SoilGrids are available under the Open Data Base License.","container-title":"PLOS ONE","DOI":"10.1371/journal.pone.0169748","ISSN":"1932-6203","issue":"2","journalAbbreviation":"PLOS ONE","language":"en","note":"publisher: Public Library of Science","page":"e0169748","source":"PLoS Journals","title":"SoilGrids250m: Global gridded soil information based on machine learning","title-short":"SoilGrids250m","volume":"12","author":[{"family":"Hengl","given":"Tomislav"},{"family":"Jesus","given":"Jorge Mendes","dropping-particle":"de"},{"family":"Heuvelink","given":"Gerard B. M."},{"family":"Gonzalez","given":"Maria Ruiperez"},{"family":"Kilibarda","given":"Milan"},{"family":"Blagotić","given":"Aleksandar"},{"family":"Shangguan","given":"Wei"},{"family":"Wright","given":"Marvin N."},{"family":"Geng","given":"Xiaoyuan"},{"family":"Bauer-Marschallinger","given":"Bernhard"},{"family":"Guevara","given":"Mario Antonio"},{"family":"Vargas","given":"Rodrigo"},{"family":"MacMillan","given":"Robert A."},{"family":"Batjes","given":"Niels H."},{"family":"Leenaars","given":"Johan G. B."},{"family":"Ribeiro","given":"Eloi"},{"family":"Wheeler","given":"Ichsani"},{"family":"Mantel","given":"Stephan"},{"family":"Kempen","given":"Bas"}],"issued":{"date-parts":[["2017",2,16]]},"citation-key":"henglSoilGrids250mGlobalGridded2017"}}],"schema":"https://github.com/citation-style-language/schema/raw/master/csl-citation.json"} </w:instrText>
      </w:r>
      <w:r w:rsidRPr="00091C41">
        <w:fldChar w:fldCharType="separate"/>
      </w:r>
      <w:r w:rsidRPr="00091C41">
        <w:rPr>
          <w:rFonts w:cs="Times New Roman"/>
        </w:rPr>
        <w:t>(</w:t>
      </w:r>
      <w:proofErr w:type="spellStart"/>
      <w:r w:rsidRPr="00091C41">
        <w:rPr>
          <w:rFonts w:cs="Times New Roman"/>
        </w:rPr>
        <w:t>Hengl</w:t>
      </w:r>
      <w:proofErr w:type="spellEnd"/>
      <w:r w:rsidRPr="00091C41">
        <w:rPr>
          <w:rFonts w:cs="Times New Roman"/>
        </w:rPr>
        <w:t xml:space="preserve"> et al., 2017)</w:t>
      </w:r>
      <w:r w:rsidRPr="00091C41">
        <w:fldChar w:fldCharType="end"/>
      </w:r>
      <w:r w:rsidRPr="00091C41">
        <w:t xml:space="preserve">, we calculated the K-factor map based on topsoil properties (0-30 cm depth). We used the equation suggested by Benavidez et al. </w:t>
      </w:r>
      <w:r w:rsidRPr="00091C41">
        <w:fldChar w:fldCharType="begin"/>
      </w:r>
      <w:r w:rsidRPr="00091C41">
        <w:instrText xml:space="preserve"> ADDIN ZOTERO_ITEM CSL_CITATION {"citationID":"SF1YlaCv","properties":{"formattedCitation":"(2018)","plainCitation":"(2018)","noteIndex":0},"citationItems":[{"id":233,"uris":["http://zotero.org/users/6696073/items/T3V22EHF"],"itemData":{"id":233,"type":"article-journal","abstract":"&lt;p&gt;&lt;strong&gt;Abstract.&lt;/strong&gt; Soil erosion is a major problem around the world because of its effects on soil productivity, nutrient loss, siltation in water bodies, and degradation of water quality. By understanding the driving forces behind soil erosion, we can more easily identify erosion-prone areas within a landscape to address the problem strategically. Soil erosion models have been used to assist in this task. One of the most commonly used soil erosion models is the Universal Soil Loss Equation (USLE) and its family of models: the Revised Universal Soil Loss Equation (RUSLE), the Revised Universal Soil Loss Equation version 2 (RUSLE2), and the Modified Universal Soil Loss Equation (MUSLE). This paper reviews the different sub-factors of USLE and RUSLE, and analyses how different studies around the world have adapted the equations to local conditions. We compiled these studies and equations to serve as a reference for other researchers working with (R)USLE and related approaches. Within each sub-factor section, the strengths and limitations of the different equations are discussed, and guidance is given as to which equations may be most appropriate for particular climate types, spatial resolution, and temporal scale. We investigate some of the limitations of existing (R)USLE formulations, such as uncertainty issues given the simple empirical nature of the model and many of its sub-components; uncertainty issues around data availability; and its inability to account for soil loss from gully erosion, mass wasting events, or predicting potential sediment yields to streams. Recommendations on how to overcome some of the uncertainties associated with the model are given. Several key future directions to refine it are outlined: e.g. incorporating soil loss from other types of soil erosion, estimating soil loss at sub-annual temporal scales, and compiling consistent units for the future literature to reduce confusion and errors caused by mismatching units. The potential of combining (R)USLE with the Compound Topographic Index (CTI) and sediment delivery ratio (SDR) to account for gully erosion and sediment yield to streams respectively is discussed. Overall, the aim of this paper is to review the (R)USLE and its sub-factors, and to elucidate the caveats, limitations, and recommendations for future applications of these soil erosion models. We hope these recommendations will help researchers more robustly apply (R)USLE in a range of geoclimatic regions with varying data availability, and modelling different land cover scenarios at finer spatial and temporal scales (e.g. at the field scale with different cropping options).&lt;/p&gt;","container-title":"Hydrology and Earth System Sciences","DOI":"https://doi.org/10.5194/hess-22-6059-2018","ISSN":"1027-5606","issue":"11","language":"English","note":"publisher: Copernicus GmbH","page":"6059-6086","source":"hess.copernicus.org","title":"A review of the (Revised) Universal Soil Loss Equation ((R)USLE): with a view to increasing its global applicability and improving soil loss estimates","title-short":"A review of the (Revised) Universal Soil Loss Equation ((R)USLE)","volume":"22","author":[{"family":"Benavidez","given":"Rubianca"},{"family":"Jackson","given":"Bethanna"},{"family":"Maxwell","given":"Deborah"},{"family":"Norton","given":"Kevin"}],"issued":{"date-parts":[["2018",11,27]]},"citation-key":"benavidezReviewRevisedUniversal2018"},"suppress-author":true}],"schema":"https://github.com/citation-style-language/schema/raw/master/csl-citation.json"} </w:instrText>
      </w:r>
      <w:r w:rsidRPr="00091C41">
        <w:fldChar w:fldCharType="separate"/>
      </w:r>
      <w:r w:rsidRPr="00091C41">
        <w:rPr>
          <w:rFonts w:cs="Times New Roman"/>
        </w:rPr>
        <w:t>(2018)</w:t>
      </w:r>
      <w:r w:rsidRPr="00091C41">
        <w:fldChar w:fldCharType="end"/>
      </w:r>
      <w:r w:rsidRPr="00091C41">
        <w:t xml:space="preserve"> to calculate the K factor in t·ha·hr·MJ</w:t>
      </w:r>
      <w:r w:rsidRPr="00091C41">
        <w:rPr>
          <w:vertAlign w:val="superscript"/>
        </w:rPr>
        <w:t>−1</w:t>
      </w:r>
      <w:r w:rsidRPr="00091C41">
        <w:t>·mm</w:t>
      </w:r>
      <w:r w:rsidRPr="00091C41">
        <w:rPr>
          <w:vertAlign w:val="superscript"/>
        </w:rPr>
        <w:t>−1</w:t>
      </w:r>
      <w:r w:rsidRPr="00091C41">
        <w:t xml:space="preserve">. It was initially proposed by Williams et al. </w:t>
      </w:r>
      <w:r w:rsidRPr="00091C41">
        <w:fldChar w:fldCharType="begin"/>
      </w:r>
      <w:r w:rsidRPr="00091C41">
        <w:instrText xml:space="preserve"> ADDIN ZOTERO_ITEM CSL_CITATION {"citationID":"Kx0SCmIO","properties":{"formattedCitation":"(1983)","plainCitation":"(1983)","noteIndex":0},"citationItems":[{"id":1640,"uris":["http://zotero.org/users/6696073/items/YWVCDF4S"],"itemData":{"id":1640,"type":"article-journal","abstract":"Excerpt\nTHE mathematical model EPIC (Erosion-Productivity Impact Calculator) was developed recently to determine the relationship between soil erosion and soil productivity in the United States (6). To accomplish this complex objective, four goals were set in the model development process. The model must be (a) physically based and capable of simulating the processes involved simultaneously and realistically using readily available inputs; (b) capable of simulating hundreds of years, if necessary, because erosion can be a relatively slow process; (c) applicable to a wide range of soils, climates, and crops encountered in the United States; and (d) efficient, convenient to use, and capable of assessing the effects of management changes on erosion and soil productivity.\nEPIC is composed of physically based components for simulating erosion, plant growth, and related processes. It also includes economic components for assessing the cost of erosion and determining optimal management strategies. …","container-title":"Journal of Soil and Water Conservation","ISSN":"0022-4561, 1941-3300","issue":"5","language":"en","license":"Copyright 1983 by the Soil and Water Conservation Society","note":"publisher: Soil and Water Conservation Society\nsection: Features","page":"381-383","source":"www.jswconline.org","title":"EPIC: A new method for assessing erosion's effect on soil productivity","title-short":"EPIC","volume":"38","author":[{"family":"Williams","given":"J. R."},{"family":"Renard","given":"K. G."},{"family":"Dyke","given":"P. T."}],"issued":{"date-parts":[["1983",9,1]]},"citation-key":"williamsEPICNewMethod1983"},"suppress-author":true}],"schema":"https://github.com/citation-style-language/schema/raw/master/csl-citation.json"} </w:instrText>
      </w:r>
      <w:r w:rsidRPr="00091C41">
        <w:fldChar w:fldCharType="separate"/>
      </w:r>
      <w:r w:rsidRPr="00091C41">
        <w:rPr>
          <w:rFonts w:cs="Times New Roman"/>
        </w:rPr>
        <w:t>(1983)</w:t>
      </w:r>
      <w:r w:rsidRPr="00091C41">
        <w:fldChar w:fldCharType="end"/>
      </w:r>
      <w:r w:rsidRPr="00091C41">
        <w:t xml:space="preserve"> and then widely used in various environments </w:t>
      </w:r>
      <w:r w:rsidRPr="00091C41">
        <w:fldChar w:fldCharType="begin"/>
      </w:r>
      <w:r w:rsidRPr="00091C41">
        <w:instrText xml:space="preserve"> ADDIN ZOTERO_ITEM CSL_CITATION {"citationID":"lFXsQEGB","properties":{"formattedCitation":"(Chen et al., 2011)","plainCitation":"(Chen et al., 2011)","noteIndex":0},"citationItems":[{"id":1637,"uris":["http://zotero.org/users/6696073/items/5J26CWVL"],"itemData":{"id":1637,"type":"article-journal","abstract":"Identifying critical soil loss-prone areas is necessary to better control soil loss in the Xiangxi watershed, the river basin nearest the Three Gorges Dam. A crucial element of this scheme is the development of a risk assessment model that can identify critical potential soil loss areas for land use prioritization and soil conservation. An assessment model for the risk of potential soil loss based on the revised universal soil loss equation and sediment delivery ratio was developed in this work. The proposed model consists of five multiplied factors: the rain and runoff erosivity, soil erodibility, slope steepness and length, vegetation cover, and sediment delivery. The risk of potential soil loss in the Xiangxi watershed was assessed using the developed model integrated with the ArcGIS platform along with precipitation data, soil data, DEM, and MODIS NDVI images. The risk values ranged from 0 to 478.18, and were categorized into four classes. The classification showed that critical and sub-critical areas accounted for 4.48% and 6.05% respectively, of the entire Xiangxi watershed area. The results of the identification of critical and sub-critical areas were verified by analyzing the relationship between the variations of the agricultural land area and those of sediment discharge. Statistical relationship analysis between the distribution of critical/sub-critical areas and two parameters (the cell distance to the nearest river channel and the slope) showed that the critical and sub-critical areas for potential soil loss in the Xiangxi watershed assemble in the zone with a cell distance below 2,000 m, or in the zone with slopes above 25°.","container-title":"Water Resources Management","DOI":"10.1007/s11269-011-9864-4","ISSN":"1573-1650","issue":"13","journalAbbreviation":"Water Resour Manage","language":"en","page":"3445","source":"Springer Link","title":"Critical Area Identification of Potential Soil Loss in a Typical Watershed of the Three Gorges Reservoir Region","volume":"25","author":[{"family":"Chen","given":"Liangang"},{"family":"Qian","given":"Xin"},{"family":"Shi","given":"Yong"}],"issued":{"date-parts":[["2011",6,25]]},"citation-key":"chenCriticalAreaIdentification2011"}}],"schema":"https://github.com/citation-style-language/schema/raw/master/csl-citation.json"} </w:instrText>
      </w:r>
      <w:r w:rsidRPr="00091C41">
        <w:fldChar w:fldCharType="separate"/>
      </w:r>
      <w:r w:rsidRPr="00091C41">
        <w:rPr>
          <w:rFonts w:cs="Times New Roman"/>
        </w:rPr>
        <w:t>(Chen et al., 2011)</w:t>
      </w:r>
      <w:r w:rsidRPr="00091C41">
        <w:fldChar w:fldCharType="end"/>
      </w:r>
      <w:r w:rsidRPr="00091C41">
        <w:t>:</w:t>
      </w:r>
    </w:p>
    <w:p w14:paraId="417ADBCF" w14:textId="7D79555A" w:rsidR="00D979A5" w:rsidRPr="00091C41" w:rsidRDefault="00D979A5" w:rsidP="00D979A5">
      <m:oMath>
        <m:r>
          <m:rPr>
            <m:sty m:val="p"/>
          </m:rPr>
          <w:rPr>
            <w:rFonts w:ascii="Cambria Math" w:hAnsi="Cambria Math"/>
          </w:rPr>
          <m:t>K=0</m:t>
        </m:r>
        <m:r>
          <w:rPr>
            <w:rFonts w:ascii="Cambria Math" w:hAnsi="Cambria Math"/>
          </w:rPr>
          <m:t>.1317×</m:t>
        </m:r>
        <m:d>
          <m:dPr>
            <m:begChr m:val="["/>
            <m:endChr m:val="]"/>
            <m:ctrlPr>
              <w:rPr>
                <w:rFonts w:ascii="Cambria Math" w:hAnsi="Cambria Math"/>
                <w:lang w:val="ru-RU"/>
              </w:rPr>
            </m:ctrlPr>
          </m:dPr>
          <m:e>
            <m:r>
              <m:rPr>
                <m:sty m:val="p"/>
              </m:rPr>
              <w:rPr>
                <w:rFonts w:ascii="Cambria Math" w:hAnsi="Cambria Math"/>
              </w:rPr>
              <m:t>0.2+0.3×</m:t>
            </m:r>
            <m:sSup>
              <m:sSupPr>
                <m:ctrlPr>
                  <w:rPr>
                    <w:rFonts w:ascii="Cambria Math" w:hAnsi="Cambria Math"/>
                    <w:i/>
                  </w:rPr>
                </m:ctrlPr>
              </m:sSupPr>
              <m:e>
                <m:func>
                  <m:funcPr>
                    <m:ctrlPr>
                      <w:rPr>
                        <w:rFonts w:ascii="Cambria Math" w:hAnsi="Cambria Math"/>
                      </w:rPr>
                    </m:ctrlPr>
                  </m:funcPr>
                  <m:fName>
                    <m:r>
                      <m:rPr>
                        <m:sty m:val="p"/>
                      </m:rPr>
                      <w:rPr>
                        <w:rFonts w:ascii="Cambria Math" w:hAnsi="Cambria Math"/>
                      </w:rPr>
                      <m:t>exp</m:t>
                    </m:r>
                  </m:fName>
                  <m:e>
                    <m:d>
                      <m:dPr>
                        <m:ctrlPr>
                          <w:rPr>
                            <w:rFonts w:ascii="Cambria Math" w:hAnsi="Cambria Math"/>
                          </w:rPr>
                        </m:ctrlPr>
                      </m:dPr>
                      <m:e>
                        <m:r>
                          <m:rPr>
                            <m:sty m:val="p"/>
                          </m:rPr>
                          <w:rPr>
                            <w:rFonts w:ascii="Cambria Math" w:hAnsi="Cambria Math"/>
                          </w:rPr>
                          <m:t>0.0256×</m:t>
                        </m:r>
                        <m:r>
                          <w:rPr>
                            <w:rFonts w:ascii="Cambria Math" w:hAnsi="Cambria Math"/>
                          </w:rPr>
                          <m:t>Sa</m:t>
                        </m:r>
                        <m:r>
                          <m:rPr>
                            <m:sty m:val="p"/>
                          </m:rPr>
                          <w:rPr>
                            <w:rFonts w:ascii="Cambria Math" w:hAnsi="Cambria Math"/>
                          </w:rPr>
                          <m:t>×</m:t>
                        </m:r>
                        <m:d>
                          <m:dPr>
                            <m:ctrlPr>
                              <w:rPr>
                                <w:rFonts w:ascii="Cambria Math" w:hAnsi="Cambria Math"/>
                              </w:rPr>
                            </m:ctrlPr>
                          </m:dPr>
                          <m:e>
                            <m:r>
                              <m:rPr>
                                <m:sty m:val="p"/>
                              </m:rPr>
                              <w:rPr>
                                <w:rFonts w:ascii="Cambria Math" w:hAnsi="Cambria Math"/>
                              </w:rPr>
                              <m:t>1-</m:t>
                            </m:r>
                            <m:f>
                              <m:fPr>
                                <m:ctrlPr>
                                  <w:rPr>
                                    <w:rFonts w:ascii="Cambria Math" w:hAnsi="Cambria Math"/>
                                  </w:rPr>
                                </m:ctrlPr>
                              </m:fPr>
                              <m:num>
                                <m:r>
                                  <w:rPr>
                                    <w:rFonts w:ascii="Cambria Math" w:hAnsi="Cambria Math"/>
                                  </w:rPr>
                                  <m:t>Si</m:t>
                                </m:r>
                              </m:num>
                              <m:den>
                                <m:r>
                                  <m:rPr>
                                    <m:sty m:val="p"/>
                                  </m:rPr>
                                  <w:rPr>
                                    <w:rFonts w:ascii="Cambria Math" w:hAnsi="Cambria Math"/>
                                  </w:rPr>
                                  <m:t>100</m:t>
                                </m:r>
                              </m:den>
                            </m:f>
                          </m:e>
                        </m:d>
                      </m:e>
                    </m:d>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Si</m:t>
                            </m:r>
                          </m:num>
                          <m:den>
                            <m:r>
                              <w:rPr>
                                <w:rFonts w:ascii="Cambria Math" w:hAnsi="Cambria Math"/>
                              </w:rPr>
                              <m:t>Cl+Si</m:t>
                            </m:r>
                          </m:den>
                        </m:f>
                      </m:e>
                    </m:d>
                  </m:e>
                </m:func>
              </m:e>
              <m:sup>
                <m:r>
                  <w:rPr>
                    <w:rFonts w:ascii="Cambria Math" w:hAnsi="Cambria Math"/>
                  </w:rPr>
                  <m:t>0.3</m:t>
                </m:r>
              </m:sup>
            </m:sSup>
            <m:r>
              <w:rPr>
                <w:rFonts w:ascii="Cambria Math" w:hAnsi="Cambria Math"/>
              </w:rPr>
              <m:t>×</m:t>
            </m:r>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0.25C</m:t>
                    </m:r>
                  </m:num>
                  <m:den>
                    <m:r>
                      <w:rPr>
                        <w:rFonts w:ascii="Cambria Math" w:hAnsi="Cambria Math"/>
                      </w:rPr>
                      <m:t>C+</m:t>
                    </m:r>
                    <m:r>
                      <m:rPr>
                        <m:sty m:val="p"/>
                      </m:rPr>
                      <w:rPr>
                        <w:rFonts w:ascii="Cambria Math" w:hAnsi="Cambria Math"/>
                      </w:rPr>
                      <m:t>exp⁡</m:t>
                    </m:r>
                    <m:r>
                      <w:rPr>
                        <w:rFonts w:ascii="Cambria Math" w:hAnsi="Cambria Math"/>
                      </w:rPr>
                      <m:t>(3.72-2.95C</m:t>
                    </m:r>
                  </m:den>
                </m:f>
              </m:e>
            </m:d>
            <m:r>
              <w:rPr>
                <w:rFonts w:ascii="Cambria Math" w:hAnsi="Cambria Math"/>
              </w:rPr>
              <m:t>×</m:t>
            </m:r>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0.7Sn</m:t>
                    </m:r>
                  </m:num>
                  <m:den>
                    <m:r>
                      <w:rPr>
                        <w:rFonts w:ascii="Cambria Math" w:hAnsi="Cambria Math"/>
                      </w:rPr>
                      <m:t>Sn+</m:t>
                    </m:r>
                    <m:func>
                      <m:funcPr>
                        <m:ctrlPr>
                          <w:rPr>
                            <w:rFonts w:ascii="Cambria Math" w:hAnsi="Cambria Math"/>
                          </w:rPr>
                        </m:ctrlPr>
                      </m:funcPr>
                      <m:fName>
                        <m:r>
                          <m:rPr>
                            <m:sty m:val="p"/>
                          </m:rPr>
                          <w:rPr>
                            <w:rFonts w:ascii="Cambria Math" w:hAnsi="Cambria Math"/>
                          </w:rPr>
                          <m:t>exp</m:t>
                        </m:r>
                        <m:ctrlPr>
                          <w:rPr>
                            <w:rFonts w:ascii="Cambria Math" w:hAnsi="Cambria Math"/>
                            <w:i/>
                          </w:rPr>
                        </m:ctrlPr>
                      </m:fName>
                      <m:e>
                        <m:d>
                          <m:dPr>
                            <m:ctrlPr>
                              <w:rPr>
                                <w:rFonts w:ascii="Cambria Math" w:hAnsi="Cambria Math"/>
                                <w:i/>
                              </w:rPr>
                            </m:ctrlPr>
                          </m:dPr>
                          <m:e>
                            <m:r>
                              <w:rPr>
                                <w:rFonts w:ascii="Cambria Math" w:hAnsi="Cambria Math"/>
                              </w:rPr>
                              <m:t>-5.51+22.9*Sn</m:t>
                            </m:r>
                          </m:e>
                        </m:d>
                      </m:e>
                    </m:func>
                  </m:den>
                </m:f>
              </m:e>
            </m:d>
            <m:r>
              <w:rPr>
                <w:rFonts w:ascii="Cambria Math" w:hAnsi="Cambria Math"/>
              </w:rPr>
              <m:t xml:space="preserve"> </m:t>
            </m:r>
          </m:e>
        </m:d>
      </m:oMath>
      <w:r w:rsidRPr="00091C41">
        <w:rPr>
          <w:rFonts w:eastAsiaTheme="minorEastAsia"/>
        </w:rPr>
        <w:t>,</w:t>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r>
      <w:r w:rsidRPr="00091C41">
        <w:rPr>
          <w:rFonts w:eastAsiaTheme="minorEastAsia"/>
        </w:rPr>
        <w:tab/>
        <w:t>(S3)</w:t>
      </w:r>
    </w:p>
    <w:p w14:paraId="214F681F" w14:textId="77777777" w:rsidR="00D979A5" w:rsidRPr="00091C41" w:rsidRDefault="00D979A5" w:rsidP="00D979A5">
      <w:r w:rsidRPr="00091C41">
        <w:t xml:space="preserve">where </w:t>
      </w:r>
      <w:r w:rsidRPr="00091C41">
        <w:rPr>
          <w:i/>
          <w:iCs/>
        </w:rPr>
        <w:t>Sa</w:t>
      </w:r>
      <w:r w:rsidRPr="00091C41">
        <w:t xml:space="preserve"> — sand content, %; </w:t>
      </w:r>
      <w:r w:rsidRPr="00091C41">
        <w:rPr>
          <w:i/>
          <w:iCs/>
        </w:rPr>
        <w:t>Si</w:t>
      </w:r>
      <w:r w:rsidRPr="00091C41">
        <w:t xml:space="preserve"> — silt content, %; </w:t>
      </w:r>
      <w:r w:rsidRPr="00091C41">
        <w:rPr>
          <w:i/>
          <w:iCs/>
        </w:rPr>
        <w:t>Cl</w:t>
      </w:r>
      <w:r w:rsidRPr="00091C41">
        <w:t xml:space="preserve"> — clay content, %; </w:t>
      </w:r>
      <w:r w:rsidRPr="00091C41">
        <w:rPr>
          <w:i/>
          <w:iCs/>
        </w:rPr>
        <w:t>Sn</w:t>
      </w:r>
      <w:r w:rsidRPr="00091C41">
        <w:t xml:space="preserve"> is particle size parameter (</w:t>
      </w:r>
      <m:oMath>
        <m:r>
          <w:rPr>
            <w:rFonts w:ascii="Cambria Math" w:hAnsi="Cambria Math"/>
          </w:rPr>
          <m:t>1-</m:t>
        </m:r>
        <m:f>
          <m:fPr>
            <m:ctrlPr>
              <w:rPr>
                <w:rFonts w:ascii="Cambria Math" w:hAnsi="Cambria Math"/>
                <w:i/>
              </w:rPr>
            </m:ctrlPr>
          </m:fPr>
          <m:num>
            <m:r>
              <w:rPr>
                <w:rFonts w:ascii="Cambria Math" w:hAnsi="Cambria Math"/>
              </w:rPr>
              <m:t>Sa</m:t>
            </m:r>
          </m:num>
          <m:den>
            <m:r>
              <w:rPr>
                <w:rFonts w:ascii="Cambria Math" w:hAnsi="Cambria Math"/>
              </w:rPr>
              <m:t>100</m:t>
            </m:r>
          </m:den>
        </m:f>
      </m:oMath>
      <w:r w:rsidRPr="00091C41">
        <w:t xml:space="preserve">); </w:t>
      </w:r>
      <w:r w:rsidRPr="00091C41">
        <w:rPr>
          <w:i/>
          <w:iCs/>
        </w:rPr>
        <w:t>C</w:t>
      </w:r>
      <w:r w:rsidRPr="00091C41">
        <w:t xml:space="preserve"> — organic matter content, %.</w:t>
      </w:r>
    </w:p>
    <w:p w14:paraId="7E5A3CFB" w14:textId="087A0C27" w:rsidR="00D979A5" w:rsidRPr="00091C41" w:rsidRDefault="00D979A5" w:rsidP="00D979A5">
      <w:pPr>
        <w:rPr>
          <w:lang w:bidi="en-US"/>
        </w:rPr>
      </w:pPr>
      <w:r w:rsidRPr="00091C41">
        <w:t xml:space="preserve">To assess the spatial distribution of various land use/land cover (LULC) classes during the lake's existence, we assumed that the 2021 context reflects the mean annual vegetation cover. This assumption was based on </w:t>
      </w:r>
      <w:r w:rsidRPr="00091C41">
        <w:rPr>
          <w:lang w:bidi="en-US"/>
        </w:rPr>
        <w:t xml:space="preserve">the remote sensing analysis of the Landsat archive </w:t>
      </w:r>
      <w:r w:rsidRPr="00091C41">
        <w:rPr>
          <w:lang w:bidi="en-US"/>
        </w:rPr>
        <w:fldChar w:fldCharType="begin"/>
      </w:r>
      <w:r w:rsidRPr="00091C41">
        <w:rPr>
          <w:lang w:bidi="en-US"/>
        </w:rPr>
        <w:instrText xml:space="preserve"> ADDIN ZOTERO_ITEM CSL_CITATION {"citationID":"g7BWOHal","properties":{"formattedCitation":"(Buchner et al., 2020)","plainCitation":"(Buchner et al., 2020)","noteIndex":0},"citationItems":[{"id":266,"uris":["http://zotero.org/users/6696073/items/LNSDZMHH"],"itemData":{"id":266,"type":"article-journal","abstract":"Mountainous regions are changing rapidly across the world due to both land-use change and climate change. Given the importance of mountainous regions for ecosystem services and endemic biodiversity, monitoring these changes is essential. Satellite data provide a great resource to map land-cover change in mountainous regions, however mapping is especially challenging there because topographic complexity affects reflectance. The so-called ‘topographic effect’ has been successfully corrected for in case studies of small areas, but a comparison of large-area classifications and land-cover change analyses with and without topographic correction is missing. Here, we performed a long-term land-cover change assessment for a large mountainous region, i.e., the Caucasus Mountains with topographic correction. Our two goals were 1) to examine the effect of topographic correction on land-cover classification for a large mountainous region, and 2) to assess land-cover changes since 1987 across the Caucasus based on the full Landsat archive. Both the complex topography and the history of land-use changes, especially after the collapse of the Soviet Union in 1991, make the Caucasus Mountains an ideal study area to understand topographic effects on large-area land-cover mapping for the last three decades. First, we compared a non-topographically-corrected Landsat classification for 2015 with a classification that was topographically-corrected with an enhanced C-correction for the same year and assessed the accuracy of both. Second, we derived topographically-corrected Landsat classifications for six dates to assess changes in cropland and forest from 1987 to 2015, based on class probabilities and post-classification comparisons. In regard to our first goal, topographic correction improved the overall accuracy of the classification only by 2% (from 79 to 81%), but disagreement rates were as high as 100% in mountainous regions, especially among forest types. In regard to our second goal, we found that cropland loss was the most prevalent change process since 1987. Cropland loss was particularly widespread in Georgia and Armenia until 2000, and in Azerbaijan until 2005. The North Caucasus (the Russian Federation) had more stable cropland over time, most likely due to different land reforms after the collapse of the Soviet Union, and the prevalence of flat landscapes and very fertile soils, which make cultivation easier than in the South Caucasus. Rates of forest change throughout the Caucasus Mountains were surprisingly low, with forest loss and forest gain being roughly equal. Forest loss was most likely related to both illegal logging and natural disturbance, whereas forest gain was most likely due to cropland abandonment and less grazing pressure. Our results highlight both the importance and the feasibility of topographic correction for accurate large-area land-cover classifications in steep terrain.","container-title":"Remote Sensing of Environment","DOI":"10.1016/j.rse.2020.111967","ISSN":"0034-4257","journalAbbreviation":"Remote Sensing of Environment","language":"en","page":"111967","source":"ScienceDirect","title":"Land-cover change in the Caucasus Mountains since 1987 based on the topographic correction of multi-temporal Landsat composites","volume":"248","author":[{"family":"Buchner","given":"Johanna"},{"family":"Yin","given":"He"},{"family":"Frantz","given":"David"},{"family":"Kuemmerle","given":"Tobias"},{"family":"Askerov","given":"Elshad"},{"family":"Bakuradze","given":"Tamar"},{"family":"Bleyhl","given":"Benjamin"},{"family":"Elizbarashvili","given":"Nodar"},{"family":"Komarova","given":"Anna"},{"family":"Lewińska","given":"Katarzyna E."},{"family":"Rizayeva","given":"Afag"},{"family":"Sayadyan","given":"Hovik"},{"family":"Tan","given":"Bin"},{"family":"Tepanosyan","given":"Garegin"},{"family":"Zazanashvili","given":"Nugzar"},{"family":"Radeloff","given":"Volker C."}],"issued":{"date-parts":[["2020",10,1]]},"citation-key":"buchnerLandcoverChangeCaucasus2020"}}],"schema":"https://github.com/citation-style-language/schema/raw/master/csl-citation.json"} </w:instrText>
      </w:r>
      <w:r w:rsidRPr="00091C41">
        <w:rPr>
          <w:lang w:bidi="en-US"/>
        </w:rPr>
        <w:fldChar w:fldCharType="separate"/>
      </w:r>
      <w:r w:rsidRPr="00091C41">
        <w:rPr>
          <w:rFonts w:cs="Times New Roman"/>
        </w:rPr>
        <w:t>(Buchner et al., 2020)</w:t>
      </w:r>
      <w:r w:rsidRPr="00091C41">
        <w:rPr>
          <w:lang w:bidi="en-US"/>
        </w:rPr>
        <w:fldChar w:fldCharType="end"/>
      </w:r>
      <w:r w:rsidRPr="00091C41">
        <w:rPr>
          <w:lang w:bidi="en-US"/>
        </w:rPr>
        <w:t xml:space="preserve">, which did not reveal any significant land-use changes during the whole study period (1989–2020). Therefore, we used the orthophoto image taken in August 2021 to map vegetation. We distinguished four LULC categories: shrubs, patchy shrubs, </w:t>
      </w:r>
      <w:proofErr w:type="gramStart"/>
      <w:r w:rsidRPr="00091C41">
        <w:rPr>
          <w:lang w:bidi="en-US"/>
        </w:rPr>
        <w:t>forest</w:t>
      </w:r>
      <w:proofErr w:type="gramEnd"/>
      <w:r w:rsidRPr="00091C41">
        <w:rPr>
          <w:lang w:bidi="en-US"/>
        </w:rPr>
        <w:t xml:space="preserve"> and pasture/grassland. While there were some pieces of evidence of summer pasture (</w:t>
      </w:r>
      <w:r w:rsidR="0074548D" w:rsidRPr="00091C41">
        <w:rPr>
          <w:lang w:bidi="en-US"/>
        </w:rPr>
        <w:t>i.e.,</w:t>
      </w:r>
      <w:r w:rsidRPr="00091C41">
        <w:rPr>
          <w:lang w:bidi="en-US"/>
        </w:rPr>
        <w:t xml:space="preserve"> livestock trails, cattle sheds, see Figure S0), we </w:t>
      </w:r>
      <w:proofErr w:type="spellStart"/>
      <w:r w:rsidRPr="00091C41">
        <w:rPr>
          <w:lang w:bidi="en-US"/>
        </w:rPr>
        <w:t>hypothesised</w:t>
      </w:r>
      <w:proofErr w:type="spellEnd"/>
      <w:r w:rsidRPr="00091C41">
        <w:rPr>
          <w:lang w:bidi="en-US"/>
        </w:rPr>
        <w:t xml:space="preserve"> that pasture is a prevailing LULC class. However, no widespread support management practices were found in the catchment; </w:t>
      </w:r>
      <w:proofErr w:type="gramStart"/>
      <w:r w:rsidRPr="00091C41">
        <w:rPr>
          <w:lang w:bidi="en-US"/>
        </w:rPr>
        <w:t>therefore</w:t>
      </w:r>
      <w:proofErr w:type="gramEnd"/>
      <w:r w:rsidRPr="00091C41">
        <w:rPr>
          <w:lang w:bidi="en-US"/>
        </w:rPr>
        <w:t xml:space="preserve"> </w:t>
      </w:r>
      <w:r w:rsidRPr="00091C41">
        <w:rPr>
          <w:i/>
          <w:iCs/>
          <w:lang w:bidi="en-US"/>
        </w:rPr>
        <w:t>P</w:t>
      </w:r>
      <w:r w:rsidRPr="00091C41">
        <w:rPr>
          <w:lang w:bidi="en-US"/>
        </w:rPr>
        <w:t xml:space="preserve"> factor was neglected. The typical C-factor values were taken from the literature </w:t>
      </w:r>
      <w:r w:rsidRPr="00091C41">
        <w:rPr>
          <w:lang w:bidi="en-US"/>
        </w:rPr>
        <w:fldChar w:fldCharType="begin"/>
      </w:r>
      <w:r w:rsidRPr="00091C41">
        <w:rPr>
          <w:lang w:bidi="en-US"/>
        </w:rPr>
        <w:instrText xml:space="preserve"> ADDIN ZOTERO_ITEM CSL_CITATION {"citationID":"9Xag3xY2","properties":{"formattedCitation":"(Batista et al., 2021; Benavidez et al., 2018)","plainCitation":"(Batista et al., 2021; Benavidez et al., 2018)","noteIndex":0},"citationItems":[{"id":473,"uris":["http://zotero.org/users/6696073/items/N35E9ZZ5"],"itemData":{"id":473,"type":"article-journal","abstract":"Evaluating distributed soil erosion models is challenging because of the uncertainty in models and measurements of system responses. Here, we present an approach to evaluate soil erosion and sediment delivery models, which incorporates sediment source fingerprinting and sediment-rating curve uncertainty into model testing. We applied the Generalized Likelihood Uncertainty Estimation (GLUE) methodology to the Sediment Delivery Distributed model (SEDD) for a large catchment in Southeast Brazil. The model was not rejected, as 23.4% of model realizations were considered behavioral. Fingerprinting results and SEDD simulations showed a partial agreement regarding the identification of the main sediment sources in the catchment. However, grid-based estimates of soil erosion and sediment delivery rates were highly uncertain, which restricted the model's usefulness for quantifying sediment dynamics. Although our results are case-specific, similar levels of error might be expected in erosion models elsewhere. The representation of such errors should be standard practice.","container-title":"Environmental Modelling &amp; Software","DOI":"10.1016/j.envsoft.2021.104961","ISSN":"1364-8152","journalAbbreviation":"Environmental Modelling &amp; Software","language":"en","page":"104961","source":"ScienceDirect","title":"A framework for testing large-scale distributed soil erosion and sediment delivery models: Dealing with uncertainty in models and the observational data","title-short":"A framework for testing large-scale distributed soil erosion and sediment delivery models","volume":"137","author":[{"family":"Batista","given":"Pedro V. G."},{"family":"Laceby","given":"J. Patrick"},{"family":"Davies","given":"Jessica"},{"family":"Carvalho","given":"Teotônio S."},{"family":"Tassinari","given":"Diego"},{"family":"Silva","given":"Marx L. N."},{"family":"Curi","given":"Nilton"},{"family":"Quinton","given":"John N."}],"issued":{"date-parts":[["2021",3,1]]},"citation-key":"batistaFrameworkTestingLargescale2021a"}},{"id":233,"uris":["http://zotero.org/users/6696073/items/T3V22EHF"],"itemData":{"id":233,"type":"article-journal","abstract":"&lt;p&gt;&lt;strong&gt;Abstract.&lt;/strong&gt; Soil erosion is a major problem around the world because of its effects on soil productivity, nutrient loss, siltation in water bodies, and degradation of water quality. By understanding the driving forces behind soil erosion, we can more easily identify erosion-prone areas within a landscape to address the problem strategically. Soil erosion models have been used to assist in this task. One of the most commonly used soil erosion models is the Universal Soil Loss Equation (USLE) and its family of models: the Revised Universal Soil Loss Equation (RUSLE), the Revised Universal Soil Loss Equation version 2 (RUSLE2), and the Modified Universal Soil Loss Equation (MUSLE). This paper reviews the different sub-factors of USLE and RUSLE, and analyses how different studies around the world have adapted the equations to local conditions. We compiled these studies and equations to serve as a reference for other researchers working with (R)USLE and related approaches. Within each sub-factor section, the strengths and limitations of the different equations are discussed, and guidance is given as to which equations may be most appropriate for particular climate types, spatial resolution, and temporal scale. We investigate some of the limitations of existing (R)USLE formulations, such as uncertainty issues given the simple empirical nature of the model and many of its sub-components; uncertainty issues around data availability; and its inability to account for soil loss from gully erosion, mass wasting events, or predicting potential sediment yields to streams. Recommendations on how to overcome some of the uncertainties associated with the model are given. Several key future directions to refine it are outlined: e.g. incorporating soil loss from other types of soil erosion, estimating soil loss at sub-annual temporal scales, and compiling consistent units for the future literature to reduce confusion and errors caused by mismatching units. The potential of combining (R)USLE with the Compound Topographic Index (CTI) and sediment delivery ratio (SDR) to account for gully erosion and sediment yield to streams respectively is discussed. Overall, the aim of this paper is to review the (R)USLE and its sub-factors, and to elucidate the caveats, limitations, and recommendations for future applications of these soil erosion models. We hope these recommendations will help researchers more robustly apply (R)USLE in a range of geoclimatic regions with varying data availability, and modelling different land cover scenarios at finer spatial and temporal scales (e.g. at the field scale with different cropping options).&lt;/p&gt;","container-title":"Hydrology and Earth System Sciences","DOI":"https://doi.org/10.5194/hess-22-6059-2018","ISSN":"1027-5606","issue":"11","language":"English","note":"publisher: Copernicus GmbH","page":"6059-6086","source":"hess.copernicus.org","title":"A review of the (Revised) Universal Soil Loss Equation ((R)USLE): with a view to increasing its global applicability and improving soil loss estimates","title-short":"A review of the (Revised) Universal Soil Loss Equation ((R)USLE)","volume":"22","author":[{"family":"Benavidez","given":"Rubianca"},{"family":"Jackson","given":"Bethanna"},{"family":"Maxwell","given":"Deborah"},{"family":"Norton","given":"Kevin"}],"issued":{"date-parts":[["2018",11,27]]},"citation-key":"benavidezReviewRevisedUniversal2018"}}],"schema":"https://github.com/citation-style-language/schema/raw/master/csl-citation.json"} </w:instrText>
      </w:r>
      <w:r w:rsidRPr="00091C41">
        <w:rPr>
          <w:lang w:bidi="en-US"/>
        </w:rPr>
        <w:fldChar w:fldCharType="separate"/>
      </w:r>
      <w:r w:rsidRPr="00091C41">
        <w:rPr>
          <w:rFonts w:cs="Times New Roman"/>
        </w:rPr>
        <w:t>(Batista et al., 2021; Benavidez et al., 2018)</w:t>
      </w:r>
      <w:r w:rsidRPr="00091C41">
        <w:rPr>
          <w:lang w:bidi="en-US"/>
        </w:rPr>
        <w:fldChar w:fldCharType="end"/>
      </w:r>
      <w:r w:rsidRPr="00091C41">
        <w:rPr>
          <w:lang w:bidi="en-US"/>
        </w:rPr>
        <w:t xml:space="preserve"> and presented in Table </w:t>
      </w:r>
      <w:r w:rsidR="0019105F" w:rsidRPr="00091C41">
        <w:rPr>
          <w:lang w:bidi="en-US"/>
        </w:rPr>
        <w:t>S3</w:t>
      </w:r>
      <w:r w:rsidRPr="00091C41">
        <w:rPr>
          <w:lang w:bidi="en-US"/>
        </w:rPr>
        <w:t>.</w:t>
      </w:r>
    </w:p>
    <w:p w14:paraId="5C3B73E2" w14:textId="77777777" w:rsidR="00D979A5" w:rsidRPr="00091C41" w:rsidRDefault="00D979A5" w:rsidP="00D979A5">
      <w:pPr>
        <w:rPr>
          <w:rFonts w:cs="Times New Roman"/>
          <w:color w:val="000000"/>
        </w:rPr>
      </w:pPr>
      <w:r w:rsidRPr="00091C41">
        <w:t xml:space="preserve">To assess the slope length LS factor, we used </w:t>
      </w:r>
      <w:r w:rsidRPr="00091C41">
        <w:rPr>
          <w:rFonts w:cs="Times New Roman"/>
          <w:color w:val="000000"/>
        </w:rPr>
        <w:t>a recently developed LS</w:t>
      </w:r>
      <w:r w:rsidRPr="00091C41">
        <w:rPr>
          <w:rFonts w:cs="Times New Roman"/>
          <w:color w:val="000000"/>
          <w:vertAlign w:val="subscript"/>
        </w:rPr>
        <w:t>alpine</w:t>
      </w:r>
      <w:r w:rsidRPr="00091C41">
        <w:rPr>
          <w:rFonts w:cs="Times New Roman"/>
          <w:color w:val="000000"/>
        </w:rPr>
        <w:t xml:space="preserve"> equation </w:t>
      </w:r>
      <w:r w:rsidRPr="00091C41">
        <w:rPr>
          <w:rFonts w:cs="Times New Roman"/>
          <w:color w:val="000000"/>
        </w:rPr>
        <w:fldChar w:fldCharType="begin"/>
      </w:r>
      <w:r w:rsidRPr="00091C41">
        <w:rPr>
          <w:rFonts w:cs="Times New Roman"/>
          <w:color w:val="000000"/>
        </w:rPr>
        <w:instrText xml:space="preserve"> ADDIN ZOTERO_ITEM CSL_CITATION {"citationID":"azyOzruL","properties":{"formattedCitation":"(Schmidt et al., 2019)","plainCitation":"(Schmidt et al., 2019)","noteIndex":0},"citationItems":[{"id":568,"uris":["http://zotero.org/users/6696073/items/YISW2MGE"],"itemData":{"id":568,"type":"article-journal","abstract":"The slope length and slope steepness factor (LS-factor) is one of five factors of the Universal Soil Loss Equation (USLE) and its revised version (RUSLE) describing the influence of topography on soil erosion risk. The LS-factor was originally developed for slopes less than 50% inclination and has not been tested for steeper slopes. To overcome this limitation, we adapted both factors slope length L and slope steepness S for conditions experimentally observed at Swiss alpine grasslands. For the new L-factor (Lalpine), a maximal flow path threshold, corresponding to 100 m, was implemented to take into account short runoff flow paths and rapid infiltration that has been observed in our experiments. For the S-factor, a fitted quadratic polynomial function (Salpine) has been established, compiling the most extensive empirical studies. As a model evaluation, uncertainty intervals are presented for this modified S-factor. We observed that uncertainty increases with slope gradient. In summary, the proposed modification of the LS-factor to alpine environments enables an improved prediction of soil erosion risk including steep slopes. •Empirical experiments (rainfall simulation, sediment measurements) were conducted on Swiss alpine grasslands to assess the maximal flow length and slope steepness factor (S-factor).•Flow accumulation is limited to a maximal flow threshold (100 m) at which overland runoff is realistic in alpine grassland.•Slope steepness factor is modified by a fitted S-factor equation from existing empirical S-factor functions.","container-title":"MethodsX","DOI":"10.1016/j.mex.2019.01.004","ISSN":"2215-0161","journalAbbreviation":"MethodsX","language":"en","page":"219-229","source":"ScienceDirect","title":"Modification of the RUSLE slope length and steepness factor (LS-factor) based on rainfall experiments at steep alpine grasslands","volume":"6","author":[{"family":"Schmidt","given":"Simon"},{"family":"Tresch","given":"Simon"},{"family":"Meusburger","given":"Katrin"}],"issued":{"date-parts":[["2019"]]},"citation-key":"schmidtModificationRUSLESlope2019"}}],"schema":"https://github.com/citation-style-language/schema/raw/master/csl-citation.json"} </w:instrText>
      </w:r>
      <w:r w:rsidRPr="00091C41">
        <w:rPr>
          <w:rFonts w:cs="Times New Roman"/>
          <w:color w:val="000000"/>
        </w:rPr>
        <w:fldChar w:fldCharType="separate"/>
      </w:r>
      <w:r w:rsidRPr="00091C41">
        <w:rPr>
          <w:rFonts w:cs="Times New Roman"/>
        </w:rPr>
        <w:t>(Schmidt et al., 2019)</w:t>
      </w:r>
      <w:r w:rsidRPr="00091C41">
        <w:rPr>
          <w:rFonts w:cs="Times New Roman"/>
          <w:color w:val="000000"/>
        </w:rPr>
        <w:fldChar w:fldCharType="end"/>
      </w:r>
      <w:r w:rsidRPr="00091C41">
        <w:rPr>
          <w:rFonts w:cs="Times New Roman"/>
          <w:color w:val="000000"/>
        </w:rPr>
        <w:t>. The method has been designed explicitly for mountain regions and tested in the Swiss Alps. The authors propose several adaptations of existing S-factor formulas and suggest limiting the maximal flow length to 120 m (i.e., calculating L-factor with threshold):</w:t>
      </w:r>
    </w:p>
    <w:p w14:paraId="6FD992F2" w14:textId="70287601" w:rsidR="00D979A5" w:rsidRPr="00091C41" w:rsidRDefault="00000000" w:rsidP="00D979A5">
      <w:pPr>
        <w:rPr>
          <w:rFonts w:eastAsiaTheme="minorEastAsia" w:cs="Times New Roman"/>
          <w:color w:val="000000"/>
        </w:rPr>
      </w:pPr>
      <m:oMath>
        <m:sSub>
          <m:sSubPr>
            <m:ctrlPr>
              <w:rPr>
                <w:rFonts w:ascii="Cambria Math" w:hAnsi="Cambria Math" w:cs="Times New Roman"/>
                <w:i/>
                <w:color w:val="000000"/>
              </w:rPr>
            </m:ctrlPr>
          </m:sSubPr>
          <m:e>
            <m:r>
              <w:rPr>
                <w:rFonts w:ascii="Cambria Math" w:hAnsi="Cambria Math" w:cs="Times New Roman"/>
                <w:color w:val="000000"/>
              </w:rPr>
              <m:t>S</m:t>
            </m:r>
          </m:e>
          <m:sub>
            <m:r>
              <w:rPr>
                <w:rFonts w:ascii="Cambria Math" w:hAnsi="Cambria Math" w:cs="Times New Roman"/>
                <w:color w:val="000000"/>
              </w:rPr>
              <m:t>alpine</m:t>
            </m:r>
          </m:sub>
        </m:sSub>
        <m:r>
          <w:rPr>
            <w:rFonts w:ascii="Cambria Math" w:hAnsi="Cambria Math" w:cs="Times New Roman"/>
            <w:color w:val="000000"/>
          </w:rPr>
          <m:t>=0.0005</m:t>
        </m:r>
        <m:sSup>
          <m:sSupPr>
            <m:ctrlPr>
              <w:rPr>
                <w:rFonts w:ascii="Cambria Math" w:hAnsi="Cambria Math" w:cs="Times New Roman"/>
                <w:i/>
                <w:color w:val="000000"/>
              </w:rPr>
            </m:ctrlPr>
          </m:sSupPr>
          <m:e>
            <m:r>
              <w:rPr>
                <w:rFonts w:ascii="Cambria Math" w:hAnsi="Cambria Math" w:cs="Times New Roman"/>
                <w:color w:val="000000"/>
              </w:rPr>
              <m:t>s</m:t>
            </m:r>
          </m:e>
          <m:sup>
            <m:r>
              <w:rPr>
                <w:rFonts w:ascii="Cambria Math" w:hAnsi="Cambria Math" w:cs="Times New Roman"/>
                <w:color w:val="000000"/>
              </w:rPr>
              <m:t>2</m:t>
            </m:r>
          </m:sup>
        </m:sSup>
        <m:r>
          <w:rPr>
            <w:rFonts w:ascii="Cambria Math" w:hAnsi="Cambria Math" w:cs="Times New Roman"/>
            <w:color w:val="000000"/>
          </w:rPr>
          <m:t>+0.1795s-0.4418</m:t>
        </m:r>
      </m:oMath>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t>(S4)</w:t>
      </w:r>
    </w:p>
    <w:p w14:paraId="08E732B2" w14:textId="4812CEA4" w:rsidR="00D979A5" w:rsidRPr="00091C41" w:rsidRDefault="00000000" w:rsidP="00D979A5">
      <w:pPr>
        <w:rPr>
          <w:rFonts w:eastAsiaTheme="minorEastAsia" w:cs="Times New Roman"/>
          <w:color w:val="000000"/>
        </w:rPr>
      </w:pPr>
      <m:oMath>
        <m:sSub>
          <m:sSubPr>
            <m:ctrlPr>
              <w:rPr>
                <w:rFonts w:ascii="Cambria Math" w:hAnsi="Cambria Math" w:cs="Times New Roman"/>
                <w:i/>
                <w:color w:val="000000"/>
              </w:rPr>
            </m:ctrlPr>
          </m:sSubPr>
          <m:e>
            <m:r>
              <w:rPr>
                <w:rFonts w:ascii="Cambria Math" w:hAnsi="Cambria Math" w:cs="Times New Roman"/>
                <w:color w:val="000000"/>
              </w:rPr>
              <m:t>L</m:t>
            </m:r>
          </m:e>
          <m:sub>
            <m:r>
              <w:rPr>
                <w:rFonts w:ascii="Cambria Math" w:hAnsi="Cambria Math" w:cs="Times New Roman"/>
                <w:color w:val="000000"/>
              </w:rPr>
              <m:t>alpine i,j</m:t>
            </m:r>
          </m:sub>
        </m:sSub>
        <m:r>
          <w:rPr>
            <w:rFonts w:ascii="Cambria Math" w:eastAsiaTheme="minorEastAsia" w:hAnsi="Cambria Math" w:cs="Times New Roman"/>
            <w:color w:val="000000"/>
          </w:rPr>
          <m:t xml:space="preserve">= </m:t>
        </m:r>
        <m:f>
          <m:fPr>
            <m:ctrlPr>
              <w:rPr>
                <w:rFonts w:ascii="Cambria Math" w:eastAsiaTheme="minorEastAsia" w:hAnsi="Cambria Math" w:cs="Times New Roman"/>
                <w:i/>
                <w:color w:val="000000"/>
              </w:rPr>
            </m:ctrlPr>
          </m:fPr>
          <m:num>
            <m:sSup>
              <m:sSupPr>
                <m:ctrlPr>
                  <w:rPr>
                    <w:rFonts w:ascii="Cambria Math" w:eastAsiaTheme="minorEastAsia" w:hAnsi="Cambria Math" w:cs="Times New Roman"/>
                    <w:i/>
                    <w:color w:val="000000"/>
                  </w:rPr>
                </m:ctrlPr>
              </m:sSupPr>
              <m:e>
                <m:d>
                  <m:dPr>
                    <m:ctrlPr>
                      <w:rPr>
                        <w:rFonts w:ascii="Cambria Math" w:eastAsiaTheme="minorEastAsia" w:hAnsi="Cambria Math" w:cs="Times New Roman"/>
                        <w:i/>
                        <w:color w:val="000000"/>
                      </w:rPr>
                    </m:ctrlPr>
                  </m:dPr>
                  <m:e>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A</m:t>
                        </m:r>
                      </m:e>
                      <m:sub>
                        <m:r>
                          <w:rPr>
                            <w:rFonts w:ascii="Cambria Math" w:eastAsiaTheme="minorEastAsia" w:hAnsi="Cambria Math" w:cs="Times New Roman"/>
                            <w:color w:val="000000"/>
                          </w:rPr>
                          <m:t>apline i,j</m:t>
                        </m:r>
                      </m:sub>
                    </m:sSub>
                    <m:r>
                      <w:rPr>
                        <w:rFonts w:ascii="Cambria Math" w:eastAsiaTheme="minorEastAsia" w:hAnsi="Cambria Math" w:cs="Times New Roman"/>
                        <w:color w:val="000000"/>
                      </w:rPr>
                      <m:t>+</m:t>
                    </m:r>
                    <m:sSup>
                      <m:sSupPr>
                        <m:ctrlPr>
                          <w:rPr>
                            <w:rFonts w:ascii="Cambria Math" w:eastAsiaTheme="minorEastAsia" w:hAnsi="Cambria Math" w:cs="Times New Roman"/>
                            <w:i/>
                            <w:color w:val="000000"/>
                          </w:rPr>
                        </m:ctrlPr>
                      </m:sSupPr>
                      <m:e>
                        <m:r>
                          <w:rPr>
                            <w:rFonts w:ascii="Cambria Math" w:eastAsiaTheme="minorEastAsia" w:hAnsi="Cambria Math" w:cs="Times New Roman"/>
                            <w:color w:val="000000"/>
                          </w:rPr>
                          <m:t>D</m:t>
                        </m:r>
                      </m:e>
                      <m:sup>
                        <m:r>
                          <w:rPr>
                            <w:rFonts w:ascii="Cambria Math" w:eastAsiaTheme="minorEastAsia" w:hAnsi="Cambria Math" w:cs="Times New Roman"/>
                            <w:color w:val="000000"/>
                          </w:rPr>
                          <m:t>2</m:t>
                        </m:r>
                      </m:sup>
                    </m:sSup>
                  </m:e>
                </m:d>
              </m:e>
              <m:sup>
                <m:r>
                  <w:rPr>
                    <w:rFonts w:ascii="Cambria Math" w:eastAsiaTheme="minorEastAsia" w:hAnsi="Cambria Math" w:cs="Times New Roman"/>
                    <w:color w:val="000000"/>
                  </w:rPr>
                  <m:t>m+1</m:t>
                </m:r>
              </m:sup>
            </m:sSup>
            <m:r>
              <w:rPr>
                <w:rFonts w:ascii="Cambria Math" w:eastAsiaTheme="minorEastAsia" w:hAnsi="Cambria Math" w:cs="Times New Roman"/>
                <w:color w:val="000000"/>
              </w:rPr>
              <m:t>-</m:t>
            </m:r>
            <m:sSubSup>
              <m:sSubSupPr>
                <m:ctrlPr>
                  <w:rPr>
                    <w:rFonts w:ascii="Cambria Math" w:eastAsiaTheme="minorEastAsia" w:hAnsi="Cambria Math" w:cs="Times New Roman"/>
                    <w:i/>
                    <w:color w:val="000000"/>
                  </w:rPr>
                </m:ctrlPr>
              </m:sSubSupPr>
              <m:e>
                <m:r>
                  <w:rPr>
                    <w:rFonts w:ascii="Cambria Math" w:eastAsiaTheme="minorEastAsia" w:hAnsi="Cambria Math" w:cs="Times New Roman"/>
                    <w:color w:val="000000"/>
                  </w:rPr>
                  <m:t>A</m:t>
                </m:r>
              </m:e>
              <m:sub>
                <m:r>
                  <w:rPr>
                    <w:rFonts w:ascii="Cambria Math" w:eastAsiaTheme="minorEastAsia" w:hAnsi="Cambria Math" w:cs="Times New Roman"/>
                    <w:color w:val="000000"/>
                  </w:rPr>
                  <m:t>alpine i,j</m:t>
                </m:r>
              </m:sub>
              <m:sup>
                <m:r>
                  <w:rPr>
                    <w:rFonts w:ascii="Cambria Math" w:eastAsiaTheme="minorEastAsia" w:hAnsi="Cambria Math" w:cs="Times New Roman"/>
                    <w:color w:val="000000"/>
                  </w:rPr>
                  <m:t>m+1</m:t>
                </m:r>
              </m:sup>
            </m:sSubSup>
          </m:num>
          <m:den>
            <m:sSup>
              <m:sSupPr>
                <m:ctrlPr>
                  <w:rPr>
                    <w:rFonts w:ascii="Cambria Math" w:eastAsiaTheme="minorEastAsia" w:hAnsi="Cambria Math" w:cs="Times New Roman"/>
                    <w:i/>
                    <w:color w:val="000000"/>
                  </w:rPr>
                </m:ctrlPr>
              </m:sSupPr>
              <m:e>
                <m:r>
                  <w:rPr>
                    <w:rFonts w:ascii="Cambria Math" w:eastAsiaTheme="minorEastAsia" w:hAnsi="Cambria Math" w:cs="Times New Roman"/>
                    <w:color w:val="000000"/>
                  </w:rPr>
                  <m:t>D</m:t>
                </m:r>
              </m:e>
              <m:sup>
                <m:r>
                  <w:rPr>
                    <w:rFonts w:ascii="Cambria Math" w:eastAsiaTheme="minorEastAsia" w:hAnsi="Cambria Math" w:cs="Times New Roman"/>
                    <w:color w:val="000000"/>
                  </w:rPr>
                  <m:t>m+2</m:t>
                </m:r>
              </m:sup>
            </m:sSup>
            <m:r>
              <w:rPr>
                <w:rFonts w:ascii="Cambria Math" w:eastAsiaTheme="minorEastAsia" w:hAnsi="Cambria Math" w:cs="Times New Roman"/>
                <w:color w:val="000000"/>
              </w:rPr>
              <m:t>·</m:t>
            </m:r>
            <m:sSubSup>
              <m:sSubSupPr>
                <m:ctrlPr>
                  <w:rPr>
                    <w:rFonts w:ascii="Cambria Math" w:eastAsiaTheme="minorEastAsia" w:hAnsi="Cambria Math" w:cs="Times New Roman"/>
                    <w:i/>
                    <w:color w:val="000000"/>
                  </w:rPr>
                </m:ctrlPr>
              </m:sSubSupPr>
              <m:e>
                <m:r>
                  <w:rPr>
                    <w:rFonts w:ascii="Cambria Math" w:eastAsiaTheme="minorEastAsia" w:hAnsi="Cambria Math" w:cs="Times New Roman"/>
                    <w:color w:val="000000"/>
                  </w:rPr>
                  <m:t>X</m:t>
                </m:r>
              </m:e>
              <m:sub>
                <m:r>
                  <w:rPr>
                    <w:rFonts w:ascii="Cambria Math" w:eastAsiaTheme="minorEastAsia" w:hAnsi="Cambria Math" w:cs="Times New Roman"/>
                    <w:color w:val="000000"/>
                  </w:rPr>
                  <m:t>i,j</m:t>
                </m:r>
              </m:sub>
              <m:sup>
                <m:r>
                  <w:rPr>
                    <w:rFonts w:ascii="Cambria Math" w:eastAsiaTheme="minorEastAsia" w:hAnsi="Cambria Math" w:cs="Times New Roman"/>
                    <w:color w:val="000000"/>
                  </w:rPr>
                  <m:t>m</m:t>
                </m:r>
              </m:sup>
            </m:sSubSup>
            <m:r>
              <w:rPr>
                <w:rFonts w:ascii="Cambria Math" w:eastAsiaTheme="minorEastAsia" w:hAnsi="Cambria Math" w:cs="Times New Roman"/>
                <w:color w:val="000000"/>
              </w:rPr>
              <m:t>·</m:t>
            </m:r>
            <m:sSup>
              <m:sSupPr>
                <m:ctrlPr>
                  <w:rPr>
                    <w:rFonts w:ascii="Cambria Math" w:eastAsiaTheme="minorEastAsia" w:hAnsi="Cambria Math" w:cs="Times New Roman"/>
                    <w:i/>
                    <w:color w:val="000000"/>
                  </w:rPr>
                </m:ctrlPr>
              </m:sSupPr>
              <m:e>
                <m:r>
                  <w:rPr>
                    <w:rFonts w:ascii="Cambria Math" w:eastAsiaTheme="minorEastAsia" w:hAnsi="Cambria Math" w:cs="Times New Roman"/>
                    <w:color w:val="000000"/>
                  </w:rPr>
                  <m:t>22.13</m:t>
                </m:r>
              </m:e>
              <m:sup>
                <m:r>
                  <w:rPr>
                    <w:rFonts w:ascii="Cambria Math" w:eastAsiaTheme="minorEastAsia" w:hAnsi="Cambria Math" w:cs="Times New Roman"/>
                    <w:color w:val="000000"/>
                  </w:rPr>
                  <m:t>m</m:t>
                </m:r>
              </m:sup>
            </m:sSup>
          </m:den>
        </m:f>
      </m:oMath>
      <w:r w:rsidR="00D979A5" w:rsidRPr="00091C41">
        <w:rPr>
          <w:rFonts w:eastAsiaTheme="minorEastAsia" w:cs="Times New Roman"/>
          <w:color w:val="000000"/>
        </w:rPr>
        <w:t>,</w:t>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t>(S5)</w:t>
      </w:r>
    </w:p>
    <w:p w14:paraId="289095FB" w14:textId="32DE029A" w:rsidR="00D979A5" w:rsidRPr="00091C41" w:rsidRDefault="00000000" w:rsidP="00D979A5">
      <w:pPr>
        <w:rPr>
          <w:rFonts w:eastAsiaTheme="minorEastAsia" w:cs="Times New Roman"/>
          <w:color w:val="000000"/>
        </w:rPr>
      </w:pPr>
      <m:oMath>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A</m:t>
            </m:r>
          </m:e>
          <m:sub>
            <m:r>
              <w:rPr>
                <w:rFonts w:ascii="Cambria Math" w:eastAsiaTheme="minorEastAsia" w:hAnsi="Cambria Math" w:cs="Times New Roman"/>
                <w:color w:val="000000"/>
              </w:rPr>
              <m:t>alpine i,j</m:t>
            </m:r>
          </m:sub>
        </m:sSub>
        <m:r>
          <w:rPr>
            <w:rFonts w:ascii="Cambria Math" w:eastAsiaTheme="minorEastAsia" w:hAnsi="Cambria Math" w:cs="Times New Roman"/>
            <w:color w:val="000000"/>
          </w:rPr>
          <m:t>=ifelse(</m:t>
        </m:r>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A</m:t>
            </m:r>
          </m:e>
          <m:sub>
            <m:r>
              <w:rPr>
                <w:rFonts w:ascii="Cambria Math" w:eastAsiaTheme="minorEastAsia" w:hAnsi="Cambria Math" w:cs="Times New Roman"/>
                <w:color w:val="000000"/>
              </w:rPr>
              <m:t>i,j</m:t>
            </m:r>
          </m:sub>
        </m:sSub>
        <m:r>
          <w:rPr>
            <w:rFonts w:ascii="Cambria Math" w:eastAsiaTheme="minorEastAsia" w:hAnsi="Cambria Math" w:cs="Times New Roman"/>
            <w:color w:val="000000"/>
          </w:rPr>
          <m:t xml:space="preserve">&gt;100, 100, </m:t>
        </m:r>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A</m:t>
            </m:r>
          </m:e>
          <m:sub>
            <m:r>
              <w:rPr>
                <w:rFonts w:ascii="Cambria Math" w:eastAsiaTheme="minorEastAsia" w:hAnsi="Cambria Math" w:cs="Times New Roman"/>
                <w:color w:val="000000"/>
              </w:rPr>
              <m:t>i,j</m:t>
            </m:r>
          </m:sub>
        </m:sSub>
        <m:r>
          <w:rPr>
            <w:rFonts w:ascii="Cambria Math" w:eastAsiaTheme="minorEastAsia" w:hAnsi="Cambria Math" w:cs="Times New Roman"/>
            <w:color w:val="000000"/>
          </w:rPr>
          <m:t xml:space="preserve">) </m:t>
        </m:r>
      </m:oMath>
      <w:r w:rsidR="00D979A5" w:rsidRPr="00091C41">
        <w:rPr>
          <w:rFonts w:eastAsiaTheme="minorEastAsia" w:cs="Times New Roman"/>
          <w:color w:val="000000"/>
        </w:rPr>
        <w:t>,</w:t>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r>
      <w:r w:rsidR="00D979A5" w:rsidRPr="00091C41">
        <w:rPr>
          <w:rFonts w:eastAsiaTheme="minorEastAsia" w:cs="Times New Roman"/>
          <w:color w:val="000000"/>
        </w:rPr>
        <w:tab/>
        <w:t>(S6)</w:t>
      </w:r>
    </w:p>
    <w:p w14:paraId="4DD68451" w14:textId="77777777" w:rsidR="00D979A5" w:rsidRPr="00091C41" w:rsidRDefault="00D979A5" w:rsidP="00D979A5">
      <w:pPr>
        <w:rPr>
          <w:rFonts w:eastAsiaTheme="minorEastAsia" w:cs="Times New Roman"/>
          <w:color w:val="000000"/>
        </w:rPr>
      </w:pPr>
      <w:r w:rsidRPr="00091C41">
        <w:rPr>
          <w:rFonts w:eastAsiaTheme="minorEastAsia" w:cs="Times New Roman"/>
          <w:color w:val="000000"/>
        </w:rPr>
        <w:t xml:space="preserve">In these equations, </w:t>
      </w:r>
      <m:oMath>
        <m:r>
          <w:rPr>
            <w:rFonts w:ascii="Cambria Math" w:eastAsiaTheme="minorEastAsia" w:hAnsi="Cambria Math" w:cs="Times New Roman"/>
            <w:color w:val="000000"/>
          </w:rPr>
          <m:t>s</m:t>
        </m:r>
      </m:oMath>
      <w:r w:rsidRPr="00091C41">
        <w:rPr>
          <w:rFonts w:eastAsiaTheme="minorEastAsia" w:cs="Times New Roman"/>
          <w:color w:val="000000"/>
        </w:rPr>
        <w:t xml:space="preserve"> is the slope steepness (%); </w:t>
      </w:r>
      <m:oMath>
        <m:r>
          <w:rPr>
            <w:rFonts w:ascii="Cambria Math" w:eastAsiaTheme="minorEastAsia" w:hAnsi="Cambria Math" w:cs="Times New Roman"/>
            <w:color w:val="000000"/>
          </w:rPr>
          <m:t>D</m:t>
        </m:r>
      </m:oMath>
      <w:r w:rsidRPr="00091C41">
        <w:rPr>
          <w:rFonts w:eastAsiaTheme="minorEastAsia" w:cs="Times New Roman"/>
          <w:color w:val="000000"/>
        </w:rPr>
        <w:t xml:space="preserve"> is the cell size (m); </w:t>
      </w:r>
      <m:oMath>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X</m:t>
            </m:r>
          </m:e>
          <m:sub>
            <m:r>
              <w:rPr>
                <w:rFonts w:ascii="Cambria Math" w:eastAsiaTheme="minorEastAsia" w:hAnsi="Cambria Math" w:cs="Times New Roman"/>
                <w:color w:val="000000"/>
              </w:rPr>
              <m:t>i,j</m:t>
            </m:r>
          </m:sub>
        </m:sSub>
      </m:oMath>
      <w:r w:rsidRPr="00091C41">
        <w:rPr>
          <w:rFonts w:eastAsiaTheme="minorEastAsia" w:cs="Times New Roman"/>
          <w:color w:val="000000"/>
        </w:rPr>
        <w:t xml:space="preserve"> equals to </w:t>
      </w:r>
      <m:oMath>
        <m:func>
          <m:funcPr>
            <m:ctrlPr>
              <w:rPr>
                <w:rFonts w:ascii="Cambria Math" w:eastAsiaTheme="minorEastAsia" w:hAnsi="Cambria Math" w:cs="Times New Roman"/>
                <w:i/>
                <w:color w:val="000000"/>
              </w:rPr>
            </m:ctrlPr>
          </m:funcPr>
          <m:fName>
            <m:r>
              <m:rPr>
                <m:sty m:val="p"/>
              </m:rPr>
              <w:rPr>
                <w:rFonts w:ascii="Cambria Math" w:hAnsi="Cambria Math" w:cs="Times New Roman"/>
                <w:color w:val="000000"/>
              </w:rPr>
              <m:t>sin</m:t>
            </m:r>
          </m:fName>
          <m:e>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α</m:t>
                </m:r>
              </m:e>
              <m:sub>
                <m:r>
                  <w:rPr>
                    <w:rFonts w:ascii="Cambria Math" w:eastAsiaTheme="minorEastAsia" w:hAnsi="Cambria Math" w:cs="Times New Roman"/>
                    <w:color w:val="000000"/>
                  </w:rPr>
                  <m:t>i,j</m:t>
                </m:r>
              </m:sub>
            </m:sSub>
          </m:e>
        </m:func>
        <m:r>
          <w:rPr>
            <w:rFonts w:ascii="Cambria Math" w:eastAsiaTheme="minorEastAsia" w:hAnsi="Cambria Math" w:cs="Times New Roman"/>
            <w:color w:val="000000"/>
          </w:rPr>
          <m:t>+</m:t>
        </m:r>
        <m:func>
          <m:funcPr>
            <m:ctrlPr>
              <w:rPr>
                <w:rFonts w:ascii="Cambria Math" w:eastAsiaTheme="minorEastAsia" w:hAnsi="Cambria Math" w:cs="Times New Roman"/>
                <w:i/>
                <w:color w:val="000000"/>
              </w:rPr>
            </m:ctrlPr>
          </m:funcPr>
          <m:fName>
            <m:r>
              <m:rPr>
                <m:sty m:val="p"/>
              </m:rPr>
              <w:rPr>
                <w:rFonts w:ascii="Cambria Math" w:hAnsi="Cambria Math" w:cs="Times New Roman"/>
                <w:color w:val="000000"/>
              </w:rPr>
              <m:t>cos</m:t>
            </m:r>
          </m:fName>
          <m:e>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α</m:t>
                </m:r>
              </m:e>
              <m:sub>
                <m:r>
                  <w:rPr>
                    <w:rFonts w:ascii="Cambria Math" w:eastAsiaTheme="minorEastAsia" w:hAnsi="Cambria Math" w:cs="Times New Roman"/>
                    <w:color w:val="000000"/>
                  </w:rPr>
                  <m:t>i,j</m:t>
                </m:r>
              </m:sub>
            </m:sSub>
          </m:e>
        </m:func>
      </m:oMath>
      <w:r w:rsidRPr="00091C41">
        <w:rPr>
          <w:rFonts w:eastAsiaTheme="minorEastAsia" w:cs="Times New Roman"/>
          <w:color w:val="000000"/>
        </w:rPr>
        <w:t xml:space="preserve">, where </w:t>
      </w:r>
      <m:oMath>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α</m:t>
            </m:r>
          </m:e>
          <m:sub>
            <m:r>
              <w:rPr>
                <w:rFonts w:ascii="Cambria Math" w:eastAsiaTheme="minorEastAsia" w:hAnsi="Cambria Math" w:cs="Times New Roman"/>
                <w:color w:val="000000"/>
              </w:rPr>
              <m:t>i,j</m:t>
            </m:r>
          </m:sub>
        </m:sSub>
      </m:oMath>
      <w:r w:rsidRPr="00091C41">
        <w:rPr>
          <w:rFonts w:eastAsiaTheme="minorEastAsia" w:cs="Times New Roman"/>
          <w:color w:val="000000"/>
        </w:rPr>
        <w:t xml:space="preserve"> is the aspect of the DEM cell (</w:t>
      </w:r>
      <m:oMath>
        <m:r>
          <w:rPr>
            <w:rFonts w:ascii="Cambria Math" w:eastAsiaTheme="minorEastAsia" w:hAnsi="Cambria Math" w:cs="Times New Roman"/>
            <w:color w:val="000000"/>
          </w:rPr>
          <m:t>i,j</m:t>
        </m:r>
      </m:oMath>
      <w:r w:rsidRPr="00091C41">
        <w:rPr>
          <w:rFonts w:eastAsiaTheme="minorEastAsia" w:cs="Times New Roman"/>
          <w:color w:val="000000"/>
        </w:rPr>
        <w:t xml:space="preserve">); </w:t>
      </w:r>
      <m:oMath>
        <m:sSub>
          <m:sSubPr>
            <m:ctrlPr>
              <w:rPr>
                <w:rFonts w:ascii="Cambria Math" w:eastAsiaTheme="minorEastAsia" w:hAnsi="Cambria Math" w:cs="Times New Roman"/>
                <w:i/>
                <w:color w:val="000000"/>
              </w:rPr>
            </m:ctrlPr>
          </m:sSubPr>
          <m:e>
            <m:r>
              <w:rPr>
                <w:rFonts w:ascii="Cambria Math" w:eastAsiaTheme="minorEastAsia" w:hAnsi="Cambria Math" w:cs="Times New Roman"/>
                <w:color w:val="000000"/>
              </w:rPr>
              <m:t>A</m:t>
            </m:r>
          </m:e>
          <m:sub>
            <m:r>
              <w:rPr>
                <w:rFonts w:ascii="Cambria Math" w:eastAsiaTheme="minorEastAsia" w:hAnsi="Cambria Math" w:cs="Times New Roman"/>
                <w:color w:val="000000"/>
              </w:rPr>
              <m:t>alpine i,j</m:t>
            </m:r>
          </m:sub>
        </m:sSub>
      </m:oMath>
      <w:r w:rsidRPr="00091C41">
        <w:rPr>
          <w:rFonts w:eastAsiaTheme="minorEastAsia" w:cs="Times New Roman"/>
          <w:color w:val="000000"/>
        </w:rPr>
        <w:t xml:space="preserve">is an inlet grid cell's restraint flow accumulation (m); </w:t>
      </w:r>
      <m:oMath>
        <m:r>
          <w:rPr>
            <w:rFonts w:ascii="Cambria Math" w:eastAsiaTheme="minorEastAsia" w:hAnsi="Cambria Math" w:cs="Times New Roman"/>
            <w:color w:val="000000"/>
          </w:rPr>
          <m:t>m</m:t>
        </m:r>
      </m:oMath>
      <w:r w:rsidRPr="00091C41">
        <w:rPr>
          <w:rFonts w:eastAsiaTheme="minorEastAsia" w:cs="Times New Roman"/>
          <w:color w:val="000000"/>
        </w:rPr>
        <w:t xml:space="preserve"> is the ratio of rill and interrill erosion calculated following Desmet and Govers </w:t>
      </w:r>
      <w:r w:rsidRPr="00091C41">
        <w:rPr>
          <w:rFonts w:eastAsiaTheme="minorEastAsia" w:cs="Times New Roman"/>
          <w:color w:val="000000"/>
        </w:rPr>
        <w:fldChar w:fldCharType="begin"/>
      </w:r>
      <w:r w:rsidRPr="00091C41">
        <w:rPr>
          <w:rFonts w:eastAsiaTheme="minorEastAsia" w:cs="Times New Roman"/>
          <w:color w:val="000000"/>
        </w:rPr>
        <w:instrText xml:space="preserve"> ADDIN ZOTERO_ITEM CSL_CITATION {"citationID":"0kiNwROs","properties":{"formattedCitation":"(1995)","plainCitation":"(1995)","noteIndex":0},"citationItems":[{"id":115,"uris":["http://zotero.org/users/6696073/items/G8INGRJ4"],"itemData":{"id":115,"type":"article-journal","abstract":"This paper presents a relatively simple, two-dimensional hillslope erosion-deposition model: the model differs from most geomorphological models in that it does not assume that erosion by surface wash is always transport-limited. As a first test, the model is applied to an agricultural catchment in Central Belgium. Here, patterns of past erosion and deposition can be deduced from information contained in the Belgian Soil Map so that a qualitative validation of the model results is possible. The results indicate that a simple model formulation allows to reproduce the basic pattern of erosion and deposition as it is observed in the landscape. This confirms the major influence of topography on erosion and deposition patterns in such landscapes and indicates that in some cases a simple model formulation may well be sufficient to allow adequate modelling of landscape evolution.","collection-title":"Experimental Geomorphology and Landscape Ecosystem Changes","container-title":"CATENA","DOI":"10.1016/0341-8162(95)00019-O","ISSN":"0341-8162","issue":"1","journalAbbreviation":"CATENA","language":"en","page":"389-401","source":"ScienceDirect","title":"GIS-based simulation of erosion and deposition patterns in an agricultural landscape: a comparison of model results with soil map information","title-short":"GIS-based simulation of erosion and deposition patterns in an agricultural landscape","volume":"25","author":[{"family":"Desmet","given":"P. J. J."},{"family":"Govers","given":"G."}],"issued":{"date-parts":[["1995",6,1]]},"citation-key":"desmetGISbasedSimulationErosion1995"},"suppress-author":true}],"schema":"https://github.com/citation-style-language/schema/raw/master/csl-citation.json"} </w:instrText>
      </w:r>
      <w:r w:rsidRPr="00091C41">
        <w:rPr>
          <w:rFonts w:eastAsiaTheme="minorEastAsia" w:cs="Times New Roman"/>
          <w:color w:val="000000"/>
        </w:rPr>
        <w:fldChar w:fldCharType="separate"/>
      </w:r>
      <w:r w:rsidRPr="00091C41">
        <w:rPr>
          <w:rFonts w:cs="Times New Roman"/>
        </w:rPr>
        <w:t>(1995)</w:t>
      </w:r>
      <w:r w:rsidRPr="00091C41">
        <w:rPr>
          <w:rFonts w:eastAsiaTheme="minorEastAsia" w:cs="Times New Roman"/>
          <w:color w:val="000000"/>
        </w:rPr>
        <w:fldChar w:fldCharType="end"/>
      </w:r>
      <w:r w:rsidRPr="00091C41">
        <w:rPr>
          <w:rFonts w:eastAsiaTheme="minorEastAsia" w:cs="Times New Roman"/>
          <w:color w:val="000000"/>
        </w:rPr>
        <w:t xml:space="preserve"> approach:</w:t>
      </w:r>
    </w:p>
    <w:p w14:paraId="399EF1DD" w14:textId="3CEF895B" w:rsidR="00D979A5" w:rsidRPr="00091C41" w:rsidRDefault="00D979A5" w:rsidP="00D979A5">
      <w:pPr>
        <w:rPr>
          <w:rFonts w:eastAsiaTheme="minorEastAsia" w:cs="Times New Roman"/>
          <w:color w:val="000000"/>
        </w:rPr>
      </w:pPr>
      <m:oMath>
        <m:r>
          <w:rPr>
            <w:rFonts w:ascii="Cambria Math" w:eastAsiaTheme="minorEastAsia" w:hAnsi="Cambria Math" w:cs="Times New Roman"/>
            <w:color w:val="000000"/>
          </w:rPr>
          <m:t xml:space="preserve">m= </m:t>
        </m:r>
        <m:f>
          <m:fPr>
            <m:ctrlPr>
              <w:rPr>
                <w:rFonts w:ascii="Cambria Math" w:eastAsiaTheme="minorEastAsia" w:hAnsi="Cambria Math" w:cs="Times New Roman"/>
                <w:i/>
                <w:color w:val="000000"/>
              </w:rPr>
            </m:ctrlPr>
          </m:fPr>
          <m:num>
            <m:r>
              <w:rPr>
                <w:rFonts w:ascii="Cambria Math" w:eastAsiaTheme="minorEastAsia" w:hAnsi="Cambria Math" w:cs="Times New Roman"/>
                <w:color w:val="000000"/>
              </w:rPr>
              <m:t>β</m:t>
            </m:r>
          </m:num>
          <m:den>
            <m:r>
              <w:rPr>
                <w:rFonts w:ascii="Cambria Math" w:eastAsiaTheme="minorEastAsia" w:hAnsi="Cambria Math" w:cs="Times New Roman"/>
                <w:color w:val="000000"/>
              </w:rPr>
              <m:t>β+1</m:t>
            </m:r>
          </m:den>
        </m:f>
      </m:oMath>
      <w:r w:rsidRPr="00091C41">
        <w:rPr>
          <w:rFonts w:eastAsiaTheme="minorEastAsia" w:cs="Times New Roman"/>
          <w:color w:val="000000"/>
        </w:rPr>
        <w:t>,</w:t>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t>(S7)</w:t>
      </w:r>
    </w:p>
    <w:p w14:paraId="21B18E58" w14:textId="6611E2A9" w:rsidR="00D979A5" w:rsidRPr="00091C41" w:rsidRDefault="00D979A5" w:rsidP="00D979A5">
      <w:pPr>
        <w:rPr>
          <w:rFonts w:eastAsiaTheme="minorEastAsia" w:cs="Times New Roman"/>
          <w:color w:val="000000"/>
        </w:rPr>
      </w:pPr>
      <m:oMath>
        <m:r>
          <w:rPr>
            <w:rFonts w:ascii="Cambria Math" w:eastAsiaTheme="minorEastAsia" w:hAnsi="Cambria Math" w:cs="Times New Roman"/>
            <w:color w:val="000000"/>
          </w:rPr>
          <m:t>β=</m:t>
        </m:r>
        <m:f>
          <m:fPr>
            <m:ctrlPr>
              <w:rPr>
                <w:rFonts w:ascii="Cambria Math" w:eastAsiaTheme="minorEastAsia" w:hAnsi="Cambria Math" w:cs="Times New Roman"/>
                <w:i/>
                <w:color w:val="000000"/>
              </w:rPr>
            </m:ctrlPr>
          </m:fPr>
          <m:num>
            <m:f>
              <m:fPr>
                <m:type m:val="skw"/>
                <m:ctrlPr>
                  <w:rPr>
                    <w:rFonts w:ascii="Cambria Math" w:eastAsiaTheme="minorEastAsia" w:hAnsi="Cambria Math" w:cs="Times New Roman"/>
                    <w:i/>
                    <w:color w:val="000000"/>
                  </w:rPr>
                </m:ctrlPr>
              </m:fPr>
              <m:num>
                <m:func>
                  <m:funcPr>
                    <m:ctrlPr>
                      <w:rPr>
                        <w:rFonts w:ascii="Cambria Math" w:eastAsiaTheme="minorEastAsia" w:hAnsi="Cambria Math" w:cs="Times New Roman"/>
                        <w:i/>
                        <w:color w:val="000000"/>
                      </w:rPr>
                    </m:ctrlPr>
                  </m:funcPr>
                  <m:fName>
                    <m:r>
                      <m:rPr>
                        <m:sty m:val="p"/>
                      </m:rPr>
                      <w:rPr>
                        <w:rFonts w:ascii="Cambria Math" w:hAnsi="Cambria Math" w:cs="Times New Roman"/>
                        <w:color w:val="000000"/>
                      </w:rPr>
                      <m:t>sin</m:t>
                    </m:r>
                  </m:fName>
                  <m:e>
                    <m:r>
                      <w:rPr>
                        <w:rFonts w:ascii="Cambria Math" w:eastAsiaTheme="minorEastAsia" w:hAnsi="Cambria Math" w:cs="Times New Roman"/>
                        <w:color w:val="000000"/>
                      </w:rPr>
                      <m:t>θ</m:t>
                    </m:r>
                  </m:e>
                </m:func>
              </m:num>
              <m:den>
                <m:r>
                  <w:rPr>
                    <w:rFonts w:ascii="Cambria Math" w:eastAsiaTheme="minorEastAsia" w:hAnsi="Cambria Math" w:cs="Times New Roman"/>
                    <w:color w:val="000000"/>
                  </w:rPr>
                  <m:t>0.0896</m:t>
                </m:r>
              </m:den>
            </m:f>
          </m:num>
          <m:den>
            <m:r>
              <w:rPr>
                <w:rFonts w:ascii="Cambria Math" w:eastAsiaTheme="minorEastAsia" w:hAnsi="Cambria Math" w:cs="Times New Roman"/>
                <w:color w:val="000000"/>
              </w:rPr>
              <m:t>0.56+3·</m:t>
            </m:r>
            <m:sSup>
              <m:sSupPr>
                <m:ctrlPr>
                  <w:rPr>
                    <w:rFonts w:ascii="Cambria Math" w:eastAsiaTheme="minorEastAsia" w:hAnsi="Cambria Math" w:cs="Times New Roman"/>
                    <w:i/>
                    <w:color w:val="000000"/>
                  </w:rPr>
                </m:ctrlPr>
              </m:sSupPr>
              <m:e>
                <m:d>
                  <m:dPr>
                    <m:ctrlPr>
                      <w:rPr>
                        <w:rFonts w:ascii="Cambria Math" w:eastAsiaTheme="minorEastAsia" w:hAnsi="Cambria Math" w:cs="Times New Roman"/>
                        <w:i/>
                        <w:color w:val="000000"/>
                      </w:rPr>
                    </m:ctrlPr>
                  </m:dPr>
                  <m:e>
                    <m:func>
                      <m:funcPr>
                        <m:ctrlPr>
                          <w:rPr>
                            <w:rFonts w:ascii="Cambria Math" w:eastAsiaTheme="minorEastAsia" w:hAnsi="Cambria Math" w:cs="Times New Roman"/>
                            <w:i/>
                            <w:color w:val="000000"/>
                          </w:rPr>
                        </m:ctrlPr>
                      </m:funcPr>
                      <m:fName>
                        <m:r>
                          <m:rPr>
                            <m:sty m:val="p"/>
                          </m:rPr>
                          <w:rPr>
                            <w:rFonts w:ascii="Cambria Math" w:hAnsi="Cambria Math" w:cs="Times New Roman"/>
                            <w:color w:val="000000"/>
                          </w:rPr>
                          <m:t>sin</m:t>
                        </m:r>
                      </m:fName>
                      <m:e>
                        <m:r>
                          <w:rPr>
                            <w:rFonts w:ascii="Cambria Math" w:eastAsiaTheme="minorEastAsia" w:hAnsi="Cambria Math" w:cs="Times New Roman"/>
                            <w:color w:val="000000"/>
                          </w:rPr>
                          <m:t>θ</m:t>
                        </m:r>
                      </m:e>
                    </m:func>
                  </m:e>
                </m:d>
              </m:e>
              <m:sup>
                <m:r>
                  <w:rPr>
                    <w:rFonts w:ascii="Cambria Math" w:eastAsiaTheme="minorEastAsia" w:hAnsi="Cambria Math" w:cs="Times New Roman"/>
                    <w:color w:val="000000"/>
                  </w:rPr>
                  <m:t>0.8</m:t>
                </m:r>
              </m:sup>
            </m:sSup>
          </m:den>
        </m:f>
      </m:oMath>
      <w:r w:rsidRPr="00091C41">
        <w:rPr>
          <w:rFonts w:eastAsiaTheme="minorEastAsia" w:cs="Times New Roman"/>
          <w:color w:val="000000"/>
        </w:rPr>
        <w:t>,</w:t>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r>
      <w:r w:rsidRPr="00091C41">
        <w:rPr>
          <w:rFonts w:eastAsiaTheme="minorEastAsia" w:cs="Times New Roman"/>
          <w:color w:val="000000"/>
        </w:rPr>
        <w:tab/>
        <w:t>(S8)</w:t>
      </w:r>
    </w:p>
    <w:p w14:paraId="33AE7E64" w14:textId="77777777" w:rsidR="00D979A5" w:rsidRPr="00091C41" w:rsidRDefault="00D979A5" w:rsidP="00D979A5">
      <w:pPr>
        <w:rPr>
          <w:rFonts w:eastAsiaTheme="minorEastAsia" w:cs="Times New Roman"/>
          <w:color w:val="000000"/>
        </w:rPr>
      </w:pPr>
      <w:r w:rsidRPr="00091C41">
        <w:rPr>
          <w:rFonts w:eastAsiaTheme="minorEastAsia" w:cs="Times New Roman"/>
          <w:color w:val="000000"/>
        </w:rPr>
        <w:t xml:space="preserve">where </w:t>
      </w:r>
      <m:oMath>
        <m:r>
          <w:rPr>
            <w:rFonts w:ascii="Cambria Math" w:eastAsiaTheme="minorEastAsia" w:hAnsi="Cambria Math" w:cs="Times New Roman"/>
            <w:color w:val="000000"/>
          </w:rPr>
          <m:t>θ</m:t>
        </m:r>
      </m:oMath>
      <w:r w:rsidRPr="00091C41">
        <w:rPr>
          <w:rFonts w:eastAsiaTheme="minorEastAsia" w:cs="Times New Roman"/>
          <w:color w:val="000000"/>
        </w:rPr>
        <w:t xml:space="preserve"> is the slope (°). We used the DTM created from UAV mapping for LS assessment (see Section 3.1).</w:t>
      </w:r>
    </w:p>
    <w:p w14:paraId="1F6308B2" w14:textId="77777777" w:rsidR="00CD5EAA" w:rsidRPr="00091C41" w:rsidRDefault="00CD5EAA" w:rsidP="00CD5EAA"/>
    <w:p w14:paraId="57CE47D0" w14:textId="6A282A4A" w:rsidR="0089245B" w:rsidRPr="00091C41" w:rsidRDefault="0089245B" w:rsidP="0089245B">
      <w:pPr>
        <w:pStyle w:val="Heading1"/>
      </w:pPr>
      <w:r w:rsidRPr="00091C41">
        <w:t>Supporting Information</w:t>
      </w:r>
      <w:r w:rsidR="007837EF" w:rsidRPr="00091C41">
        <w:t>. Figures</w:t>
      </w:r>
    </w:p>
    <w:p w14:paraId="75B5712D" w14:textId="04DA6D25" w:rsidR="000F0F0F" w:rsidRPr="00091C41" w:rsidRDefault="000F0F0F" w:rsidP="000F0F0F"/>
    <w:p w14:paraId="4A99D093" w14:textId="12B5D001" w:rsidR="000F0F0F" w:rsidRPr="00091C41" w:rsidRDefault="000F0F0F" w:rsidP="000F0F0F">
      <w:pPr>
        <w:pStyle w:val="NoSpacing"/>
      </w:pPr>
      <w:r w:rsidRPr="00091C41">
        <w:rPr>
          <w:noProof/>
        </w:rPr>
        <w:drawing>
          <wp:inline distT="0" distB="0" distL="0" distR="0" wp14:anchorId="37184999" wp14:editId="01CF1DF8">
            <wp:extent cx="5937250" cy="41846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7250" cy="4184650"/>
                    </a:xfrm>
                    <a:prstGeom prst="rect">
                      <a:avLst/>
                    </a:prstGeom>
                    <a:noFill/>
                    <a:ln>
                      <a:noFill/>
                    </a:ln>
                  </pic:spPr>
                </pic:pic>
              </a:graphicData>
            </a:graphic>
          </wp:inline>
        </w:drawing>
      </w:r>
    </w:p>
    <w:p w14:paraId="63F96B8F" w14:textId="1AB44587" w:rsidR="000F0F0F" w:rsidRPr="00091C41" w:rsidRDefault="000F0F0F" w:rsidP="000F0F0F">
      <w:pPr>
        <w:pStyle w:val="NoSpacing"/>
        <w:rPr>
          <w:lang w:val="en-US"/>
        </w:rPr>
      </w:pPr>
      <w:r w:rsidRPr="00091C41">
        <w:rPr>
          <w:b/>
          <w:bCs/>
          <w:lang w:val="en-US"/>
        </w:rPr>
        <w:t xml:space="preserve">FIGURE S0. </w:t>
      </w:r>
      <w:r w:rsidRPr="00091C41">
        <w:rPr>
          <w:lang w:val="en-US"/>
        </w:rPr>
        <w:t xml:space="preserve">Overview photos of the </w:t>
      </w:r>
      <w:proofErr w:type="spellStart"/>
      <w:r w:rsidRPr="00091C41">
        <w:rPr>
          <w:lang w:val="en-US"/>
        </w:rPr>
        <w:t>Gizhgit-Syr</w:t>
      </w:r>
      <w:proofErr w:type="spellEnd"/>
      <w:r w:rsidRPr="00091C41">
        <w:rPr>
          <w:lang w:val="en-US"/>
        </w:rPr>
        <w:t xml:space="preserve"> valley</w:t>
      </w:r>
    </w:p>
    <w:p w14:paraId="10DC176D" w14:textId="146B7C92" w:rsidR="003F3EA4" w:rsidRPr="00091C41" w:rsidRDefault="003F3EA4" w:rsidP="000F0F0F">
      <w:pPr>
        <w:pStyle w:val="NoSpacing"/>
        <w:rPr>
          <w:lang w:val="en-US"/>
        </w:rPr>
      </w:pPr>
    </w:p>
    <w:p w14:paraId="7A96A8FA" w14:textId="77777777" w:rsidR="003F3EA4" w:rsidRPr="00091C41" w:rsidRDefault="003F3EA4" w:rsidP="000F0F0F">
      <w:pPr>
        <w:pStyle w:val="NoSpacing"/>
        <w:rPr>
          <w:lang w:val="en-US"/>
        </w:rPr>
      </w:pPr>
    </w:p>
    <w:p w14:paraId="054624CE" w14:textId="77777777" w:rsidR="003F3EA4" w:rsidRPr="00091C41" w:rsidRDefault="003F3EA4" w:rsidP="000F0F0F">
      <w:pPr>
        <w:pStyle w:val="NoSpacing"/>
        <w:rPr>
          <w:lang w:val="en-US"/>
        </w:rPr>
        <w:sectPr w:rsidR="003F3EA4" w:rsidRPr="00091C41" w:rsidSect="00170C09">
          <w:footerReference w:type="default" r:id="rId7"/>
          <w:pgSz w:w="11906" w:h="16838"/>
          <w:pgMar w:top="1134" w:right="850" w:bottom="1134" w:left="1701" w:header="708" w:footer="708" w:gutter="0"/>
          <w:lnNumType w:countBy="1" w:restart="continuous"/>
          <w:cols w:space="708"/>
          <w:docGrid w:linePitch="360"/>
        </w:sectPr>
      </w:pPr>
    </w:p>
    <w:p w14:paraId="264FA1FD" w14:textId="4B1FA7B2" w:rsidR="002B279F" w:rsidRPr="00091C41" w:rsidRDefault="00831C61" w:rsidP="000F0F0F">
      <w:pPr>
        <w:pStyle w:val="NoSpacing"/>
        <w:rPr>
          <w:lang w:val="en-US"/>
        </w:rPr>
      </w:pPr>
      <w:r w:rsidRPr="00091C41">
        <w:rPr>
          <w:noProof/>
          <w:lang w:val="en-US"/>
        </w:rPr>
        <w:lastRenderedPageBreak/>
        <w:drawing>
          <wp:inline distT="0" distB="0" distL="0" distR="0" wp14:anchorId="6435F070" wp14:editId="1DFE9826">
            <wp:extent cx="9249410" cy="5289550"/>
            <wp:effectExtent l="0" t="0" r="889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49410" cy="5289550"/>
                    </a:xfrm>
                    <a:prstGeom prst="rect">
                      <a:avLst/>
                    </a:prstGeom>
                    <a:noFill/>
                    <a:ln>
                      <a:noFill/>
                    </a:ln>
                  </pic:spPr>
                </pic:pic>
              </a:graphicData>
            </a:graphic>
          </wp:inline>
        </w:drawing>
      </w:r>
    </w:p>
    <w:p w14:paraId="50F39C9E" w14:textId="5FA5697B" w:rsidR="003F3EA4" w:rsidRPr="00091C41" w:rsidRDefault="003F3EA4" w:rsidP="00831C61">
      <w:pPr>
        <w:pStyle w:val="NoSpacing"/>
        <w:rPr>
          <w:lang w:val="en-US"/>
        </w:rPr>
      </w:pPr>
      <w:r w:rsidRPr="00091C41">
        <w:rPr>
          <w:b/>
          <w:bCs/>
          <w:lang w:val="en-US"/>
        </w:rPr>
        <w:t xml:space="preserve">FIGURE S1. </w:t>
      </w:r>
      <w:r w:rsidR="00831C61" w:rsidRPr="00091C41">
        <w:rPr>
          <w:lang w:val="en-US"/>
        </w:rPr>
        <w:t xml:space="preserve">The </w:t>
      </w:r>
      <w:proofErr w:type="spellStart"/>
      <w:r w:rsidR="00831C61" w:rsidRPr="00091C41">
        <w:rPr>
          <w:lang w:val="en-US"/>
        </w:rPr>
        <w:t>Gizhgit-Syr</w:t>
      </w:r>
      <w:proofErr w:type="spellEnd"/>
      <w:r w:rsidR="00831C61" w:rsidRPr="00091C41">
        <w:rPr>
          <w:lang w:val="en-US"/>
        </w:rPr>
        <w:t xml:space="preserve"> valley </w:t>
      </w:r>
      <w:r w:rsidR="00065413" w:rsidRPr="00091C41">
        <w:rPr>
          <w:lang w:val="en-US"/>
        </w:rPr>
        <w:t>evolution</w:t>
      </w:r>
      <w:r w:rsidR="00831C61" w:rsidRPr="00091C41">
        <w:rPr>
          <w:lang w:val="en-US"/>
        </w:rPr>
        <w:t xml:space="preserve"> in satellite images from 1964 to 2021.</w:t>
      </w:r>
    </w:p>
    <w:p w14:paraId="283CBBFE" w14:textId="77777777" w:rsidR="003F3EA4" w:rsidRPr="00091C41" w:rsidRDefault="003F3EA4" w:rsidP="000F0F0F">
      <w:pPr>
        <w:sectPr w:rsidR="003F3EA4" w:rsidRPr="00091C41" w:rsidSect="003F3EA4">
          <w:pgSz w:w="16838" w:h="11906" w:orient="landscape"/>
          <w:pgMar w:top="1701" w:right="1134" w:bottom="850" w:left="1134" w:header="708" w:footer="708" w:gutter="0"/>
          <w:lnNumType w:countBy="1" w:restart="continuous"/>
          <w:cols w:space="708"/>
          <w:docGrid w:linePitch="360"/>
        </w:sectPr>
      </w:pPr>
    </w:p>
    <w:p w14:paraId="1FA5D221" w14:textId="2FA170EE" w:rsidR="0089245B" w:rsidRPr="00091C41" w:rsidRDefault="00FA7C33" w:rsidP="0089245B">
      <w:pPr>
        <w:pStyle w:val="NoSpacing"/>
      </w:pPr>
      <w:r w:rsidRPr="00091C41">
        <w:rPr>
          <w:noProof/>
        </w:rPr>
        <w:lastRenderedPageBreak/>
        <w:drawing>
          <wp:inline distT="0" distB="0" distL="0" distR="0" wp14:anchorId="52842727" wp14:editId="70FCDC6F">
            <wp:extent cx="5936615" cy="2967990"/>
            <wp:effectExtent l="0" t="0" r="6985"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6615" cy="2967990"/>
                    </a:xfrm>
                    <a:prstGeom prst="rect">
                      <a:avLst/>
                    </a:prstGeom>
                    <a:noFill/>
                    <a:ln>
                      <a:noFill/>
                    </a:ln>
                  </pic:spPr>
                </pic:pic>
              </a:graphicData>
            </a:graphic>
          </wp:inline>
        </w:drawing>
      </w:r>
    </w:p>
    <w:p w14:paraId="377AEE1E" w14:textId="168EBA4A" w:rsidR="0089245B" w:rsidRPr="00091C41" w:rsidRDefault="0089245B" w:rsidP="0089245B">
      <w:pPr>
        <w:pStyle w:val="NoSpacing"/>
        <w:rPr>
          <w:lang w:val="en-US"/>
        </w:rPr>
      </w:pPr>
      <w:r w:rsidRPr="00091C41">
        <w:rPr>
          <w:b/>
          <w:bCs/>
          <w:lang w:val="en-US"/>
        </w:rPr>
        <w:t>FIGURE S</w:t>
      </w:r>
      <w:r w:rsidR="00915CCD" w:rsidRPr="00091C41">
        <w:rPr>
          <w:b/>
          <w:bCs/>
          <w:lang w:val="en-US"/>
        </w:rPr>
        <w:t>2</w:t>
      </w:r>
      <w:r w:rsidRPr="00091C41">
        <w:rPr>
          <w:b/>
          <w:bCs/>
          <w:lang w:val="en-US"/>
        </w:rPr>
        <w:t xml:space="preserve">. </w:t>
      </w:r>
      <w:r w:rsidRPr="00091C41">
        <w:rPr>
          <w:lang w:val="en-US"/>
        </w:rPr>
        <w:t xml:space="preserve">Comparison of DTM and DGPS validation points (a), and the corresponding distribution of elevation error (b). The dashed line on the left figure is a 1:1 line. The dot-dashed line on the right shows the highest density region calculated using Hyndman's </w:t>
      </w:r>
      <w:r w:rsidRPr="00091C41">
        <w:fldChar w:fldCharType="begin"/>
      </w:r>
      <w:r w:rsidRPr="00091C41">
        <w:rPr>
          <w:lang w:val="en-US"/>
        </w:rPr>
        <w:instrText xml:space="preserve"> ADDIN ZOTERO_ITEM CSL_CITATION {"citationID":"5Eg0o3mI","properties":{"formattedCitation":"(1996)","plainCitation":"(1996)","noteIndex":0},"citationItems":[{"id":1713,"uris":["http://zotero.org/users/6696073/items/SUYDQLUG"],"itemData":{"id":1713,"type":"article-journal","abstract":"Many statistical methods involve summarizing a probability distribution by a region of the sample space covering a specified probability. One method of selecting such a region is to require it to contain points of relatively high density. Highest density regions are particularly useful for displaying multimodal distributions and, in such cases, may consist of several disjoint subsets—one for each local mode. In this paper, I propose a simple method for computing a highest density region from any given (possibly multivariate) density f(x) that is bounded and continuous in x. Several examples of the use of highest density regions in statistical graphics are also given. A new form of boxplot is proposed based on highest density regions; versions in one and two dimensions are given. Highest density regions in higher dimensions are also discussed and plotted.","container-title":"The American Statistician","DOI":"10.1080/00031305.1996.10474359","ISSN":"0003-1305","issue":"2","note":"publisher: Taylor &amp; Francis\n_eprint: https://www.tandfonline.com/doi/pdf/10.1080/00031305.1996.10474359","page":"120-126","source":"Taylor and Francis+NEJM","title":"Computing and Graphing Highest Density Regions","volume":"50","author":[{"family":"Hyndman","given":"Rob J."}],"issued":{"date-parts":[["1996",5,1]]},"citation-key":"hyndmanComputingGraphingHighest1996"},"suppress-author":true}],"schema":"https://github.com/citation-style-language/schema/raw/master/csl-citation.json"} </w:instrText>
      </w:r>
      <w:r w:rsidRPr="00091C41">
        <w:fldChar w:fldCharType="separate"/>
      </w:r>
      <w:r w:rsidRPr="00091C41">
        <w:rPr>
          <w:rFonts w:cs="Times New Roman"/>
          <w:lang w:val="en-US"/>
        </w:rPr>
        <w:t>(1996)</w:t>
      </w:r>
      <w:r w:rsidRPr="00091C41">
        <w:fldChar w:fldCharType="end"/>
      </w:r>
      <w:r w:rsidRPr="00091C41">
        <w:rPr>
          <w:lang w:val="en-US"/>
        </w:rPr>
        <w:t xml:space="preserve"> algorithm.</w:t>
      </w:r>
    </w:p>
    <w:p w14:paraId="020DBC3C" w14:textId="77777777" w:rsidR="0089245B" w:rsidRPr="00091C41" w:rsidRDefault="0089245B" w:rsidP="0089245B">
      <w:pPr>
        <w:pStyle w:val="NoSpacing"/>
        <w:rPr>
          <w:lang w:val="en-US"/>
        </w:rPr>
      </w:pPr>
    </w:p>
    <w:p w14:paraId="63FAFA46" w14:textId="77777777" w:rsidR="0089245B" w:rsidRPr="00091C41" w:rsidRDefault="0089245B" w:rsidP="0089245B">
      <w:pPr>
        <w:pStyle w:val="NoSpacing"/>
      </w:pPr>
      <w:r w:rsidRPr="00091C41">
        <w:rPr>
          <w:noProof/>
        </w:rPr>
        <w:drawing>
          <wp:inline distT="0" distB="0" distL="0" distR="0" wp14:anchorId="7329E508" wp14:editId="294454E6">
            <wp:extent cx="5930900" cy="2965450"/>
            <wp:effectExtent l="0" t="0" r="0" b="6350"/>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0900" cy="2965450"/>
                    </a:xfrm>
                    <a:prstGeom prst="rect">
                      <a:avLst/>
                    </a:prstGeom>
                    <a:noFill/>
                    <a:ln>
                      <a:noFill/>
                    </a:ln>
                  </pic:spPr>
                </pic:pic>
              </a:graphicData>
            </a:graphic>
          </wp:inline>
        </w:drawing>
      </w:r>
    </w:p>
    <w:p w14:paraId="2E603D47" w14:textId="502886A6" w:rsidR="0089245B" w:rsidRPr="00091C41" w:rsidRDefault="0089245B" w:rsidP="0089245B">
      <w:pPr>
        <w:pStyle w:val="NoSpacing"/>
        <w:rPr>
          <w:lang w:val="en-US"/>
        </w:rPr>
      </w:pPr>
      <w:r w:rsidRPr="00091C41">
        <w:rPr>
          <w:b/>
          <w:bCs/>
          <w:lang w:val="en-US"/>
        </w:rPr>
        <w:t>FIGURE S</w:t>
      </w:r>
      <w:r w:rsidR="00915CCD" w:rsidRPr="00091C41">
        <w:rPr>
          <w:b/>
          <w:bCs/>
          <w:lang w:val="en-US"/>
        </w:rPr>
        <w:t>3</w:t>
      </w:r>
      <w:r w:rsidRPr="00091C41">
        <w:rPr>
          <w:b/>
          <w:bCs/>
          <w:lang w:val="en-US"/>
        </w:rPr>
        <w:t xml:space="preserve">. </w:t>
      </w:r>
      <w:r w:rsidRPr="00091C41">
        <w:rPr>
          <w:lang w:val="en-US"/>
        </w:rPr>
        <w:t xml:space="preserve">Comparison of bathymetry map and sonar points (a), and the corresponding distribution of depth error (b). The dashed line on the left figure is a 1:1 line. The dot-dashed line on the right shows the highest density region calculated using Hyndman's </w:t>
      </w:r>
      <w:r w:rsidRPr="00091C41">
        <w:fldChar w:fldCharType="begin"/>
      </w:r>
      <w:r w:rsidRPr="00091C41">
        <w:rPr>
          <w:lang w:val="en-US"/>
        </w:rPr>
        <w:instrText xml:space="preserve"> ADDIN ZOTERO_ITEM CSL_CITATION {"citationID":"e1tqaknF","properties":{"formattedCitation":"(1996)","plainCitation":"(1996)","noteIndex":0},"citationItems":[{"id":1713,"uris":["http://zotero.org/users/6696073/items/SUYDQLUG"],"itemData":{"id":1713,"type":"article-journal","abstract":"Many statistical methods involve summarizing a probability distribution by a region of the sample space covering a specified probability. One method of selecting such a region is to require it to contain points of relatively high density. Highest density regions are particularly useful for displaying multimodal distributions and, in such cases, may consist of several disjoint subsets—one for each local mode. In this paper, I propose a simple method for computing a highest density region from any given (possibly multivariate) density f(x) that is bounded and continuous in x. Several examples of the use of highest density regions in statistical graphics are also given. A new form of boxplot is proposed based on highest density regions; versions in one and two dimensions are given. Highest density regions in higher dimensions are also discussed and plotted.","container-title":"The American Statistician","DOI":"10.1080/00031305.1996.10474359","ISSN":"0003-1305","issue":"2","note":"publisher: Taylor &amp; Francis\n_eprint: https://www.tandfonline.com/doi/pdf/10.1080/00031305.1996.10474359","page":"120-126","source":"Taylor and Francis+NEJM","title":"Computing and Graphing Highest Density Regions","volume":"50","author":[{"family":"Hyndman","given":"Rob J."}],"issued":{"date-parts":[["1996",5,1]]},"citation-key":"hyndmanComputingGraphingHighest1996"},"suppress-author":true}],"schema":"https://github.com/citation-style-language/schema/raw/master/csl-citation.json"} </w:instrText>
      </w:r>
      <w:r w:rsidRPr="00091C41">
        <w:fldChar w:fldCharType="separate"/>
      </w:r>
      <w:r w:rsidRPr="00091C41">
        <w:rPr>
          <w:rFonts w:cs="Times New Roman"/>
          <w:lang w:val="en-US"/>
        </w:rPr>
        <w:t>(1996)</w:t>
      </w:r>
      <w:r w:rsidRPr="00091C41">
        <w:fldChar w:fldCharType="end"/>
      </w:r>
      <w:r w:rsidRPr="00091C41">
        <w:rPr>
          <w:lang w:val="en-US"/>
        </w:rPr>
        <w:t xml:space="preserve"> algorithm.</w:t>
      </w:r>
    </w:p>
    <w:p w14:paraId="3D1BA236" w14:textId="2483EE41" w:rsidR="0089245B" w:rsidRPr="00091C41" w:rsidRDefault="0089245B" w:rsidP="0089245B">
      <w:pPr>
        <w:pStyle w:val="NoSpacing"/>
        <w:rPr>
          <w:lang w:val="en-US"/>
        </w:rPr>
      </w:pPr>
    </w:p>
    <w:p w14:paraId="7457F46C" w14:textId="4B2629C6" w:rsidR="00724209" w:rsidRPr="00091C41" w:rsidRDefault="00EC0DB6" w:rsidP="0089245B">
      <w:pPr>
        <w:pStyle w:val="NoSpacing"/>
        <w:rPr>
          <w:lang w:val="en-US"/>
        </w:rPr>
      </w:pPr>
      <w:r w:rsidRPr="00091C41">
        <w:rPr>
          <w:noProof/>
          <w:lang w:val="en-US"/>
        </w:rPr>
        <w:lastRenderedPageBreak/>
        <w:drawing>
          <wp:inline distT="0" distB="0" distL="0" distR="0" wp14:anchorId="50276A97" wp14:editId="1968D7C4">
            <wp:extent cx="5936615" cy="4754880"/>
            <wp:effectExtent l="0" t="0" r="698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6615" cy="4754880"/>
                    </a:xfrm>
                    <a:prstGeom prst="rect">
                      <a:avLst/>
                    </a:prstGeom>
                    <a:noFill/>
                    <a:ln>
                      <a:noFill/>
                    </a:ln>
                  </pic:spPr>
                </pic:pic>
              </a:graphicData>
            </a:graphic>
          </wp:inline>
        </w:drawing>
      </w:r>
    </w:p>
    <w:p w14:paraId="120B8E1C" w14:textId="202CAB02" w:rsidR="00EC0DB6" w:rsidRPr="00091C41" w:rsidRDefault="00EC0DB6" w:rsidP="00EC0DB6">
      <w:pPr>
        <w:pStyle w:val="NoSpacing"/>
        <w:rPr>
          <w:lang w:val="en-US"/>
        </w:rPr>
      </w:pPr>
      <w:r w:rsidRPr="00091C41">
        <w:rPr>
          <w:b/>
          <w:bCs/>
          <w:lang w:val="en-US"/>
        </w:rPr>
        <w:t xml:space="preserve">FIGURE S4. </w:t>
      </w:r>
      <w:r w:rsidRPr="00091C41">
        <w:rPr>
          <w:lang w:val="en-US"/>
        </w:rPr>
        <w:t xml:space="preserve">Monitoring </w:t>
      </w:r>
      <w:proofErr w:type="gramStart"/>
      <w:r w:rsidRPr="00091C41">
        <w:rPr>
          <w:lang w:val="en-US"/>
        </w:rPr>
        <w:t>station</w:t>
      </w:r>
      <w:r w:rsidR="00B70028" w:rsidRPr="00091C41">
        <w:rPr>
          <w:lang w:val="en-US"/>
        </w:rPr>
        <w:t>s</w:t>
      </w:r>
      <w:proofErr w:type="gramEnd"/>
      <w:r w:rsidRPr="00091C41">
        <w:rPr>
          <w:lang w:val="en-US"/>
        </w:rPr>
        <w:t xml:space="preserve"> locations.</w:t>
      </w:r>
    </w:p>
    <w:p w14:paraId="18A22EA2" w14:textId="77777777" w:rsidR="00724209" w:rsidRPr="00091C41" w:rsidRDefault="00724209" w:rsidP="0089245B">
      <w:pPr>
        <w:pStyle w:val="NoSpacing"/>
        <w:rPr>
          <w:lang w:val="en-US"/>
        </w:rPr>
      </w:pPr>
    </w:p>
    <w:p w14:paraId="4ED590CD" w14:textId="77777777" w:rsidR="0089245B" w:rsidRPr="00091C41" w:rsidRDefault="0089245B" w:rsidP="0089245B">
      <w:pPr>
        <w:pStyle w:val="NoSpacing"/>
      </w:pPr>
      <w:r w:rsidRPr="00091C41">
        <w:rPr>
          <w:noProof/>
        </w:rPr>
        <w:lastRenderedPageBreak/>
        <w:drawing>
          <wp:inline distT="0" distB="0" distL="0" distR="0" wp14:anchorId="3D79D219" wp14:editId="057DDB0F">
            <wp:extent cx="5930900" cy="5276850"/>
            <wp:effectExtent l="0" t="0" r="0" b="0"/>
            <wp:docPr id="1" name="Рисунок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Chart, scatter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0900" cy="5276850"/>
                    </a:xfrm>
                    <a:prstGeom prst="rect">
                      <a:avLst/>
                    </a:prstGeom>
                    <a:noFill/>
                    <a:ln>
                      <a:noFill/>
                    </a:ln>
                  </pic:spPr>
                </pic:pic>
              </a:graphicData>
            </a:graphic>
          </wp:inline>
        </w:drawing>
      </w:r>
    </w:p>
    <w:p w14:paraId="7220E42F" w14:textId="775ECD42" w:rsidR="0089245B" w:rsidRPr="00091C41" w:rsidRDefault="0089245B" w:rsidP="0089245B">
      <w:pPr>
        <w:pStyle w:val="NoSpacing"/>
        <w:rPr>
          <w:lang w:val="en-US"/>
        </w:rPr>
      </w:pPr>
      <w:r w:rsidRPr="00091C41">
        <w:rPr>
          <w:b/>
          <w:bCs/>
          <w:lang w:val="en-US"/>
        </w:rPr>
        <w:t>FIGURE S</w:t>
      </w:r>
      <w:r w:rsidR="00915CCD" w:rsidRPr="00091C41">
        <w:rPr>
          <w:b/>
          <w:bCs/>
          <w:lang w:val="en-US"/>
        </w:rPr>
        <w:t>5</w:t>
      </w:r>
      <w:r w:rsidRPr="00091C41">
        <w:rPr>
          <w:b/>
          <w:bCs/>
          <w:lang w:val="en-US"/>
        </w:rPr>
        <w:t>.</w:t>
      </w:r>
      <w:r w:rsidRPr="00091C41">
        <w:rPr>
          <w:lang w:val="en-US"/>
        </w:rPr>
        <w:t xml:space="preserve"> Comparison of observed precipitation at meteorological stations and </w:t>
      </w:r>
      <w:proofErr w:type="spellStart"/>
      <w:r w:rsidRPr="00091C41">
        <w:rPr>
          <w:lang w:val="en-US"/>
        </w:rPr>
        <w:t>TerraClimate</w:t>
      </w:r>
      <w:proofErr w:type="spellEnd"/>
      <w:r w:rsidRPr="00091C41">
        <w:rPr>
          <w:lang w:val="en-US"/>
        </w:rPr>
        <w:t xml:space="preserve"> dataset </w:t>
      </w:r>
      <w:r w:rsidRPr="00091C41">
        <w:fldChar w:fldCharType="begin"/>
      </w:r>
      <w:r w:rsidRPr="00091C41">
        <w:rPr>
          <w:lang w:val="en-US"/>
        </w:rPr>
        <w:instrText xml:space="preserve"> ADDIN ZOTERO_ITEM CSL_CITATION {"citationID":"LX5etzwM","properties":{"formattedCitation":"(Abatzoglou et al., 2018)","plainCitation":"(Abatzoglou et al., 2018)","noteIndex":0},"citationItems":[{"id":253,"uris":["http://zotero.org/users/6696073/items/YQVWBCAZ"],"itemData":{"id":253,"type":"article-journal","abstract":"We present TerraClimate, a dataset of high-spatial resolution (1/24°, ~4-km) monthly climate and climatic water balance for global terrestrial surfaces from 1958–2015. TerraClimate uses climatically aided interpolation, combining high-spatial resolution climatological normals from the WorldClim dataset, with coarser resolution time varying (i.e., monthly) data from other sources to produce a monthly dataset of precipitation, maximum and minimum temperature, wind speed, vapor pressure, and solar radiation. TerraClimate additionally produces monthly surface water balance datasets using a water balance model that incorporates reference evapotranspiration, precipitation, temperature, and interpolated plant extractable soil water capacity. These data provide important inputs for ecological and hydrological studies at global scales that require high spatial resolution and time varying climate and climatic water balance data. We validated spatiotemporal aspects of TerraClimate using annual temperature, precipitation, and calculated reference evapotranspiration from station data, as well as annual runoff from streamflow gauges. TerraClimate datasets showed noted improvement in overall mean absolute error and increased spatial realism relative to coarser resolution gridded datasets.","container-title":"Scientific Data","DOI":"10.1038/sdata.2017.191","ISSN":"2052-4463","issue":"1","language":"en","license":"2018 The Author(s)","note":"number: 1\npublisher: Nature Publishing Group","page":"170191","source":"www.nature.com","title":"TerraClimate, a high-resolution global dataset of monthly climate and climatic water balance from 1958–2015","volume":"5","author":[{"family":"Abatzoglou","given":"John T."},{"family":"Dobrowski","given":"Solomon Z."},{"family":"Parks","given":"Sean A."},{"family":"Hegewisch","given":"Katherine C."}],"issued":{"date-parts":[["2018",1,9]]},"citation-key":"abatzoglouTerraClimateHighresolutionGlobal2018"}}],"schema":"https://github.com/citation-style-language/schema/raw/master/csl-citation.json"} </w:instrText>
      </w:r>
      <w:r w:rsidRPr="00091C41">
        <w:fldChar w:fldCharType="separate"/>
      </w:r>
      <w:r w:rsidRPr="00091C41">
        <w:rPr>
          <w:rFonts w:cs="Times New Roman"/>
          <w:lang w:val="en-US"/>
        </w:rPr>
        <w:t>(</w:t>
      </w:r>
      <w:proofErr w:type="spellStart"/>
      <w:r w:rsidRPr="00091C41">
        <w:rPr>
          <w:rFonts w:cs="Times New Roman"/>
          <w:lang w:val="en-US"/>
        </w:rPr>
        <w:t>Abatzoglou</w:t>
      </w:r>
      <w:proofErr w:type="spellEnd"/>
      <w:r w:rsidRPr="00091C41">
        <w:rPr>
          <w:rFonts w:cs="Times New Roman"/>
          <w:lang w:val="en-US"/>
        </w:rPr>
        <w:t xml:space="preserve"> et al., 2018)</w:t>
      </w:r>
      <w:r w:rsidRPr="00091C41">
        <w:fldChar w:fldCharType="end"/>
      </w:r>
      <w:r w:rsidRPr="00091C41">
        <w:rPr>
          <w:lang w:val="en-US"/>
        </w:rPr>
        <w:t>.</w:t>
      </w:r>
    </w:p>
    <w:p w14:paraId="72DEC580" w14:textId="2ED48B1B" w:rsidR="0089245B" w:rsidRPr="00091C41" w:rsidRDefault="0089245B" w:rsidP="0089245B">
      <w:pPr>
        <w:pStyle w:val="NoSpacing"/>
        <w:rPr>
          <w:lang w:val="en-US"/>
        </w:rPr>
      </w:pPr>
    </w:p>
    <w:p w14:paraId="5DA6C6B7" w14:textId="77777777" w:rsidR="00E01E8B" w:rsidRPr="00091C41" w:rsidRDefault="00E01E8B" w:rsidP="00E01E8B">
      <w:pPr>
        <w:pStyle w:val="NoSpacing"/>
        <w:rPr>
          <w:lang w:bidi="en-US"/>
        </w:rPr>
      </w:pPr>
      <w:r w:rsidRPr="00091C41">
        <w:rPr>
          <w:noProof/>
          <w:lang w:bidi="en-US"/>
        </w:rPr>
        <w:lastRenderedPageBreak/>
        <w:drawing>
          <wp:inline distT="0" distB="0" distL="0" distR="0" wp14:anchorId="58405CCD" wp14:editId="383505F5">
            <wp:extent cx="5937250" cy="3816350"/>
            <wp:effectExtent l="0" t="0" r="6350" b="0"/>
            <wp:docPr id="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7250" cy="3816350"/>
                    </a:xfrm>
                    <a:prstGeom prst="rect">
                      <a:avLst/>
                    </a:prstGeom>
                    <a:noFill/>
                    <a:ln>
                      <a:noFill/>
                    </a:ln>
                  </pic:spPr>
                </pic:pic>
              </a:graphicData>
            </a:graphic>
          </wp:inline>
        </w:drawing>
      </w:r>
    </w:p>
    <w:p w14:paraId="62224866" w14:textId="4164CA65" w:rsidR="00E01E8B" w:rsidRPr="00091C41" w:rsidRDefault="00E01E8B" w:rsidP="00E01E8B">
      <w:pPr>
        <w:pStyle w:val="NoSpacing"/>
        <w:rPr>
          <w:b/>
          <w:bCs/>
          <w:lang w:bidi="en-US"/>
        </w:rPr>
      </w:pPr>
      <w:r w:rsidRPr="00091C41">
        <w:rPr>
          <w:b/>
          <w:bCs/>
          <w:lang w:val="en-US" w:bidi="en-US"/>
        </w:rPr>
        <w:t xml:space="preserve">FIGURE S6. </w:t>
      </w:r>
      <w:r w:rsidRPr="00091C41">
        <w:rPr>
          <w:lang w:val="en-US" w:bidi="en-US"/>
        </w:rPr>
        <w:t xml:space="preserve">Relationship between the mean annual Modified Fournier Index (MFI) calculated based on the </w:t>
      </w:r>
      <w:proofErr w:type="spellStart"/>
      <w:r w:rsidRPr="00091C41">
        <w:rPr>
          <w:lang w:val="en-US" w:bidi="en-US"/>
        </w:rPr>
        <w:t>TerraClimate</w:t>
      </w:r>
      <w:proofErr w:type="spellEnd"/>
      <w:r w:rsidRPr="00091C41">
        <w:rPr>
          <w:lang w:val="en-US" w:bidi="en-US"/>
        </w:rPr>
        <w:t xml:space="preserve"> dataset </w:t>
      </w:r>
      <w:r w:rsidRPr="00091C41">
        <w:rPr>
          <w:lang w:bidi="en-US"/>
        </w:rPr>
        <w:fldChar w:fldCharType="begin"/>
      </w:r>
      <w:r w:rsidRPr="00091C41">
        <w:rPr>
          <w:lang w:val="en-US" w:bidi="en-US"/>
        </w:rPr>
        <w:instrText xml:space="preserve"> ADDIN ZOTERO_ITEM CSL_CITATION {"citationID":"mHMURdiW","properties":{"formattedCitation":"(Abatzoglou et al., 2018)","plainCitation":"(Abatzoglou et al., 2018)","noteIndex":0},"citationItems":[{"id":253,"uris":["http://zotero.org/users/6696073/items/YQVWBCAZ"],"itemData":{"id":253,"type":"article-journal","abstract":"We present TerraClimate, a dataset of high-spatial resolution (1/24°, ~4-km) monthly climate and climatic water balance for global terrestrial surfaces from 1958–2015. TerraClimate uses climatically aided interpolation, combining high-spatial resolution climatological normals from the WorldClim dataset, with coarser resolution time varying (i.e., monthly) data from other sources to produce a monthly dataset of precipitation, maximum and minimum temperature, wind speed, vapor pressure, and solar radiation. TerraClimate additionally produces monthly surface water balance datasets using a water balance model that incorporates reference evapotranspiration, precipitation, temperature, and interpolated plant extractable soil water capacity. These data provide important inputs for ecological and hydrological studies at global scales that require high spatial resolution and time varying climate and climatic water balance data. We validated spatiotemporal aspects of TerraClimate using annual temperature, precipitation, and calculated reference evapotranspiration from station data, as well as annual runoff from streamflow gauges. TerraClimate datasets showed noted improvement in overall mean absolute error and increased spatial realism relative to coarser resolution gridded datasets.","container-title":"Scientific Data","DOI":"10.1038/sdata.2017.191","ISSN":"2052-4463","issue":"1","language":"en","license":"2018 The Author(s)","note":"number: 1\npublisher: Nature Publishing Group","page":"170191","source":"www.nature.com","title":"TerraClimate, a high-resolution global dataset of monthly climate and climatic water balance from 1958–2015","volume":"5","author":[{"family":"Abatzoglou","given":"John T."},{"family":"Dobrowski","given":"Solomon Z."},{"family":"Parks","given":"Sean A."},{"family":"Hegewisch","given":"Katherine C."}],"issued":{"date-parts":[["2018",1,9]]},"citation-key":"abatzoglouTerraClimateHighresolutionGlobal2018"}}],"schema":"https://github.com/citation-style-language/schema/raw/master/csl-citation.json"} </w:instrText>
      </w:r>
      <w:r w:rsidRPr="00091C41">
        <w:rPr>
          <w:lang w:bidi="en-US"/>
        </w:rPr>
        <w:fldChar w:fldCharType="separate"/>
      </w:r>
      <w:r w:rsidRPr="00091C41">
        <w:rPr>
          <w:rFonts w:cs="Times New Roman"/>
          <w:lang w:val="en-US"/>
        </w:rPr>
        <w:t>(</w:t>
      </w:r>
      <w:proofErr w:type="spellStart"/>
      <w:r w:rsidRPr="00091C41">
        <w:rPr>
          <w:rFonts w:cs="Times New Roman"/>
          <w:lang w:val="en-US"/>
        </w:rPr>
        <w:t>Abatzoglou</w:t>
      </w:r>
      <w:proofErr w:type="spellEnd"/>
      <w:r w:rsidRPr="00091C41">
        <w:rPr>
          <w:rFonts w:cs="Times New Roman"/>
          <w:lang w:val="en-US"/>
        </w:rPr>
        <w:t xml:space="preserve"> et al., 2018)</w:t>
      </w:r>
      <w:r w:rsidRPr="00091C41">
        <w:rPr>
          <w:lang w:bidi="en-US"/>
        </w:rPr>
        <w:fldChar w:fldCharType="end"/>
      </w:r>
      <w:r w:rsidRPr="00091C41">
        <w:rPr>
          <w:lang w:val="en-US" w:bidi="en-US"/>
        </w:rPr>
        <w:t xml:space="preserve"> and mean annual rainfall erosivity (R, MJ mm ha</w:t>
      </w:r>
      <w:r w:rsidRPr="00091C41">
        <w:rPr>
          <w:vertAlign w:val="superscript"/>
          <w:lang w:val="en-US" w:bidi="en-US"/>
        </w:rPr>
        <w:t xml:space="preserve"> −1</w:t>
      </w:r>
      <w:r w:rsidRPr="00091C41">
        <w:rPr>
          <w:lang w:val="en-US" w:bidi="en-US"/>
        </w:rPr>
        <w:t xml:space="preserve"> h</w:t>
      </w:r>
      <w:r w:rsidRPr="00091C41">
        <w:rPr>
          <w:vertAlign w:val="superscript"/>
          <w:lang w:val="en-US" w:bidi="en-US"/>
        </w:rPr>
        <w:t>−1</w:t>
      </w:r>
      <w:r w:rsidRPr="00091C41">
        <w:rPr>
          <w:lang w:val="en-US" w:bidi="en-US"/>
        </w:rPr>
        <w:t xml:space="preserve"> yr</w:t>
      </w:r>
      <w:r w:rsidRPr="00091C41">
        <w:rPr>
          <w:vertAlign w:val="superscript"/>
          <w:lang w:val="en-US" w:bidi="en-US"/>
        </w:rPr>
        <w:t>−1</w:t>
      </w:r>
      <w:r w:rsidRPr="00091C41">
        <w:rPr>
          <w:lang w:val="en-US" w:bidi="en-US"/>
        </w:rPr>
        <w:t xml:space="preserve">) from Larionov et al. </w:t>
      </w:r>
      <w:r w:rsidRPr="00091C41">
        <w:rPr>
          <w:lang w:bidi="en-US"/>
        </w:rPr>
        <w:fldChar w:fldCharType="begin"/>
      </w:r>
      <w:r w:rsidRPr="00091C41">
        <w:rPr>
          <w:lang w:val="en-US" w:bidi="en-US"/>
        </w:rPr>
        <w:instrText xml:space="preserve"> ADDIN ZOTERO_ITEM CSL_CITATION {"citationID":"u4c2grqK","properties":{"formattedCitation":"(1993)","plainCitation":"(1993)","noteIndex":0},"citationItems":[{"id":150,"uris":["http://zotero.org/users/6696073/items/DJN2Z5X6"],"itemData":{"id":150,"type":"book","event-place":"Moscow","ISBN":"5-211-02467-2","number-of-pages":"200","publisher":"Lomonosov Moscow State University","publisher-place":"Mo</w:instrText>
      </w:r>
      <w:r w:rsidRPr="00091C41">
        <w:rPr>
          <w:lang w:bidi="en-US"/>
        </w:rPr>
        <w:instrText xml:space="preserve">scow","title":"Soil erosion and deflation","author":[{"family":"Larionov","given":"G. A."}],"issued":{"date-parts":[["1993"]]},"citation-key":"larionovSoilErosionDeflation1993"},"suppress-author":true}],"schema":"https://github.com/citation-style-language/schema/raw/master/csl-citation.json"} </w:instrText>
      </w:r>
      <w:r w:rsidRPr="00091C41">
        <w:rPr>
          <w:lang w:bidi="en-US"/>
        </w:rPr>
        <w:fldChar w:fldCharType="separate"/>
      </w:r>
      <w:r w:rsidRPr="00091C41">
        <w:rPr>
          <w:rFonts w:cs="Times New Roman"/>
        </w:rPr>
        <w:t>(1993)</w:t>
      </w:r>
      <w:r w:rsidRPr="00091C41">
        <w:rPr>
          <w:lang w:bidi="en-US"/>
        </w:rPr>
        <w:fldChar w:fldCharType="end"/>
      </w:r>
      <w:r w:rsidRPr="00091C41">
        <w:rPr>
          <w:lang w:bidi="en-US"/>
        </w:rPr>
        <w:t xml:space="preserve">, </w:t>
      </w:r>
      <w:proofErr w:type="spellStart"/>
      <w:r w:rsidRPr="00091C41">
        <w:rPr>
          <w:lang w:bidi="en-US"/>
        </w:rPr>
        <w:t>both</w:t>
      </w:r>
      <w:proofErr w:type="spellEnd"/>
      <w:r w:rsidRPr="00091C41">
        <w:rPr>
          <w:lang w:bidi="en-US"/>
        </w:rPr>
        <w:t xml:space="preserve"> </w:t>
      </w:r>
      <w:proofErr w:type="spellStart"/>
      <w:r w:rsidRPr="00091C41">
        <w:rPr>
          <w:lang w:bidi="en-US"/>
        </w:rPr>
        <w:t>for</w:t>
      </w:r>
      <w:proofErr w:type="spellEnd"/>
      <w:r w:rsidRPr="00091C41">
        <w:rPr>
          <w:lang w:bidi="en-US"/>
        </w:rPr>
        <w:t xml:space="preserve"> 1961–1983 </w:t>
      </w:r>
      <w:proofErr w:type="spellStart"/>
      <w:r w:rsidRPr="00091C41">
        <w:rPr>
          <w:lang w:bidi="en-US"/>
        </w:rPr>
        <w:t>period</w:t>
      </w:r>
      <w:proofErr w:type="spellEnd"/>
      <w:r w:rsidRPr="00091C41">
        <w:rPr>
          <w:lang w:bidi="en-US"/>
        </w:rPr>
        <w:t>.</w:t>
      </w:r>
    </w:p>
    <w:p w14:paraId="2AE952AB" w14:textId="79840C86" w:rsidR="00E01E8B" w:rsidRPr="00091C41" w:rsidRDefault="00E01E8B" w:rsidP="0089245B">
      <w:pPr>
        <w:pStyle w:val="NoSpacing"/>
      </w:pPr>
    </w:p>
    <w:p w14:paraId="59E16D6F" w14:textId="276ABDD2" w:rsidR="00D32999" w:rsidRPr="00091C41" w:rsidRDefault="00C309E8" w:rsidP="0089245B">
      <w:pPr>
        <w:pStyle w:val="NoSpacing"/>
      </w:pPr>
      <w:r w:rsidRPr="00091C41">
        <w:rPr>
          <w:noProof/>
        </w:rPr>
        <w:drawing>
          <wp:inline distT="0" distB="0" distL="0" distR="0" wp14:anchorId="6981F650" wp14:editId="56FC4833">
            <wp:extent cx="5937250" cy="363855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7250" cy="3638550"/>
                    </a:xfrm>
                    <a:prstGeom prst="rect">
                      <a:avLst/>
                    </a:prstGeom>
                    <a:noFill/>
                    <a:ln>
                      <a:noFill/>
                    </a:ln>
                  </pic:spPr>
                </pic:pic>
              </a:graphicData>
            </a:graphic>
          </wp:inline>
        </w:drawing>
      </w:r>
    </w:p>
    <w:p w14:paraId="24C250BD" w14:textId="02924C82" w:rsidR="007837EF" w:rsidRPr="00091C41" w:rsidRDefault="00D32999" w:rsidP="00101D58">
      <w:pPr>
        <w:pStyle w:val="NoSpacing"/>
        <w:rPr>
          <w:lang w:val="en-US"/>
        </w:rPr>
      </w:pPr>
      <w:r w:rsidRPr="00091C41">
        <w:rPr>
          <w:b/>
          <w:bCs/>
          <w:lang w:val="en-US" w:bidi="en-US"/>
        </w:rPr>
        <w:t>FIGURE S7</w:t>
      </w:r>
      <w:r w:rsidR="00C309E8" w:rsidRPr="00091C41">
        <w:rPr>
          <w:b/>
          <w:bCs/>
          <w:lang w:val="en-US" w:bidi="en-US"/>
        </w:rPr>
        <w:t xml:space="preserve">. </w:t>
      </w:r>
      <w:r w:rsidR="00E60D39" w:rsidRPr="00091C41">
        <w:rPr>
          <w:lang w:val="en-US" w:bidi="en-US"/>
        </w:rPr>
        <w:t>Transformation of the rock wall by rockfalls processes from August 2020 to July 2021.</w:t>
      </w:r>
      <w:r w:rsidR="007837EF" w:rsidRPr="00091C41">
        <w:rPr>
          <w:lang w:val="en-US"/>
        </w:rPr>
        <w:br w:type="page"/>
      </w:r>
    </w:p>
    <w:p w14:paraId="333DB682" w14:textId="55767D1E" w:rsidR="007837EF" w:rsidRPr="00091C41" w:rsidRDefault="007837EF" w:rsidP="007837EF">
      <w:pPr>
        <w:pStyle w:val="Heading1"/>
      </w:pPr>
      <w:r w:rsidRPr="00091C41">
        <w:lastRenderedPageBreak/>
        <w:t>Supporting Information. Tables</w:t>
      </w:r>
    </w:p>
    <w:p w14:paraId="5C06DC2D" w14:textId="4270E504" w:rsidR="0089245B" w:rsidRPr="00091C41" w:rsidRDefault="0085112B" w:rsidP="0089245B">
      <w:pPr>
        <w:pStyle w:val="NoSpacing"/>
        <w:rPr>
          <w:lang w:val="en-US"/>
        </w:rPr>
      </w:pPr>
      <w:r w:rsidRPr="00091C41">
        <w:rPr>
          <w:b/>
          <w:bCs/>
          <w:lang w:val="en-US"/>
        </w:rPr>
        <w:t>Table</w:t>
      </w:r>
      <w:r w:rsidR="0089245B" w:rsidRPr="00091C41">
        <w:rPr>
          <w:b/>
          <w:bCs/>
          <w:lang w:val="en-US"/>
        </w:rPr>
        <w:t xml:space="preserve"> S1.</w:t>
      </w:r>
      <w:r w:rsidR="0089245B" w:rsidRPr="00091C41">
        <w:rPr>
          <w:lang w:val="en-US"/>
        </w:rPr>
        <w:t xml:space="preserve"> </w:t>
      </w:r>
      <w:r w:rsidR="00E6727C" w:rsidRPr="00091C41">
        <w:rPr>
          <w:lang w:val="en-US"/>
        </w:rPr>
        <w:t>Results of quantitative estimates of erosion/accumulation processes on the bare slope based on comparison of DEMs from large-scale UAV surveys</w:t>
      </w:r>
    </w:p>
    <w:tbl>
      <w:tblPr>
        <w:tblStyle w:val="TableGrid"/>
        <w:tblW w:w="0" w:type="auto"/>
        <w:tblLook w:val="04A0" w:firstRow="1" w:lastRow="0" w:firstColumn="1" w:lastColumn="0" w:noHBand="0" w:noVBand="1"/>
      </w:tblPr>
      <w:tblGrid>
        <w:gridCol w:w="1581"/>
        <w:gridCol w:w="891"/>
        <w:gridCol w:w="1479"/>
        <w:gridCol w:w="997"/>
        <w:gridCol w:w="1820"/>
        <w:gridCol w:w="2577"/>
      </w:tblGrid>
      <w:tr w:rsidR="0013407F" w:rsidRPr="00091C41" w14:paraId="5BF3F628" w14:textId="77777777" w:rsidTr="006C3BFA">
        <w:tc>
          <w:tcPr>
            <w:tcW w:w="0" w:type="auto"/>
            <w:vAlign w:val="center"/>
          </w:tcPr>
          <w:p w14:paraId="0E399400" w14:textId="27CB4A5B" w:rsidR="0089245B" w:rsidRPr="00091C41" w:rsidRDefault="006C3BFA" w:rsidP="006C3BFA">
            <w:pPr>
              <w:pStyle w:val="NoSpacing"/>
              <w:rPr>
                <w:b/>
                <w:bCs/>
                <w:sz w:val="22"/>
                <w:szCs w:val="20"/>
                <w:lang w:val="en-US"/>
              </w:rPr>
            </w:pPr>
            <w:r w:rsidRPr="00091C41">
              <w:rPr>
                <w:b/>
                <w:bCs/>
                <w:sz w:val="22"/>
                <w:szCs w:val="20"/>
                <w:lang w:val="en-US"/>
              </w:rPr>
              <w:t>Period</w:t>
            </w:r>
          </w:p>
        </w:tc>
        <w:tc>
          <w:tcPr>
            <w:tcW w:w="0" w:type="auto"/>
            <w:vAlign w:val="center"/>
          </w:tcPr>
          <w:p w14:paraId="51EF7BD2" w14:textId="480125AA" w:rsidR="0089245B" w:rsidRPr="00091C41" w:rsidRDefault="006C3BFA" w:rsidP="006C3BFA">
            <w:pPr>
              <w:pStyle w:val="NoSpacing"/>
              <w:rPr>
                <w:b/>
                <w:bCs/>
                <w:sz w:val="22"/>
                <w:szCs w:val="20"/>
              </w:rPr>
            </w:pPr>
            <w:r w:rsidRPr="00091C41">
              <w:rPr>
                <w:b/>
                <w:bCs/>
                <w:sz w:val="22"/>
                <w:szCs w:val="20"/>
                <w:lang w:val="en-US"/>
              </w:rPr>
              <w:t>Area</w:t>
            </w:r>
            <w:r w:rsidR="0089245B" w:rsidRPr="00091C41">
              <w:rPr>
                <w:b/>
                <w:bCs/>
                <w:sz w:val="22"/>
                <w:szCs w:val="20"/>
              </w:rPr>
              <w:t xml:space="preserve">, </w:t>
            </w:r>
            <w:r w:rsidRPr="00091C41">
              <w:rPr>
                <w:b/>
                <w:bCs/>
                <w:sz w:val="22"/>
                <w:szCs w:val="20"/>
                <w:lang w:val="en-US"/>
              </w:rPr>
              <w:t>m</w:t>
            </w:r>
            <w:r w:rsidR="0089245B" w:rsidRPr="00091C41">
              <w:rPr>
                <w:b/>
                <w:bCs/>
                <w:sz w:val="22"/>
                <w:szCs w:val="20"/>
                <w:vertAlign w:val="superscript"/>
              </w:rPr>
              <w:t>2</w:t>
            </w:r>
          </w:p>
        </w:tc>
        <w:tc>
          <w:tcPr>
            <w:tcW w:w="0" w:type="auto"/>
            <w:vAlign w:val="center"/>
          </w:tcPr>
          <w:p w14:paraId="6B6E0D7D" w14:textId="33706B22" w:rsidR="0089245B" w:rsidRPr="00091C41" w:rsidRDefault="006C3BFA" w:rsidP="006C3BFA">
            <w:pPr>
              <w:pStyle w:val="NoSpacing"/>
              <w:rPr>
                <w:b/>
                <w:bCs/>
                <w:sz w:val="22"/>
                <w:szCs w:val="20"/>
                <w:lang w:val="en-US"/>
              </w:rPr>
            </w:pPr>
            <w:r w:rsidRPr="00091C41">
              <w:rPr>
                <w:b/>
                <w:bCs/>
                <w:sz w:val="22"/>
                <w:szCs w:val="20"/>
                <w:lang w:val="en-US"/>
              </w:rPr>
              <w:t>Elevation range</w:t>
            </w:r>
            <w:r w:rsidR="0089245B" w:rsidRPr="00091C41">
              <w:rPr>
                <w:b/>
                <w:bCs/>
                <w:sz w:val="22"/>
                <w:szCs w:val="20"/>
                <w:lang w:val="en-US"/>
              </w:rPr>
              <w:t xml:space="preserve">, </w:t>
            </w:r>
            <w:r w:rsidRPr="00091C41">
              <w:rPr>
                <w:b/>
                <w:bCs/>
                <w:sz w:val="22"/>
                <w:szCs w:val="20"/>
                <w:lang w:val="en-US"/>
              </w:rPr>
              <w:t xml:space="preserve">m </w:t>
            </w:r>
            <w:proofErr w:type="spellStart"/>
            <w:r w:rsidRPr="00091C41">
              <w:rPr>
                <w:b/>
                <w:bCs/>
                <w:sz w:val="22"/>
                <w:szCs w:val="20"/>
                <w:lang w:val="en-US"/>
              </w:rPr>
              <w:t>a.m.s.l</w:t>
            </w:r>
            <w:proofErr w:type="spellEnd"/>
            <w:r w:rsidRPr="00091C41">
              <w:rPr>
                <w:b/>
                <w:bCs/>
                <w:sz w:val="22"/>
                <w:szCs w:val="20"/>
                <w:lang w:val="en-US"/>
              </w:rPr>
              <w:t>.</w:t>
            </w:r>
          </w:p>
        </w:tc>
        <w:tc>
          <w:tcPr>
            <w:tcW w:w="0" w:type="auto"/>
            <w:vAlign w:val="center"/>
          </w:tcPr>
          <w:p w14:paraId="78086B51" w14:textId="6FA822AB" w:rsidR="0089245B" w:rsidRPr="00091C41" w:rsidRDefault="006C3BFA" w:rsidP="006C3BFA">
            <w:pPr>
              <w:pStyle w:val="NoSpacing"/>
              <w:rPr>
                <w:b/>
                <w:bCs/>
                <w:sz w:val="22"/>
                <w:szCs w:val="20"/>
              </w:rPr>
            </w:pPr>
            <w:proofErr w:type="spellStart"/>
            <w:r w:rsidRPr="00091C41">
              <w:rPr>
                <w:b/>
                <w:bCs/>
                <w:sz w:val="22"/>
                <w:szCs w:val="20"/>
              </w:rPr>
              <w:t>Slope</w:t>
            </w:r>
            <w:proofErr w:type="spellEnd"/>
            <w:r w:rsidR="0089245B" w:rsidRPr="00091C41">
              <w:rPr>
                <w:b/>
                <w:bCs/>
                <w:sz w:val="22"/>
                <w:szCs w:val="20"/>
              </w:rPr>
              <w:t>, °</w:t>
            </w:r>
          </w:p>
        </w:tc>
        <w:tc>
          <w:tcPr>
            <w:tcW w:w="0" w:type="auto"/>
            <w:vAlign w:val="center"/>
          </w:tcPr>
          <w:p w14:paraId="760A0CD1" w14:textId="51DE9FA0" w:rsidR="0089245B" w:rsidRPr="00091C41" w:rsidRDefault="006C3BFA" w:rsidP="006C3BFA">
            <w:pPr>
              <w:pStyle w:val="NoSpacing"/>
              <w:rPr>
                <w:b/>
                <w:bCs/>
                <w:sz w:val="22"/>
                <w:szCs w:val="20"/>
              </w:rPr>
            </w:pPr>
            <w:r w:rsidRPr="00091C41">
              <w:rPr>
                <w:b/>
                <w:bCs/>
                <w:sz w:val="22"/>
                <w:szCs w:val="20"/>
                <w:lang w:val="en-US"/>
              </w:rPr>
              <w:t>Denudation</w:t>
            </w:r>
            <w:r w:rsidRPr="00091C41">
              <w:rPr>
                <w:b/>
                <w:bCs/>
                <w:sz w:val="22"/>
                <w:szCs w:val="20"/>
              </w:rPr>
              <w:t xml:space="preserve"> </w:t>
            </w:r>
            <w:r w:rsidRPr="00091C41">
              <w:rPr>
                <w:b/>
                <w:bCs/>
                <w:sz w:val="22"/>
                <w:szCs w:val="20"/>
                <w:lang w:val="en-US"/>
              </w:rPr>
              <w:t>layer</w:t>
            </w:r>
            <w:r w:rsidRPr="00091C41">
              <w:rPr>
                <w:b/>
                <w:bCs/>
                <w:sz w:val="22"/>
                <w:szCs w:val="20"/>
              </w:rPr>
              <w:t xml:space="preserve">, </w:t>
            </w:r>
            <w:r w:rsidRPr="00091C41">
              <w:rPr>
                <w:b/>
                <w:bCs/>
                <w:sz w:val="22"/>
                <w:szCs w:val="20"/>
                <w:lang w:val="en-US"/>
              </w:rPr>
              <w:t>cm</w:t>
            </w:r>
          </w:p>
          <w:p w14:paraId="7A9A9AA5" w14:textId="2FBBD608" w:rsidR="0089245B" w:rsidRPr="00091C41" w:rsidRDefault="0089245B" w:rsidP="006C3BFA">
            <w:pPr>
              <w:pStyle w:val="NoSpacing"/>
              <w:rPr>
                <w:b/>
                <w:bCs/>
                <w:sz w:val="22"/>
                <w:szCs w:val="20"/>
                <w:lang w:val="en-US"/>
              </w:rPr>
            </w:pPr>
            <w:r w:rsidRPr="00091C41">
              <w:rPr>
                <w:b/>
                <w:bCs/>
                <w:sz w:val="22"/>
                <w:szCs w:val="20"/>
                <w:lang w:val="en-US"/>
              </w:rPr>
              <w:t>(</w:t>
            </w:r>
            <w:proofErr w:type="gramStart"/>
            <w:r w:rsidR="0013407F" w:rsidRPr="00091C41">
              <w:rPr>
                <w:b/>
                <w:bCs/>
                <w:sz w:val="22"/>
                <w:szCs w:val="20"/>
                <w:lang w:val="en-US"/>
              </w:rPr>
              <w:t>erosion</w:t>
            </w:r>
            <w:proofErr w:type="gramEnd"/>
            <w:r w:rsidR="0013407F" w:rsidRPr="00091C41">
              <w:rPr>
                <w:b/>
                <w:bCs/>
                <w:sz w:val="22"/>
                <w:szCs w:val="20"/>
                <w:lang w:val="en-US"/>
              </w:rPr>
              <w:t xml:space="preserve"> area average</w:t>
            </w:r>
            <w:r w:rsidRPr="00091C41">
              <w:rPr>
                <w:b/>
                <w:bCs/>
                <w:sz w:val="22"/>
                <w:szCs w:val="20"/>
                <w:lang w:val="en-US"/>
              </w:rPr>
              <w:t xml:space="preserve"> / </w:t>
            </w:r>
            <w:r w:rsidR="006C3BFA" w:rsidRPr="00091C41">
              <w:rPr>
                <w:b/>
                <w:bCs/>
                <w:sz w:val="22"/>
                <w:szCs w:val="20"/>
                <w:lang w:val="en-US"/>
              </w:rPr>
              <w:t>site average</w:t>
            </w:r>
            <w:r w:rsidRPr="00091C41">
              <w:rPr>
                <w:b/>
                <w:bCs/>
                <w:sz w:val="22"/>
                <w:szCs w:val="20"/>
                <w:lang w:val="en-US"/>
              </w:rPr>
              <w:t>)</w:t>
            </w:r>
          </w:p>
        </w:tc>
        <w:tc>
          <w:tcPr>
            <w:tcW w:w="2577" w:type="dxa"/>
            <w:vAlign w:val="center"/>
          </w:tcPr>
          <w:p w14:paraId="26CF5EA3" w14:textId="77777777" w:rsidR="006C3BFA" w:rsidRPr="00091C41" w:rsidRDefault="006C3BFA" w:rsidP="006C3BFA">
            <w:pPr>
              <w:pStyle w:val="NoSpacing"/>
              <w:rPr>
                <w:b/>
                <w:bCs/>
                <w:sz w:val="22"/>
                <w:szCs w:val="20"/>
              </w:rPr>
            </w:pPr>
            <w:r w:rsidRPr="00091C41">
              <w:rPr>
                <w:b/>
                <w:bCs/>
                <w:sz w:val="22"/>
                <w:szCs w:val="20"/>
                <w:lang w:val="en-US"/>
              </w:rPr>
              <w:t>Deposition</w:t>
            </w:r>
            <w:r w:rsidRPr="00091C41">
              <w:rPr>
                <w:b/>
                <w:bCs/>
                <w:sz w:val="22"/>
                <w:szCs w:val="20"/>
              </w:rPr>
              <w:t xml:space="preserve"> </w:t>
            </w:r>
            <w:r w:rsidRPr="00091C41">
              <w:rPr>
                <w:b/>
                <w:bCs/>
                <w:sz w:val="22"/>
                <w:szCs w:val="20"/>
                <w:lang w:val="en-US"/>
              </w:rPr>
              <w:t>layer</w:t>
            </w:r>
            <w:r w:rsidRPr="00091C41">
              <w:rPr>
                <w:b/>
                <w:bCs/>
                <w:sz w:val="22"/>
                <w:szCs w:val="20"/>
              </w:rPr>
              <w:t xml:space="preserve">, </w:t>
            </w:r>
            <w:r w:rsidRPr="00091C41">
              <w:rPr>
                <w:b/>
                <w:bCs/>
                <w:sz w:val="22"/>
                <w:szCs w:val="20"/>
                <w:lang w:val="en-US"/>
              </w:rPr>
              <w:t>cm</w:t>
            </w:r>
            <w:r w:rsidR="0089245B" w:rsidRPr="00091C41">
              <w:rPr>
                <w:b/>
                <w:bCs/>
                <w:sz w:val="22"/>
                <w:szCs w:val="20"/>
              </w:rPr>
              <w:t xml:space="preserve"> </w:t>
            </w:r>
          </w:p>
          <w:p w14:paraId="182B9B5D" w14:textId="1885ADCF" w:rsidR="0089245B" w:rsidRPr="00091C41" w:rsidRDefault="0089245B" w:rsidP="006C3BFA">
            <w:pPr>
              <w:pStyle w:val="NoSpacing"/>
              <w:rPr>
                <w:b/>
                <w:bCs/>
                <w:sz w:val="22"/>
                <w:szCs w:val="20"/>
                <w:lang w:val="en-US"/>
              </w:rPr>
            </w:pPr>
            <w:r w:rsidRPr="00091C41">
              <w:rPr>
                <w:b/>
                <w:bCs/>
                <w:sz w:val="22"/>
                <w:szCs w:val="20"/>
                <w:lang w:val="en-US"/>
              </w:rPr>
              <w:t>(</w:t>
            </w:r>
            <w:proofErr w:type="gramStart"/>
            <w:r w:rsidR="004A2A80" w:rsidRPr="00091C41">
              <w:rPr>
                <w:b/>
                <w:bCs/>
                <w:sz w:val="22"/>
                <w:szCs w:val="20"/>
                <w:lang w:val="en-US"/>
              </w:rPr>
              <w:t>accumulation</w:t>
            </w:r>
            <w:proofErr w:type="gramEnd"/>
            <w:r w:rsidR="004A2A80" w:rsidRPr="00091C41">
              <w:rPr>
                <w:b/>
                <w:bCs/>
                <w:sz w:val="22"/>
                <w:szCs w:val="20"/>
                <w:lang w:val="en-US"/>
              </w:rPr>
              <w:t xml:space="preserve"> area average</w:t>
            </w:r>
            <w:r w:rsidRPr="00091C41">
              <w:rPr>
                <w:b/>
                <w:bCs/>
                <w:sz w:val="22"/>
                <w:szCs w:val="20"/>
                <w:lang w:val="en-US"/>
              </w:rPr>
              <w:t xml:space="preserve"> / </w:t>
            </w:r>
            <w:r w:rsidR="006C3BFA" w:rsidRPr="00091C41">
              <w:rPr>
                <w:b/>
                <w:bCs/>
                <w:sz w:val="22"/>
                <w:szCs w:val="20"/>
                <w:lang w:val="en-US"/>
              </w:rPr>
              <w:t>site average</w:t>
            </w:r>
            <w:r w:rsidRPr="00091C41">
              <w:rPr>
                <w:b/>
                <w:bCs/>
                <w:sz w:val="22"/>
                <w:szCs w:val="20"/>
                <w:lang w:val="en-US"/>
              </w:rPr>
              <w:t>)</w:t>
            </w:r>
          </w:p>
        </w:tc>
      </w:tr>
      <w:tr w:rsidR="0013407F" w:rsidRPr="00091C41" w14:paraId="4864D9E7" w14:textId="77777777" w:rsidTr="006C3BFA">
        <w:tc>
          <w:tcPr>
            <w:tcW w:w="0" w:type="auto"/>
            <w:vAlign w:val="center"/>
          </w:tcPr>
          <w:p w14:paraId="39373F4A" w14:textId="77777777" w:rsidR="0089245B" w:rsidRPr="00091C41" w:rsidRDefault="0089245B" w:rsidP="006C3BFA">
            <w:pPr>
              <w:pStyle w:val="NoSpacing"/>
              <w:rPr>
                <w:sz w:val="22"/>
                <w:szCs w:val="20"/>
              </w:rPr>
            </w:pPr>
            <w:r w:rsidRPr="00091C41">
              <w:rPr>
                <w:sz w:val="22"/>
                <w:szCs w:val="20"/>
              </w:rPr>
              <w:t>15.08.2020 – 23.05.2021</w:t>
            </w:r>
          </w:p>
        </w:tc>
        <w:tc>
          <w:tcPr>
            <w:tcW w:w="0" w:type="auto"/>
            <w:vAlign w:val="center"/>
          </w:tcPr>
          <w:p w14:paraId="1783BCCC" w14:textId="77777777" w:rsidR="0089245B" w:rsidRPr="00091C41" w:rsidRDefault="0089245B" w:rsidP="006C3BFA">
            <w:pPr>
              <w:pStyle w:val="NoSpacing"/>
              <w:rPr>
                <w:sz w:val="22"/>
                <w:szCs w:val="20"/>
              </w:rPr>
            </w:pPr>
            <w:r w:rsidRPr="00091C41">
              <w:rPr>
                <w:sz w:val="22"/>
                <w:szCs w:val="20"/>
              </w:rPr>
              <w:t>1371</w:t>
            </w:r>
          </w:p>
        </w:tc>
        <w:tc>
          <w:tcPr>
            <w:tcW w:w="0" w:type="auto"/>
            <w:vAlign w:val="center"/>
          </w:tcPr>
          <w:p w14:paraId="33EE9974" w14:textId="2D942038" w:rsidR="0089245B" w:rsidRPr="00091C41" w:rsidRDefault="006C3BFA" w:rsidP="006C3BFA">
            <w:pPr>
              <w:pStyle w:val="NoSpacing"/>
              <w:rPr>
                <w:sz w:val="22"/>
                <w:szCs w:val="20"/>
              </w:rPr>
            </w:pPr>
            <w:r w:rsidRPr="00091C41">
              <w:rPr>
                <w:sz w:val="22"/>
                <w:szCs w:val="20"/>
              </w:rPr>
              <w:t>1470–1505</w:t>
            </w:r>
          </w:p>
        </w:tc>
        <w:tc>
          <w:tcPr>
            <w:tcW w:w="0" w:type="auto"/>
            <w:vAlign w:val="center"/>
          </w:tcPr>
          <w:p w14:paraId="6381CB95" w14:textId="062FFBC7" w:rsidR="0089245B" w:rsidRPr="00091C41" w:rsidRDefault="0089245B" w:rsidP="006C3BFA">
            <w:pPr>
              <w:pStyle w:val="NoSpacing"/>
              <w:rPr>
                <w:sz w:val="22"/>
                <w:szCs w:val="20"/>
              </w:rPr>
            </w:pPr>
            <w:r w:rsidRPr="00091C41">
              <w:rPr>
                <w:sz w:val="22"/>
                <w:szCs w:val="20"/>
              </w:rPr>
              <w:t>40,1 ± 15</w:t>
            </w:r>
          </w:p>
        </w:tc>
        <w:tc>
          <w:tcPr>
            <w:tcW w:w="0" w:type="auto"/>
            <w:vAlign w:val="center"/>
          </w:tcPr>
          <w:p w14:paraId="056C082C" w14:textId="08CBCF4C" w:rsidR="0089245B" w:rsidRPr="00091C41" w:rsidRDefault="006C3BFA" w:rsidP="006C3BFA">
            <w:pPr>
              <w:pStyle w:val="NoSpacing"/>
              <w:rPr>
                <w:sz w:val="22"/>
                <w:szCs w:val="20"/>
              </w:rPr>
            </w:pPr>
            <w:r w:rsidRPr="00091C41">
              <w:rPr>
                <w:sz w:val="22"/>
                <w:szCs w:val="20"/>
                <w:lang w:val="en-US"/>
              </w:rPr>
              <w:t>−</w:t>
            </w:r>
            <w:r w:rsidR="0089245B" w:rsidRPr="00091C41">
              <w:rPr>
                <w:sz w:val="22"/>
                <w:szCs w:val="20"/>
              </w:rPr>
              <w:t xml:space="preserve">7.6 / </w:t>
            </w:r>
            <w:r w:rsidRPr="00091C41">
              <w:rPr>
                <w:sz w:val="22"/>
                <w:szCs w:val="20"/>
                <w:lang w:val="en-US"/>
              </w:rPr>
              <w:t>−</w:t>
            </w:r>
            <w:r w:rsidR="0089245B" w:rsidRPr="00091C41">
              <w:rPr>
                <w:sz w:val="22"/>
                <w:szCs w:val="20"/>
              </w:rPr>
              <w:t>4.7</w:t>
            </w:r>
          </w:p>
        </w:tc>
        <w:tc>
          <w:tcPr>
            <w:tcW w:w="2577" w:type="dxa"/>
            <w:vAlign w:val="center"/>
          </w:tcPr>
          <w:p w14:paraId="1C8228D3" w14:textId="77777777" w:rsidR="0089245B" w:rsidRPr="00091C41" w:rsidRDefault="0089245B" w:rsidP="006C3BFA">
            <w:pPr>
              <w:pStyle w:val="NoSpacing"/>
              <w:rPr>
                <w:sz w:val="22"/>
                <w:szCs w:val="20"/>
              </w:rPr>
            </w:pPr>
            <w:r w:rsidRPr="00091C41">
              <w:rPr>
                <w:sz w:val="22"/>
                <w:szCs w:val="20"/>
              </w:rPr>
              <w:t>14.1 / 5.2</w:t>
            </w:r>
          </w:p>
        </w:tc>
      </w:tr>
      <w:tr w:rsidR="0013407F" w:rsidRPr="00091C41" w14:paraId="61D73A58" w14:textId="77777777" w:rsidTr="006C3BFA">
        <w:tc>
          <w:tcPr>
            <w:tcW w:w="0" w:type="auto"/>
            <w:vAlign w:val="center"/>
          </w:tcPr>
          <w:p w14:paraId="6008560C" w14:textId="77777777" w:rsidR="0089245B" w:rsidRPr="00091C41" w:rsidRDefault="0089245B" w:rsidP="006C3BFA">
            <w:pPr>
              <w:pStyle w:val="NoSpacing"/>
              <w:rPr>
                <w:sz w:val="22"/>
                <w:szCs w:val="20"/>
              </w:rPr>
            </w:pPr>
            <w:r w:rsidRPr="00091C41">
              <w:rPr>
                <w:sz w:val="22"/>
                <w:szCs w:val="20"/>
              </w:rPr>
              <w:t>23.05.2021 – 11.07.2021</w:t>
            </w:r>
          </w:p>
        </w:tc>
        <w:tc>
          <w:tcPr>
            <w:tcW w:w="0" w:type="auto"/>
            <w:vAlign w:val="center"/>
          </w:tcPr>
          <w:p w14:paraId="3AD9F01D" w14:textId="77777777" w:rsidR="0089245B" w:rsidRPr="00091C41" w:rsidRDefault="0089245B" w:rsidP="006C3BFA">
            <w:pPr>
              <w:pStyle w:val="NoSpacing"/>
              <w:rPr>
                <w:sz w:val="22"/>
                <w:szCs w:val="20"/>
              </w:rPr>
            </w:pPr>
            <w:r w:rsidRPr="00091C41">
              <w:rPr>
                <w:sz w:val="22"/>
                <w:szCs w:val="20"/>
              </w:rPr>
              <w:t>2296</w:t>
            </w:r>
          </w:p>
        </w:tc>
        <w:tc>
          <w:tcPr>
            <w:tcW w:w="0" w:type="auto"/>
            <w:vAlign w:val="center"/>
          </w:tcPr>
          <w:p w14:paraId="55DD55A3" w14:textId="71182F09" w:rsidR="0089245B" w:rsidRPr="00091C41" w:rsidRDefault="006C3BFA" w:rsidP="006C3BFA">
            <w:pPr>
              <w:pStyle w:val="NoSpacing"/>
              <w:rPr>
                <w:sz w:val="22"/>
                <w:szCs w:val="20"/>
              </w:rPr>
            </w:pPr>
            <w:r w:rsidRPr="00091C41">
              <w:rPr>
                <w:sz w:val="22"/>
                <w:szCs w:val="20"/>
              </w:rPr>
              <w:t>1476–1512</w:t>
            </w:r>
          </w:p>
        </w:tc>
        <w:tc>
          <w:tcPr>
            <w:tcW w:w="0" w:type="auto"/>
            <w:vAlign w:val="center"/>
          </w:tcPr>
          <w:p w14:paraId="272B2489" w14:textId="77777777" w:rsidR="0089245B" w:rsidRPr="00091C41" w:rsidRDefault="0089245B" w:rsidP="006C3BFA">
            <w:pPr>
              <w:pStyle w:val="NoSpacing"/>
              <w:rPr>
                <w:sz w:val="22"/>
                <w:szCs w:val="20"/>
              </w:rPr>
            </w:pPr>
            <w:r w:rsidRPr="00091C41">
              <w:rPr>
                <w:sz w:val="22"/>
                <w:szCs w:val="20"/>
              </w:rPr>
              <w:t>38 ± 15</w:t>
            </w:r>
          </w:p>
        </w:tc>
        <w:tc>
          <w:tcPr>
            <w:tcW w:w="0" w:type="auto"/>
            <w:vAlign w:val="center"/>
          </w:tcPr>
          <w:p w14:paraId="3D2558D6" w14:textId="2BF69B15" w:rsidR="0089245B" w:rsidRPr="00091C41" w:rsidRDefault="006C3BFA" w:rsidP="006C3BFA">
            <w:pPr>
              <w:pStyle w:val="NoSpacing"/>
              <w:rPr>
                <w:sz w:val="22"/>
                <w:szCs w:val="20"/>
              </w:rPr>
            </w:pPr>
            <w:r w:rsidRPr="00091C41">
              <w:rPr>
                <w:sz w:val="22"/>
                <w:szCs w:val="20"/>
                <w:lang w:val="en-US"/>
              </w:rPr>
              <w:t>−</w:t>
            </w:r>
            <w:r w:rsidR="0089245B" w:rsidRPr="00091C41">
              <w:rPr>
                <w:sz w:val="22"/>
                <w:szCs w:val="20"/>
              </w:rPr>
              <w:t xml:space="preserve">10.3 / </w:t>
            </w:r>
            <w:r w:rsidRPr="00091C41">
              <w:rPr>
                <w:sz w:val="22"/>
                <w:szCs w:val="20"/>
                <w:lang w:val="en-US"/>
              </w:rPr>
              <w:t>−</w:t>
            </w:r>
            <w:r w:rsidR="0089245B" w:rsidRPr="00091C41">
              <w:rPr>
                <w:sz w:val="22"/>
                <w:szCs w:val="20"/>
              </w:rPr>
              <w:t>3.4</w:t>
            </w:r>
          </w:p>
        </w:tc>
        <w:tc>
          <w:tcPr>
            <w:tcW w:w="2577" w:type="dxa"/>
            <w:vAlign w:val="center"/>
          </w:tcPr>
          <w:p w14:paraId="5CCDE501" w14:textId="77777777" w:rsidR="0089245B" w:rsidRPr="00091C41" w:rsidRDefault="0089245B" w:rsidP="006C3BFA">
            <w:pPr>
              <w:pStyle w:val="NoSpacing"/>
              <w:rPr>
                <w:sz w:val="22"/>
                <w:szCs w:val="20"/>
              </w:rPr>
            </w:pPr>
            <w:r w:rsidRPr="00091C41">
              <w:rPr>
                <w:sz w:val="22"/>
                <w:szCs w:val="20"/>
              </w:rPr>
              <w:t>15.3 / 1</w:t>
            </w:r>
          </w:p>
        </w:tc>
      </w:tr>
    </w:tbl>
    <w:p w14:paraId="18E619CA" w14:textId="77777777" w:rsidR="0089245B" w:rsidRPr="00091C41" w:rsidRDefault="0089245B" w:rsidP="0089245B">
      <w:pPr>
        <w:pStyle w:val="NoSpacing"/>
      </w:pPr>
    </w:p>
    <w:p w14:paraId="4E78095D" w14:textId="77777777" w:rsidR="0089245B" w:rsidRPr="00091C41" w:rsidRDefault="0089245B" w:rsidP="0089245B">
      <w:pPr>
        <w:pStyle w:val="NoSpacing"/>
      </w:pPr>
    </w:p>
    <w:p w14:paraId="6E0C0A5A" w14:textId="77777777" w:rsidR="0089245B" w:rsidRPr="00091C41" w:rsidRDefault="0089245B" w:rsidP="0089245B">
      <w:pPr>
        <w:pStyle w:val="NoSpacing"/>
        <w:rPr>
          <w:lang w:val="en-US"/>
        </w:rPr>
      </w:pPr>
      <w:r w:rsidRPr="00091C41">
        <w:rPr>
          <w:b/>
          <w:bCs/>
          <w:lang w:val="en-US"/>
        </w:rPr>
        <w:t>Table S2.</w:t>
      </w:r>
      <w:r w:rsidRPr="00091C41">
        <w:rPr>
          <w:lang w:val="en-US"/>
        </w:rPr>
        <w:t xml:space="preserve"> Overview of meteorological stations used in </w:t>
      </w:r>
      <w:proofErr w:type="spellStart"/>
      <w:r w:rsidRPr="00091C41">
        <w:rPr>
          <w:lang w:val="en-US"/>
        </w:rPr>
        <w:t>TerraClimate's</w:t>
      </w:r>
      <w:proofErr w:type="spellEnd"/>
      <w:r w:rsidRPr="00091C41">
        <w:rPr>
          <w:lang w:val="en-US"/>
        </w:rPr>
        <w:t xml:space="preserve"> quality assessment.</w:t>
      </w:r>
    </w:p>
    <w:tbl>
      <w:tblPr>
        <w:tblStyle w:val="TableGrid"/>
        <w:tblW w:w="5000" w:type="pct"/>
        <w:jc w:val="center"/>
        <w:tblLayout w:type="fixed"/>
        <w:tblLook w:val="04A0" w:firstRow="1" w:lastRow="0" w:firstColumn="1" w:lastColumn="0" w:noHBand="0" w:noVBand="1"/>
      </w:tblPr>
      <w:tblGrid>
        <w:gridCol w:w="1849"/>
        <w:gridCol w:w="982"/>
        <w:gridCol w:w="994"/>
        <w:gridCol w:w="849"/>
        <w:gridCol w:w="992"/>
        <w:gridCol w:w="992"/>
        <w:gridCol w:w="850"/>
        <w:gridCol w:w="992"/>
        <w:gridCol w:w="845"/>
      </w:tblGrid>
      <w:tr w:rsidR="003F13AF" w:rsidRPr="00091C41" w14:paraId="5E653EE8" w14:textId="77777777" w:rsidTr="003F13AF">
        <w:trPr>
          <w:trHeight w:val="290"/>
          <w:jc w:val="center"/>
        </w:trPr>
        <w:tc>
          <w:tcPr>
            <w:tcW w:w="989" w:type="pct"/>
            <w:noWrap/>
            <w:vAlign w:val="center"/>
            <w:hideMark/>
          </w:tcPr>
          <w:p w14:paraId="5EF6092B" w14:textId="77777777" w:rsidR="0089245B" w:rsidRPr="00091C41" w:rsidRDefault="0089245B" w:rsidP="004C1DC6">
            <w:pPr>
              <w:ind w:firstLine="0"/>
              <w:jc w:val="center"/>
              <w:rPr>
                <w:rFonts w:eastAsia="Times New Roman" w:cs="Times New Roman"/>
                <w:b/>
                <w:bCs/>
                <w:color w:val="000000"/>
                <w:sz w:val="20"/>
                <w:szCs w:val="20"/>
                <w:lang w:val="ru-RU" w:eastAsia="ru-RU"/>
              </w:rPr>
            </w:pPr>
            <w:r w:rsidRPr="00091C41">
              <w:rPr>
                <w:rFonts w:eastAsia="Times New Roman" w:cs="Times New Roman"/>
                <w:b/>
                <w:bCs/>
                <w:color w:val="000000"/>
                <w:sz w:val="20"/>
                <w:szCs w:val="20"/>
                <w:lang w:eastAsia="ru-RU"/>
              </w:rPr>
              <w:t>Station name</w:t>
            </w:r>
          </w:p>
        </w:tc>
        <w:tc>
          <w:tcPr>
            <w:tcW w:w="525" w:type="pct"/>
            <w:noWrap/>
            <w:vAlign w:val="center"/>
            <w:hideMark/>
          </w:tcPr>
          <w:p w14:paraId="1FCA94CF" w14:textId="77777777" w:rsidR="0089245B" w:rsidRPr="00091C41" w:rsidRDefault="0089245B" w:rsidP="004C1DC6">
            <w:pPr>
              <w:ind w:firstLine="0"/>
              <w:jc w:val="center"/>
              <w:rPr>
                <w:rFonts w:eastAsia="Times New Roman" w:cs="Times New Roman"/>
                <w:b/>
                <w:bCs/>
                <w:color w:val="000000"/>
                <w:sz w:val="20"/>
                <w:szCs w:val="20"/>
                <w:lang w:eastAsia="ru-RU"/>
              </w:rPr>
            </w:pPr>
            <w:r w:rsidRPr="00091C41">
              <w:rPr>
                <w:rFonts w:eastAsia="Times New Roman" w:cs="Times New Roman"/>
                <w:b/>
                <w:bCs/>
                <w:color w:val="000000"/>
                <w:sz w:val="20"/>
                <w:szCs w:val="20"/>
                <w:lang w:eastAsia="ru-RU"/>
              </w:rPr>
              <w:t>Elevation, m</w:t>
            </w:r>
          </w:p>
        </w:tc>
        <w:tc>
          <w:tcPr>
            <w:tcW w:w="532" w:type="pct"/>
            <w:noWrap/>
            <w:vAlign w:val="center"/>
            <w:hideMark/>
          </w:tcPr>
          <w:p w14:paraId="39BB890A" w14:textId="77777777" w:rsidR="0089245B" w:rsidRPr="00091C41" w:rsidRDefault="0089245B" w:rsidP="004C1DC6">
            <w:pPr>
              <w:ind w:firstLine="0"/>
              <w:jc w:val="center"/>
              <w:rPr>
                <w:rFonts w:eastAsia="Times New Roman" w:cs="Times New Roman"/>
                <w:b/>
                <w:bCs/>
                <w:color w:val="000000"/>
                <w:sz w:val="20"/>
                <w:szCs w:val="20"/>
                <w:lang w:val="ru-RU" w:eastAsia="ru-RU"/>
              </w:rPr>
            </w:pPr>
            <w:r w:rsidRPr="00091C41">
              <w:rPr>
                <w:rFonts w:eastAsia="Times New Roman" w:cs="Times New Roman"/>
                <w:b/>
                <w:bCs/>
                <w:color w:val="000000"/>
                <w:sz w:val="20"/>
                <w:szCs w:val="20"/>
                <w:lang w:eastAsia="ru-RU"/>
              </w:rPr>
              <w:t>L</w:t>
            </w:r>
            <w:proofErr w:type="spellStart"/>
            <w:r w:rsidRPr="00091C41">
              <w:rPr>
                <w:rFonts w:eastAsia="Times New Roman" w:cs="Times New Roman"/>
                <w:b/>
                <w:bCs/>
                <w:color w:val="000000"/>
                <w:sz w:val="20"/>
                <w:szCs w:val="20"/>
                <w:lang w:val="ru-RU" w:eastAsia="ru-RU"/>
              </w:rPr>
              <w:t>ongitude</w:t>
            </w:r>
            <w:proofErr w:type="spellEnd"/>
          </w:p>
        </w:tc>
        <w:tc>
          <w:tcPr>
            <w:tcW w:w="454" w:type="pct"/>
            <w:noWrap/>
            <w:vAlign w:val="center"/>
            <w:hideMark/>
          </w:tcPr>
          <w:p w14:paraId="6A85152E" w14:textId="77777777" w:rsidR="0089245B" w:rsidRPr="00091C41" w:rsidRDefault="0089245B" w:rsidP="004C1DC6">
            <w:pPr>
              <w:ind w:firstLine="0"/>
              <w:jc w:val="center"/>
              <w:rPr>
                <w:rFonts w:eastAsia="Times New Roman" w:cs="Times New Roman"/>
                <w:b/>
                <w:bCs/>
                <w:color w:val="000000"/>
                <w:sz w:val="20"/>
                <w:szCs w:val="20"/>
                <w:lang w:val="ru-RU" w:eastAsia="ru-RU"/>
              </w:rPr>
            </w:pPr>
            <w:r w:rsidRPr="00091C41">
              <w:rPr>
                <w:rFonts w:eastAsia="Times New Roman" w:cs="Times New Roman"/>
                <w:b/>
                <w:bCs/>
                <w:color w:val="000000"/>
                <w:sz w:val="20"/>
                <w:szCs w:val="20"/>
                <w:lang w:eastAsia="ru-RU"/>
              </w:rPr>
              <w:t>L</w:t>
            </w:r>
            <w:proofErr w:type="spellStart"/>
            <w:r w:rsidRPr="00091C41">
              <w:rPr>
                <w:rFonts w:eastAsia="Times New Roman" w:cs="Times New Roman"/>
                <w:b/>
                <w:bCs/>
                <w:color w:val="000000"/>
                <w:sz w:val="20"/>
                <w:szCs w:val="20"/>
                <w:lang w:val="ru-RU" w:eastAsia="ru-RU"/>
              </w:rPr>
              <w:t>atitude</w:t>
            </w:r>
            <w:proofErr w:type="spellEnd"/>
          </w:p>
        </w:tc>
        <w:tc>
          <w:tcPr>
            <w:tcW w:w="531" w:type="pct"/>
            <w:noWrap/>
            <w:vAlign w:val="center"/>
            <w:hideMark/>
          </w:tcPr>
          <w:p w14:paraId="0E8A69AB" w14:textId="77777777" w:rsidR="0089245B" w:rsidRPr="00091C41" w:rsidRDefault="0089245B" w:rsidP="004C1DC6">
            <w:pPr>
              <w:ind w:firstLine="0"/>
              <w:jc w:val="center"/>
              <w:rPr>
                <w:rFonts w:eastAsia="Times New Roman" w:cs="Times New Roman"/>
                <w:b/>
                <w:bCs/>
                <w:color w:val="000000"/>
                <w:sz w:val="20"/>
                <w:szCs w:val="20"/>
                <w:lang w:eastAsia="ru-RU"/>
              </w:rPr>
            </w:pPr>
            <w:r w:rsidRPr="00091C41">
              <w:rPr>
                <w:rFonts w:eastAsia="Times New Roman" w:cs="Times New Roman"/>
                <w:b/>
                <w:bCs/>
                <w:color w:val="000000"/>
                <w:sz w:val="20"/>
                <w:szCs w:val="20"/>
                <w:lang w:eastAsia="ru-RU"/>
              </w:rPr>
              <w:t>Start date</w:t>
            </w:r>
          </w:p>
        </w:tc>
        <w:tc>
          <w:tcPr>
            <w:tcW w:w="531" w:type="pct"/>
            <w:noWrap/>
            <w:vAlign w:val="center"/>
            <w:hideMark/>
          </w:tcPr>
          <w:p w14:paraId="6F04846F" w14:textId="77777777" w:rsidR="0089245B" w:rsidRPr="00091C41" w:rsidRDefault="0089245B" w:rsidP="004C1DC6">
            <w:pPr>
              <w:ind w:firstLine="0"/>
              <w:jc w:val="center"/>
              <w:rPr>
                <w:rFonts w:eastAsia="Times New Roman" w:cs="Times New Roman"/>
                <w:b/>
                <w:bCs/>
                <w:color w:val="000000"/>
                <w:sz w:val="20"/>
                <w:szCs w:val="20"/>
                <w:lang w:eastAsia="ru-RU"/>
              </w:rPr>
            </w:pPr>
            <w:r w:rsidRPr="00091C41">
              <w:rPr>
                <w:rFonts w:eastAsia="Times New Roman" w:cs="Times New Roman"/>
                <w:b/>
                <w:bCs/>
                <w:color w:val="000000"/>
                <w:sz w:val="20"/>
                <w:szCs w:val="20"/>
                <w:lang w:eastAsia="ru-RU"/>
              </w:rPr>
              <w:t>End date</w:t>
            </w:r>
          </w:p>
        </w:tc>
        <w:tc>
          <w:tcPr>
            <w:tcW w:w="455" w:type="pct"/>
            <w:noWrap/>
            <w:vAlign w:val="center"/>
            <w:hideMark/>
          </w:tcPr>
          <w:p w14:paraId="1B5982D3" w14:textId="77777777" w:rsidR="0089245B" w:rsidRPr="00091C41" w:rsidRDefault="0089245B" w:rsidP="004C1DC6">
            <w:pPr>
              <w:ind w:firstLine="0"/>
              <w:jc w:val="center"/>
              <w:rPr>
                <w:rFonts w:eastAsia="Times New Roman" w:cs="Times New Roman"/>
                <w:b/>
                <w:bCs/>
                <w:color w:val="000000"/>
                <w:sz w:val="20"/>
                <w:szCs w:val="20"/>
                <w:lang w:eastAsia="ru-RU"/>
              </w:rPr>
            </w:pPr>
            <w:r w:rsidRPr="00091C41">
              <w:rPr>
                <w:rFonts w:eastAsia="Times New Roman" w:cs="Times New Roman"/>
                <w:b/>
                <w:bCs/>
                <w:color w:val="000000"/>
                <w:sz w:val="20"/>
                <w:szCs w:val="20"/>
                <w:lang w:eastAsia="ru-RU"/>
              </w:rPr>
              <w:t>n</w:t>
            </w:r>
          </w:p>
        </w:tc>
        <w:tc>
          <w:tcPr>
            <w:tcW w:w="531" w:type="pct"/>
            <w:noWrap/>
            <w:vAlign w:val="center"/>
            <w:hideMark/>
          </w:tcPr>
          <w:p w14:paraId="53FC8CBA" w14:textId="77777777" w:rsidR="0089245B" w:rsidRPr="00091C41" w:rsidRDefault="0089245B" w:rsidP="004C1DC6">
            <w:pPr>
              <w:ind w:firstLine="0"/>
              <w:jc w:val="center"/>
              <w:rPr>
                <w:rFonts w:eastAsia="Times New Roman" w:cs="Times New Roman"/>
                <w:b/>
                <w:bCs/>
                <w:color w:val="000000"/>
                <w:sz w:val="20"/>
                <w:szCs w:val="20"/>
                <w:lang w:val="ru-RU" w:eastAsia="ru-RU"/>
              </w:rPr>
            </w:pPr>
            <w:r w:rsidRPr="00091C41">
              <w:rPr>
                <w:rFonts w:eastAsia="Times New Roman" w:cs="Times New Roman"/>
                <w:b/>
                <w:bCs/>
                <w:color w:val="000000"/>
                <w:sz w:val="20"/>
                <w:szCs w:val="20"/>
                <w:lang w:val="ru-RU" w:eastAsia="ru-RU"/>
              </w:rPr>
              <w:t>R</w:t>
            </w:r>
            <w:r w:rsidRPr="00091C41">
              <w:rPr>
                <w:rFonts w:eastAsia="Times New Roman" w:cs="Times New Roman"/>
                <w:b/>
                <w:bCs/>
                <w:color w:val="000000"/>
                <w:sz w:val="20"/>
                <w:szCs w:val="20"/>
                <w:vertAlign w:val="superscript"/>
                <w:lang w:val="ru-RU" w:eastAsia="ru-RU"/>
              </w:rPr>
              <w:t>2</w:t>
            </w:r>
          </w:p>
        </w:tc>
        <w:tc>
          <w:tcPr>
            <w:tcW w:w="452" w:type="pct"/>
            <w:noWrap/>
            <w:vAlign w:val="center"/>
            <w:hideMark/>
          </w:tcPr>
          <w:p w14:paraId="1AAF9EA1" w14:textId="77777777" w:rsidR="0089245B" w:rsidRPr="00091C41" w:rsidRDefault="0089245B" w:rsidP="004C1DC6">
            <w:pPr>
              <w:ind w:firstLine="0"/>
              <w:jc w:val="center"/>
              <w:rPr>
                <w:rFonts w:eastAsia="Times New Roman" w:cs="Times New Roman"/>
                <w:b/>
                <w:bCs/>
                <w:color w:val="000000"/>
                <w:sz w:val="20"/>
                <w:szCs w:val="20"/>
                <w:lang w:val="ru-RU" w:eastAsia="ru-RU"/>
              </w:rPr>
            </w:pPr>
            <w:r w:rsidRPr="00091C41">
              <w:rPr>
                <w:rFonts w:eastAsia="Times New Roman" w:cs="Times New Roman"/>
                <w:b/>
                <w:bCs/>
                <w:color w:val="000000"/>
                <w:sz w:val="20"/>
                <w:szCs w:val="20"/>
                <w:lang w:val="ru-RU" w:eastAsia="ru-RU"/>
              </w:rPr>
              <w:t>RMSE</w:t>
            </w:r>
          </w:p>
        </w:tc>
      </w:tr>
      <w:tr w:rsidR="003F13AF" w:rsidRPr="00091C41" w14:paraId="1172D98A" w14:textId="77777777" w:rsidTr="003F13AF">
        <w:trPr>
          <w:trHeight w:val="290"/>
          <w:jc w:val="center"/>
        </w:trPr>
        <w:tc>
          <w:tcPr>
            <w:tcW w:w="989" w:type="pct"/>
            <w:noWrap/>
            <w:vAlign w:val="center"/>
            <w:hideMark/>
          </w:tcPr>
          <w:p w14:paraId="6D2B41DD"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STAVROPOL</w:t>
            </w:r>
          </w:p>
        </w:tc>
        <w:tc>
          <w:tcPr>
            <w:tcW w:w="525" w:type="pct"/>
            <w:noWrap/>
            <w:vAlign w:val="center"/>
            <w:hideMark/>
          </w:tcPr>
          <w:p w14:paraId="2F8AB798"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473</w:t>
            </w:r>
          </w:p>
        </w:tc>
        <w:tc>
          <w:tcPr>
            <w:tcW w:w="532" w:type="pct"/>
            <w:noWrap/>
            <w:vAlign w:val="center"/>
            <w:hideMark/>
          </w:tcPr>
          <w:p w14:paraId="77B202E1"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42.02</w:t>
            </w:r>
          </w:p>
        </w:tc>
        <w:tc>
          <w:tcPr>
            <w:tcW w:w="454" w:type="pct"/>
            <w:noWrap/>
            <w:vAlign w:val="center"/>
            <w:hideMark/>
          </w:tcPr>
          <w:p w14:paraId="03256894"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45.05</w:t>
            </w:r>
          </w:p>
        </w:tc>
        <w:tc>
          <w:tcPr>
            <w:tcW w:w="531" w:type="pct"/>
            <w:noWrap/>
            <w:vAlign w:val="center"/>
            <w:hideMark/>
          </w:tcPr>
          <w:p w14:paraId="4D29AC8A" w14:textId="758B96F7" w:rsidR="0089245B" w:rsidRPr="00091C41" w:rsidRDefault="00331332"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eastAsia="ru-RU"/>
              </w:rPr>
              <w:t xml:space="preserve">1 Jan </w:t>
            </w:r>
            <w:r w:rsidR="0089245B" w:rsidRPr="00091C41">
              <w:rPr>
                <w:rFonts w:eastAsia="Times New Roman" w:cs="Times New Roman"/>
                <w:color w:val="000000"/>
                <w:sz w:val="20"/>
                <w:szCs w:val="20"/>
                <w:lang w:val="ru-RU" w:eastAsia="ru-RU"/>
              </w:rPr>
              <w:t>2000</w:t>
            </w:r>
          </w:p>
        </w:tc>
        <w:tc>
          <w:tcPr>
            <w:tcW w:w="531" w:type="pct"/>
            <w:noWrap/>
            <w:vAlign w:val="center"/>
            <w:hideMark/>
          </w:tcPr>
          <w:p w14:paraId="52CCFB82" w14:textId="3857F297" w:rsidR="0089245B" w:rsidRPr="00091C41" w:rsidRDefault="00331332" w:rsidP="004C1DC6">
            <w:pPr>
              <w:ind w:firstLine="0"/>
              <w:jc w:val="center"/>
              <w:rPr>
                <w:rFonts w:eastAsia="Times New Roman" w:cs="Times New Roman"/>
                <w:color w:val="000000"/>
                <w:sz w:val="20"/>
                <w:szCs w:val="20"/>
                <w:lang w:val="ru-RU" w:eastAsia="ru-RU"/>
              </w:rPr>
            </w:pPr>
            <w:proofErr w:type="spellStart"/>
            <w:r w:rsidRPr="00091C41">
              <w:rPr>
                <w:rFonts w:eastAsia="Times New Roman" w:cs="Times New Roman"/>
                <w:color w:val="000000"/>
                <w:sz w:val="20"/>
                <w:szCs w:val="20"/>
                <w:lang w:val="ru-RU" w:eastAsia="ru-RU"/>
              </w:rPr>
              <w:t>Jan</w:t>
            </w:r>
            <w:proofErr w:type="spellEnd"/>
            <w:r w:rsidRPr="00091C41">
              <w:rPr>
                <w:rFonts w:eastAsia="Times New Roman" w:cs="Times New Roman"/>
                <w:color w:val="000000"/>
                <w:sz w:val="20"/>
                <w:szCs w:val="20"/>
                <w:lang w:val="ru-RU" w:eastAsia="ru-RU"/>
              </w:rPr>
              <w:t xml:space="preserve"> 2020</w:t>
            </w:r>
          </w:p>
        </w:tc>
        <w:tc>
          <w:tcPr>
            <w:tcW w:w="455" w:type="pct"/>
            <w:noWrap/>
            <w:vAlign w:val="center"/>
            <w:hideMark/>
          </w:tcPr>
          <w:p w14:paraId="1CD97EC0"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237</w:t>
            </w:r>
          </w:p>
        </w:tc>
        <w:tc>
          <w:tcPr>
            <w:tcW w:w="531" w:type="pct"/>
            <w:noWrap/>
            <w:vAlign w:val="center"/>
            <w:hideMark/>
          </w:tcPr>
          <w:p w14:paraId="5EE03B07"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0.82</w:t>
            </w:r>
          </w:p>
        </w:tc>
        <w:tc>
          <w:tcPr>
            <w:tcW w:w="452" w:type="pct"/>
            <w:noWrap/>
            <w:vAlign w:val="center"/>
            <w:hideMark/>
          </w:tcPr>
          <w:p w14:paraId="5B456CFC"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14.4</w:t>
            </w:r>
          </w:p>
        </w:tc>
      </w:tr>
      <w:tr w:rsidR="003F13AF" w:rsidRPr="00091C41" w14:paraId="689C3644" w14:textId="77777777" w:rsidTr="003F13AF">
        <w:trPr>
          <w:trHeight w:val="290"/>
          <w:jc w:val="center"/>
        </w:trPr>
        <w:tc>
          <w:tcPr>
            <w:tcW w:w="989" w:type="pct"/>
            <w:noWrap/>
            <w:vAlign w:val="center"/>
            <w:hideMark/>
          </w:tcPr>
          <w:p w14:paraId="7E103C60"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ARMAVIR</w:t>
            </w:r>
          </w:p>
        </w:tc>
        <w:tc>
          <w:tcPr>
            <w:tcW w:w="525" w:type="pct"/>
            <w:noWrap/>
            <w:vAlign w:val="center"/>
            <w:hideMark/>
          </w:tcPr>
          <w:p w14:paraId="4FE92663"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159</w:t>
            </w:r>
          </w:p>
        </w:tc>
        <w:tc>
          <w:tcPr>
            <w:tcW w:w="532" w:type="pct"/>
            <w:noWrap/>
            <w:vAlign w:val="center"/>
            <w:hideMark/>
          </w:tcPr>
          <w:p w14:paraId="3E727304" w14:textId="77777777" w:rsidR="0089245B" w:rsidRPr="00091C41" w:rsidRDefault="0089245B" w:rsidP="004C1DC6">
            <w:pPr>
              <w:ind w:firstLine="0"/>
              <w:jc w:val="center"/>
              <w:rPr>
                <w:rFonts w:eastAsia="Times New Roman" w:cs="Times New Roman"/>
                <w:color w:val="000000"/>
                <w:sz w:val="20"/>
                <w:szCs w:val="20"/>
                <w:lang w:eastAsia="ru-RU"/>
              </w:rPr>
            </w:pPr>
            <w:r w:rsidRPr="00091C41">
              <w:rPr>
                <w:rFonts w:eastAsia="Times New Roman" w:cs="Times New Roman"/>
                <w:color w:val="000000"/>
                <w:sz w:val="20"/>
                <w:szCs w:val="20"/>
                <w:lang w:val="ru-RU" w:eastAsia="ru-RU"/>
              </w:rPr>
              <w:t>41.1</w:t>
            </w:r>
            <w:r w:rsidRPr="00091C41">
              <w:rPr>
                <w:rFonts w:eastAsia="Times New Roman" w:cs="Times New Roman"/>
                <w:color w:val="000000"/>
                <w:sz w:val="20"/>
                <w:szCs w:val="20"/>
                <w:lang w:eastAsia="ru-RU"/>
              </w:rPr>
              <w:t>2</w:t>
            </w:r>
          </w:p>
        </w:tc>
        <w:tc>
          <w:tcPr>
            <w:tcW w:w="454" w:type="pct"/>
            <w:noWrap/>
            <w:vAlign w:val="center"/>
            <w:hideMark/>
          </w:tcPr>
          <w:p w14:paraId="47B32C21"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44.98</w:t>
            </w:r>
          </w:p>
        </w:tc>
        <w:tc>
          <w:tcPr>
            <w:tcW w:w="531" w:type="pct"/>
            <w:noWrap/>
            <w:vAlign w:val="center"/>
            <w:hideMark/>
          </w:tcPr>
          <w:p w14:paraId="3FB0D95C" w14:textId="290817E3" w:rsidR="0089245B" w:rsidRPr="00091C41" w:rsidRDefault="00331332"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eastAsia="ru-RU"/>
              </w:rPr>
              <w:t xml:space="preserve">1 </w:t>
            </w:r>
            <w:proofErr w:type="spellStart"/>
            <w:r w:rsidRPr="00091C41">
              <w:rPr>
                <w:rFonts w:eastAsia="Times New Roman" w:cs="Times New Roman"/>
                <w:color w:val="000000"/>
                <w:sz w:val="20"/>
                <w:szCs w:val="20"/>
                <w:lang w:val="ru-RU" w:eastAsia="ru-RU"/>
              </w:rPr>
              <w:t>Jan</w:t>
            </w:r>
            <w:proofErr w:type="spellEnd"/>
            <w:r w:rsidRPr="00091C41">
              <w:rPr>
                <w:rFonts w:eastAsia="Times New Roman" w:cs="Times New Roman"/>
                <w:color w:val="000000"/>
                <w:sz w:val="20"/>
                <w:szCs w:val="20"/>
                <w:lang w:val="ru-RU" w:eastAsia="ru-RU"/>
              </w:rPr>
              <w:t xml:space="preserve"> 2000</w:t>
            </w:r>
          </w:p>
        </w:tc>
        <w:tc>
          <w:tcPr>
            <w:tcW w:w="531" w:type="pct"/>
            <w:noWrap/>
            <w:vAlign w:val="center"/>
            <w:hideMark/>
          </w:tcPr>
          <w:p w14:paraId="7E8F836C" w14:textId="724B6470" w:rsidR="0089245B" w:rsidRPr="00091C41" w:rsidRDefault="00331332" w:rsidP="004C1DC6">
            <w:pPr>
              <w:ind w:firstLine="0"/>
              <w:jc w:val="center"/>
              <w:rPr>
                <w:rFonts w:eastAsia="Times New Roman" w:cs="Times New Roman"/>
                <w:color w:val="000000"/>
                <w:sz w:val="20"/>
                <w:szCs w:val="20"/>
                <w:lang w:val="ru-RU" w:eastAsia="ru-RU"/>
              </w:rPr>
            </w:pPr>
            <w:proofErr w:type="spellStart"/>
            <w:r w:rsidRPr="00091C41">
              <w:rPr>
                <w:rFonts w:eastAsia="Times New Roman" w:cs="Times New Roman"/>
                <w:color w:val="000000"/>
                <w:sz w:val="20"/>
                <w:szCs w:val="20"/>
                <w:lang w:val="ru-RU" w:eastAsia="ru-RU"/>
              </w:rPr>
              <w:t>Jan</w:t>
            </w:r>
            <w:proofErr w:type="spellEnd"/>
            <w:r w:rsidRPr="00091C41">
              <w:rPr>
                <w:rFonts w:eastAsia="Times New Roman" w:cs="Times New Roman"/>
                <w:color w:val="000000"/>
                <w:sz w:val="20"/>
                <w:szCs w:val="20"/>
                <w:lang w:val="ru-RU" w:eastAsia="ru-RU"/>
              </w:rPr>
              <w:t xml:space="preserve"> 2020</w:t>
            </w:r>
          </w:p>
        </w:tc>
        <w:tc>
          <w:tcPr>
            <w:tcW w:w="455" w:type="pct"/>
            <w:noWrap/>
            <w:vAlign w:val="center"/>
            <w:hideMark/>
          </w:tcPr>
          <w:p w14:paraId="62B1C0BE"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240</w:t>
            </w:r>
          </w:p>
        </w:tc>
        <w:tc>
          <w:tcPr>
            <w:tcW w:w="531" w:type="pct"/>
            <w:noWrap/>
            <w:vAlign w:val="center"/>
            <w:hideMark/>
          </w:tcPr>
          <w:p w14:paraId="583C1243"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0.56</w:t>
            </w:r>
          </w:p>
        </w:tc>
        <w:tc>
          <w:tcPr>
            <w:tcW w:w="452" w:type="pct"/>
            <w:noWrap/>
            <w:vAlign w:val="center"/>
            <w:hideMark/>
          </w:tcPr>
          <w:p w14:paraId="13957AFF"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25.1</w:t>
            </w:r>
          </w:p>
        </w:tc>
      </w:tr>
      <w:tr w:rsidR="003F13AF" w:rsidRPr="00091C41" w14:paraId="0C5D3B20" w14:textId="77777777" w:rsidTr="003F13AF">
        <w:trPr>
          <w:trHeight w:val="290"/>
          <w:jc w:val="center"/>
        </w:trPr>
        <w:tc>
          <w:tcPr>
            <w:tcW w:w="989" w:type="pct"/>
            <w:noWrap/>
            <w:vAlign w:val="center"/>
            <w:hideMark/>
          </w:tcPr>
          <w:p w14:paraId="4BDAC04B"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MINERAL NYE VODY</w:t>
            </w:r>
          </w:p>
        </w:tc>
        <w:tc>
          <w:tcPr>
            <w:tcW w:w="525" w:type="pct"/>
            <w:noWrap/>
            <w:vAlign w:val="center"/>
            <w:hideMark/>
          </w:tcPr>
          <w:p w14:paraId="220FE52C"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316</w:t>
            </w:r>
          </w:p>
        </w:tc>
        <w:tc>
          <w:tcPr>
            <w:tcW w:w="532" w:type="pct"/>
            <w:noWrap/>
            <w:vAlign w:val="center"/>
            <w:hideMark/>
          </w:tcPr>
          <w:p w14:paraId="56D7A05A"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43.1</w:t>
            </w:r>
          </w:p>
        </w:tc>
        <w:tc>
          <w:tcPr>
            <w:tcW w:w="454" w:type="pct"/>
            <w:noWrap/>
            <w:vAlign w:val="center"/>
            <w:hideMark/>
          </w:tcPr>
          <w:p w14:paraId="292F6E98"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44.2</w:t>
            </w:r>
          </w:p>
        </w:tc>
        <w:tc>
          <w:tcPr>
            <w:tcW w:w="531" w:type="pct"/>
            <w:noWrap/>
            <w:vAlign w:val="center"/>
            <w:hideMark/>
          </w:tcPr>
          <w:p w14:paraId="1BB28527" w14:textId="42BE9759" w:rsidR="0089245B" w:rsidRPr="00091C41" w:rsidRDefault="00331332"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eastAsia="ru-RU"/>
              </w:rPr>
              <w:t xml:space="preserve">1 </w:t>
            </w:r>
            <w:proofErr w:type="spellStart"/>
            <w:r w:rsidRPr="00091C41">
              <w:rPr>
                <w:rFonts w:eastAsia="Times New Roman" w:cs="Times New Roman"/>
                <w:color w:val="000000"/>
                <w:sz w:val="20"/>
                <w:szCs w:val="20"/>
                <w:lang w:val="ru-RU" w:eastAsia="ru-RU"/>
              </w:rPr>
              <w:t>Jan</w:t>
            </w:r>
            <w:proofErr w:type="spellEnd"/>
            <w:r w:rsidRPr="00091C41">
              <w:rPr>
                <w:rFonts w:eastAsia="Times New Roman" w:cs="Times New Roman"/>
                <w:color w:val="000000"/>
                <w:sz w:val="20"/>
                <w:szCs w:val="20"/>
                <w:lang w:val="ru-RU" w:eastAsia="ru-RU"/>
              </w:rPr>
              <w:t xml:space="preserve"> 2000</w:t>
            </w:r>
          </w:p>
        </w:tc>
        <w:tc>
          <w:tcPr>
            <w:tcW w:w="531" w:type="pct"/>
            <w:noWrap/>
            <w:vAlign w:val="center"/>
            <w:hideMark/>
          </w:tcPr>
          <w:p w14:paraId="2AAAEB08" w14:textId="62DE66C3" w:rsidR="0089245B" w:rsidRPr="00091C41" w:rsidRDefault="00331332" w:rsidP="004C1DC6">
            <w:pPr>
              <w:ind w:firstLine="0"/>
              <w:jc w:val="center"/>
              <w:rPr>
                <w:rFonts w:eastAsia="Times New Roman" w:cs="Times New Roman"/>
                <w:color w:val="000000"/>
                <w:sz w:val="20"/>
                <w:szCs w:val="20"/>
                <w:lang w:val="ru-RU" w:eastAsia="ru-RU"/>
              </w:rPr>
            </w:pPr>
            <w:proofErr w:type="spellStart"/>
            <w:r w:rsidRPr="00091C41">
              <w:rPr>
                <w:rFonts w:eastAsia="Times New Roman" w:cs="Times New Roman"/>
                <w:color w:val="000000"/>
                <w:sz w:val="20"/>
                <w:szCs w:val="20"/>
                <w:lang w:val="ru-RU" w:eastAsia="ru-RU"/>
              </w:rPr>
              <w:t>Jan</w:t>
            </w:r>
            <w:proofErr w:type="spellEnd"/>
            <w:r w:rsidRPr="00091C41">
              <w:rPr>
                <w:rFonts w:eastAsia="Times New Roman" w:cs="Times New Roman"/>
                <w:color w:val="000000"/>
                <w:sz w:val="20"/>
                <w:szCs w:val="20"/>
                <w:lang w:val="ru-RU" w:eastAsia="ru-RU"/>
              </w:rPr>
              <w:t xml:space="preserve"> 2020</w:t>
            </w:r>
          </w:p>
        </w:tc>
        <w:tc>
          <w:tcPr>
            <w:tcW w:w="455" w:type="pct"/>
            <w:noWrap/>
            <w:vAlign w:val="center"/>
            <w:hideMark/>
          </w:tcPr>
          <w:p w14:paraId="7A075EC8"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237</w:t>
            </w:r>
          </w:p>
        </w:tc>
        <w:tc>
          <w:tcPr>
            <w:tcW w:w="531" w:type="pct"/>
            <w:noWrap/>
            <w:vAlign w:val="center"/>
            <w:hideMark/>
          </w:tcPr>
          <w:p w14:paraId="07CC0670"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0.56</w:t>
            </w:r>
          </w:p>
        </w:tc>
        <w:tc>
          <w:tcPr>
            <w:tcW w:w="452" w:type="pct"/>
            <w:noWrap/>
            <w:vAlign w:val="center"/>
            <w:hideMark/>
          </w:tcPr>
          <w:p w14:paraId="391F99D4"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23.7</w:t>
            </w:r>
          </w:p>
        </w:tc>
      </w:tr>
      <w:tr w:rsidR="003F13AF" w:rsidRPr="00091C41" w14:paraId="2EB2841B" w14:textId="77777777" w:rsidTr="003F13AF">
        <w:trPr>
          <w:trHeight w:val="290"/>
          <w:jc w:val="center"/>
        </w:trPr>
        <w:tc>
          <w:tcPr>
            <w:tcW w:w="989" w:type="pct"/>
            <w:noWrap/>
            <w:vAlign w:val="center"/>
            <w:hideMark/>
          </w:tcPr>
          <w:p w14:paraId="6FB1FDAF"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SHADZHATMAZ</w:t>
            </w:r>
          </w:p>
        </w:tc>
        <w:tc>
          <w:tcPr>
            <w:tcW w:w="525" w:type="pct"/>
            <w:noWrap/>
            <w:vAlign w:val="center"/>
            <w:hideMark/>
          </w:tcPr>
          <w:p w14:paraId="1A5E1238"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2070</w:t>
            </w:r>
          </w:p>
        </w:tc>
        <w:tc>
          <w:tcPr>
            <w:tcW w:w="532" w:type="pct"/>
            <w:noWrap/>
            <w:vAlign w:val="center"/>
            <w:hideMark/>
          </w:tcPr>
          <w:p w14:paraId="25EDBAB3"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42.67</w:t>
            </w:r>
          </w:p>
        </w:tc>
        <w:tc>
          <w:tcPr>
            <w:tcW w:w="454" w:type="pct"/>
            <w:noWrap/>
            <w:vAlign w:val="center"/>
            <w:hideMark/>
          </w:tcPr>
          <w:p w14:paraId="2C201C07"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43.73</w:t>
            </w:r>
          </w:p>
        </w:tc>
        <w:tc>
          <w:tcPr>
            <w:tcW w:w="531" w:type="pct"/>
            <w:noWrap/>
            <w:vAlign w:val="center"/>
            <w:hideMark/>
          </w:tcPr>
          <w:p w14:paraId="66DFF874" w14:textId="049EEC5C" w:rsidR="0089245B" w:rsidRPr="00091C41" w:rsidRDefault="00331332"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eastAsia="ru-RU"/>
              </w:rPr>
              <w:t xml:space="preserve">1 </w:t>
            </w:r>
            <w:proofErr w:type="spellStart"/>
            <w:r w:rsidRPr="00091C41">
              <w:rPr>
                <w:rFonts w:eastAsia="Times New Roman" w:cs="Times New Roman"/>
                <w:color w:val="000000"/>
                <w:sz w:val="20"/>
                <w:szCs w:val="20"/>
                <w:lang w:val="ru-RU" w:eastAsia="ru-RU"/>
              </w:rPr>
              <w:t>Jan</w:t>
            </w:r>
            <w:proofErr w:type="spellEnd"/>
            <w:r w:rsidRPr="00091C41">
              <w:rPr>
                <w:rFonts w:eastAsia="Times New Roman" w:cs="Times New Roman"/>
                <w:color w:val="000000"/>
                <w:sz w:val="20"/>
                <w:szCs w:val="20"/>
                <w:lang w:val="ru-RU" w:eastAsia="ru-RU"/>
              </w:rPr>
              <w:t xml:space="preserve"> 2000</w:t>
            </w:r>
          </w:p>
        </w:tc>
        <w:tc>
          <w:tcPr>
            <w:tcW w:w="531" w:type="pct"/>
            <w:noWrap/>
            <w:vAlign w:val="center"/>
            <w:hideMark/>
          </w:tcPr>
          <w:p w14:paraId="394B7805" w14:textId="27DBB8C9" w:rsidR="0089245B" w:rsidRPr="00091C41" w:rsidRDefault="00331332" w:rsidP="004C1DC6">
            <w:pPr>
              <w:ind w:firstLine="0"/>
              <w:jc w:val="center"/>
              <w:rPr>
                <w:rFonts w:eastAsia="Times New Roman" w:cs="Times New Roman"/>
                <w:color w:val="000000"/>
                <w:sz w:val="20"/>
                <w:szCs w:val="20"/>
                <w:lang w:val="ru-RU" w:eastAsia="ru-RU"/>
              </w:rPr>
            </w:pPr>
            <w:proofErr w:type="spellStart"/>
            <w:r w:rsidRPr="00091C41">
              <w:rPr>
                <w:rFonts w:eastAsia="Times New Roman" w:cs="Times New Roman"/>
                <w:color w:val="000000"/>
                <w:sz w:val="20"/>
                <w:szCs w:val="20"/>
                <w:lang w:val="ru-RU" w:eastAsia="ru-RU"/>
              </w:rPr>
              <w:t>Jan</w:t>
            </w:r>
            <w:proofErr w:type="spellEnd"/>
            <w:r w:rsidRPr="00091C41">
              <w:rPr>
                <w:rFonts w:eastAsia="Times New Roman" w:cs="Times New Roman"/>
                <w:color w:val="000000"/>
                <w:sz w:val="20"/>
                <w:szCs w:val="20"/>
                <w:lang w:val="ru-RU" w:eastAsia="ru-RU"/>
              </w:rPr>
              <w:t xml:space="preserve"> 2020</w:t>
            </w:r>
          </w:p>
        </w:tc>
        <w:tc>
          <w:tcPr>
            <w:tcW w:w="455" w:type="pct"/>
            <w:noWrap/>
            <w:vAlign w:val="center"/>
            <w:hideMark/>
          </w:tcPr>
          <w:p w14:paraId="1F4837A7"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237</w:t>
            </w:r>
          </w:p>
        </w:tc>
        <w:tc>
          <w:tcPr>
            <w:tcW w:w="531" w:type="pct"/>
            <w:noWrap/>
            <w:vAlign w:val="center"/>
            <w:hideMark/>
          </w:tcPr>
          <w:p w14:paraId="308BC15C"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0.87</w:t>
            </w:r>
          </w:p>
        </w:tc>
        <w:tc>
          <w:tcPr>
            <w:tcW w:w="452" w:type="pct"/>
            <w:noWrap/>
            <w:vAlign w:val="center"/>
            <w:hideMark/>
          </w:tcPr>
          <w:p w14:paraId="7C85A908"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15.4</w:t>
            </w:r>
          </w:p>
        </w:tc>
      </w:tr>
      <w:tr w:rsidR="003F13AF" w:rsidRPr="00091C41" w14:paraId="7C586DAE" w14:textId="77777777" w:rsidTr="003F13AF">
        <w:trPr>
          <w:trHeight w:val="290"/>
          <w:jc w:val="center"/>
        </w:trPr>
        <w:tc>
          <w:tcPr>
            <w:tcW w:w="989" w:type="pct"/>
            <w:noWrap/>
            <w:vAlign w:val="center"/>
            <w:hideMark/>
          </w:tcPr>
          <w:p w14:paraId="1182BE60"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VLADIKAVKAZ</w:t>
            </w:r>
          </w:p>
        </w:tc>
        <w:tc>
          <w:tcPr>
            <w:tcW w:w="525" w:type="pct"/>
            <w:noWrap/>
            <w:vAlign w:val="center"/>
            <w:hideMark/>
          </w:tcPr>
          <w:p w14:paraId="5FCE360D"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668</w:t>
            </w:r>
          </w:p>
        </w:tc>
        <w:tc>
          <w:tcPr>
            <w:tcW w:w="532" w:type="pct"/>
            <w:noWrap/>
            <w:vAlign w:val="center"/>
            <w:hideMark/>
          </w:tcPr>
          <w:p w14:paraId="04FC6E03"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44.65</w:t>
            </w:r>
          </w:p>
        </w:tc>
        <w:tc>
          <w:tcPr>
            <w:tcW w:w="454" w:type="pct"/>
            <w:noWrap/>
            <w:vAlign w:val="center"/>
            <w:hideMark/>
          </w:tcPr>
          <w:p w14:paraId="63152209"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43.05</w:t>
            </w:r>
          </w:p>
        </w:tc>
        <w:tc>
          <w:tcPr>
            <w:tcW w:w="531" w:type="pct"/>
            <w:noWrap/>
            <w:vAlign w:val="center"/>
            <w:hideMark/>
          </w:tcPr>
          <w:p w14:paraId="3CC78EE8" w14:textId="5C774107" w:rsidR="0089245B" w:rsidRPr="00091C41" w:rsidRDefault="00331332"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eastAsia="ru-RU"/>
              </w:rPr>
              <w:t xml:space="preserve">1 </w:t>
            </w:r>
            <w:proofErr w:type="spellStart"/>
            <w:r w:rsidRPr="00091C41">
              <w:rPr>
                <w:rFonts w:eastAsia="Times New Roman" w:cs="Times New Roman"/>
                <w:color w:val="000000"/>
                <w:sz w:val="20"/>
                <w:szCs w:val="20"/>
                <w:lang w:val="ru-RU" w:eastAsia="ru-RU"/>
              </w:rPr>
              <w:t>Jan</w:t>
            </w:r>
            <w:proofErr w:type="spellEnd"/>
            <w:r w:rsidRPr="00091C41">
              <w:rPr>
                <w:rFonts w:eastAsia="Times New Roman" w:cs="Times New Roman"/>
                <w:color w:val="000000"/>
                <w:sz w:val="20"/>
                <w:szCs w:val="20"/>
                <w:lang w:val="ru-RU" w:eastAsia="ru-RU"/>
              </w:rPr>
              <w:t xml:space="preserve"> 2000</w:t>
            </w:r>
          </w:p>
        </w:tc>
        <w:tc>
          <w:tcPr>
            <w:tcW w:w="531" w:type="pct"/>
            <w:noWrap/>
            <w:vAlign w:val="center"/>
            <w:hideMark/>
          </w:tcPr>
          <w:p w14:paraId="4EC239BD" w14:textId="5C2924D4" w:rsidR="0089245B" w:rsidRPr="00091C41" w:rsidRDefault="00331332"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eastAsia="ru-RU"/>
              </w:rPr>
              <w:t xml:space="preserve">1 Jun </w:t>
            </w:r>
            <w:r w:rsidR="0089245B" w:rsidRPr="00091C41">
              <w:rPr>
                <w:rFonts w:eastAsia="Times New Roman" w:cs="Times New Roman"/>
                <w:color w:val="000000"/>
                <w:sz w:val="20"/>
                <w:szCs w:val="20"/>
                <w:lang w:val="ru-RU" w:eastAsia="ru-RU"/>
              </w:rPr>
              <w:t>2019</w:t>
            </w:r>
          </w:p>
        </w:tc>
        <w:tc>
          <w:tcPr>
            <w:tcW w:w="455" w:type="pct"/>
            <w:noWrap/>
            <w:vAlign w:val="center"/>
            <w:hideMark/>
          </w:tcPr>
          <w:p w14:paraId="0C2DF13D"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222</w:t>
            </w:r>
          </w:p>
        </w:tc>
        <w:tc>
          <w:tcPr>
            <w:tcW w:w="531" w:type="pct"/>
            <w:noWrap/>
            <w:vAlign w:val="center"/>
            <w:hideMark/>
          </w:tcPr>
          <w:p w14:paraId="598C6203"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0.87</w:t>
            </w:r>
          </w:p>
        </w:tc>
        <w:tc>
          <w:tcPr>
            <w:tcW w:w="452" w:type="pct"/>
            <w:noWrap/>
            <w:vAlign w:val="center"/>
            <w:hideMark/>
          </w:tcPr>
          <w:p w14:paraId="7998F769"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23.3</w:t>
            </w:r>
          </w:p>
        </w:tc>
      </w:tr>
      <w:tr w:rsidR="003F13AF" w:rsidRPr="00091C41" w14:paraId="676BDE9B" w14:textId="77777777" w:rsidTr="003F13AF">
        <w:trPr>
          <w:trHeight w:val="290"/>
          <w:jc w:val="center"/>
        </w:trPr>
        <w:tc>
          <w:tcPr>
            <w:tcW w:w="989" w:type="pct"/>
            <w:noWrap/>
            <w:vAlign w:val="center"/>
            <w:hideMark/>
          </w:tcPr>
          <w:p w14:paraId="677493D6"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TERSKOL</w:t>
            </w:r>
          </w:p>
        </w:tc>
        <w:tc>
          <w:tcPr>
            <w:tcW w:w="525" w:type="pct"/>
            <w:noWrap/>
            <w:vAlign w:val="center"/>
            <w:hideMark/>
          </w:tcPr>
          <w:p w14:paraId="7E585AAC" w14:textId="77777777" w:rsidR="0089245B" w:rsidRPr="00091C41" w:rsidRDefault="0089245B" w:rsidP="004C1DC6">
            <w:pPr>
              <w:ind w:firstLine="0"/>
              <w:jc w:val="center"/>
              <w:rPr>
                <w:rFonts w:eastAsia="Times New Roman" w:cs="Times New Roman"/>
                <w:color w:val="000000"/>
                <w:sz w:val="20"/>
                <w:szCs w:val="20"/>
                <w:lang w:eastAsia="ru-RU"/>
              </w:rPr>
            </w:pPr>
            <w:r w:rsidRPr="00091C41">
              <w:rPr>
                <w:rFonts w:eastAsia="Times New Roman" w:cs="Times New Roman"/>
                <w:color w:val="000000"/>
                <w:sz w:val="20"/>
                <w:szCs w:val="20"/>
                <w:lang w:eastAsia="ru-RU"/>
              </w:rPr>
              <w:t>2140</w:t>
            </w:r>
          </w:p>
        </w:tc>
        <w:tc>
          <w:tcPr>
            <w:tcW w:w="532" w:type="pct"/>
            <w:noWrap/>
            <w:vAlign w:val="center"/>
            <w:hideMark/>
          </w:tcPr>
          <w:p w14:paraId="1E9B61D6" w14:textId="77777777" w:rsidR="0089245B" w:rsidRPr="00091C41" w:rsidRDefault="0089245B" w:rsidP="004C1DC6">
            <w:pPr>
              <w:ind w:firstLine="0"/>
              <w:jc w:val="center"/>
              <w:rPr>
                <w:rFonts w:eastAsia="Times New Roman" w:cs="Times New Roman"/>
                <w:sz w:val="20"/>
                <w:szCs w:val="20"/>
                <w:lang w:val="ru-RU" w:eastAsia="ru-RU"/>
              </w:rPr>
            </w:pPr>
            <w:r w:rsidRPr="00091C41">
              <w:rPr>
                <w:rFonts w:eastAsia="Times New Roman" w:cs="Times New Roman"/>
                <w:sz w:val="20"/>
                <w:szCs w:val="20"/>
                <w:lang w:val="ru-RU" w:eastAsia="ru-RU"/>
              </w:rPr>
              <w:t>42.51</w:t>
            </w:r>
          </w:p>
        </w:tc>
        <w:tc>
          <w:tcPr>
            <w:tcW w:w="454" w:type="pct"/>
            <w:noWrap/>
            <w:vAlign w:val="center"/>
            <w:hideMark/>
          </w:tcPr>
          <w:p w14:paraId="4A051134" w14:textId="77777777" w:rsidR="0089245B" w:rsidRPr="00091C41" w:rsidRDefault="0089245B" w:rsidP="004C1DC6">
            <w:pPr>
              <w:ind w:firstLine="0"/>
              <w:jc w:val="center"/>
              <w:rPr>
                <w:rFonts w:eastAsia="Times New Roman" w:cs="Times New Roman"/>
                <w:sz w:val="20"/>
                <w:szCs w:val="20"/>
                <w:lang w:eastAsia="ru-RU"/>
              </w:rPr>
            </w:pPr>
            <w:r w:rsidRPr="00091C41">
              <w:rPr>
                <w:rFonts w:eastAsia="Times New Roman" w:cs="Times New Roman"/>
                <w:sz w:val="20"/>
                <w:szCs w:val="20"/>
                <w:lang w:val="ru-RU" w:eastAsia="ru-RU"/>
              </w:rPr>
              <w:t>43.2</w:t>
            </w:r>
            <w:r w:rsidRPr="00091C41">
              <w:rPr>
                <w:rFonts w:eastAsia="Times New Roman" w:cs="Times New Roman"/>
                <w:sz w:val="20"/>
                <w:szCs w:val="20"/>
                <w:lang w:eastAsia="ru-RU"/>
              </w:rPr>
              <w:t>6</w:t>
            </w:r>
          </w:p>
        </w:tc>
        <w:tc>
          <w:tcPr>
            <w:tcW w:w="531" w:type="pct"/>
            <w:noWrap/>
            <w:vAlign w:val="center"/>
            <w:hideMark/>
          </w:tcPr>
          <w:p w14:paraId="3F71D627" w14:textId="7D71080D" w:rsidR="0089245B" w:rsidRPr="00091C41" w:rsidRDefault="00331332"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eastAsia="ru-RU"/>
              </w:rPr>
              <w:t xml:space="preserve">1 Jan </w:t>
            </w:r>
            <w:r w:rsidR="0089245B" w:rsidRPr="00091C41">
              <w:rPr>
                <w:rFonts w:eastAsia="Times New Roman" w:cs="Times New Roman"/>
                <w:color w:val="000000"/>
                <w:sz w:val="20"/>
                <w:szCs w:val="20"/>
                <w:lang w:val="ru-RU" w:eastAsia="ru-RU"/>
              </w:rPr>
              <w:t>1977</w:t>
            </w:r>
          </w:p>
        </w:tc>
        <w:tc>
          <w:tcPr>
            <w:tcW w:w="531" w:type="pct"/>
            <w:noWrap/>
            <w:vAlign w:val="center"/>
            <w:hideMark/>
          </w:tcPr>
          <w:p w14:paraId="0D315CFB" w14:textId="5EAA3BBA" w:rsidR="0089245B" w:rsidRPr="00091C41" w:rsidRDefault="00331332"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eastAsia="ru-RU"/>
              </w:rPr>
              <w:t xml:space="preserve">1 Dec </w:t>
            </w:r>
            <w:r w:rsidR="0089245B" w:rsidRPr="00091C41">
              <w:rPr>
                <w:rFonts w:eastAsia="Times New Roman" w:cs="Times New Roman"/>
                <w:color w:val="000000"/>
                <w:sz w:val="20"/>
                <w:szCs w:val="20"/>
                <w:lang w:val="ru-RU" w:eastAsia="ru-RU"/>
              </w:rPr>
              <w:t>2018</w:t>
            </w:r>
          </w:p>
        </w:tc>
        <w:tc>
          <w:tcPr>
            <w:tcW w:w="455" w:type="pct"/>
            <w:noWrap/>
            <w:vAlign w:val="center"/>
            <w:hideMark/>
          </w:tcPr>
          <w:p w14:paraId="39C8AF3F"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504</w:t>
            </w:r>
          </w:p>
        </w:tc>
        <w:tc>
          <w:tcPr>
            <w:tcW w:w="531" w:type="pct"/>
            <w:noWrap/>
            <w:vAlign w:val="center"/>
            <w:hideMark/>
          </w:tcPr>
          <w:p w14:paraId="62F7E837"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0.43</w:t>
            </w:r>
          </w:p>
        </w:tc>
        <w:tc>
          <w:tcPr>
            <w:tcW w:w="452" w:type="pct"/>
            <w:noWrap/>
            <w:vAlign w:val="center"/>
            <w:hideMark/>
          </w:tcPr>
          <w:p w14:paraId="5B946823" w14:textId="77777777" w:rsidR="0089245B" w:rsidRPr="00091C41" w:rsidRDefault="0089245B" w:rsidP="004C1DC6">
            <w:pPr>
              <w:ind w:firstLine="0"/>
              <w:jc w:val="center"/>
              <w:rPr>
                <w:rFonts w:eastAsia="Times New Roman" w:cs="Times New Roman"/>
                <w:color w:val="000000"/>
                <w:sz w:val="20"/>
                <w:szCs w:val="20"/>
                <w:lang w:val="ru-RU" w:eastAsia="ru-RU"/>
              </w:rPr>
            </w:pPr>
            <w:r w:rsidRPr="00091C41">
              <w:rPr>
                <w:rFonts w:eastAsia="Times New Roman" w:cs="Times New Roman"/>
                <w:color w:val="000000"/>
                <w:sz w:val="20"/>
                <w:szCs w:val="20"/>
                <w:lang w:val="ru-RU" w:eastAsia="ru-RU"/>
              </w:rPr>
              <w:t>39.4</w:t>
            </w:r>
          </w:p>
        </w:tc>
      </w:tr>
    </w:tbl>
    <w:p w14:paraId="3047BC9F" w14:textId="04ACE10F" w:rsidR="0089245B" w:rsidRPr="00091C41" w:rsidRDefault="0089245B" w:rsidP="0089245B">
      <w:pPr>
        <w:pStyle w:val="NoSpacing"/>
      </w:pPr>
    </w:p>
    <w:p w14:paraId="1DCF4592" w14:textId="77777777" w:rsidR="0019105F" w:rsidRPr="00091C41" w:rsidRDefault="0019105F" w:rsidP="0019105F">
      <w:pPr>
        <w:rPr>
          <w:lang w:bidi="en-US"/>
        </w:rPr>
      </w:pPr>
    </w:p>
    <w:p w14:paraId="33ACC223" w14:textId="3A849FA1" w:rsidR="0019105F" w:rsidRPr="00091C41" w:rsidRDefault="0019105F" w:rsidP="0019105F">
      <w:pPr>
        <w:pStyle w:val="NoSpacing"/>
        <w:rPr>
          <w:lang w:val="en-US" w:bidi="en-US"/>
        </w:rPr>
      </w:pPr>
      <w:r w:rsidRPr="00091C41">
        <w:rPr>
          <w:b/>
          <w:bCs/>
          <w:lang w:val="en-US" w:bidi="en-US"/>
        </w:rPr>
        <w:t>TABLE S3.</w:t>
      </w:r>
      <w:r w:rsidRPr="00091C41">
        <w:rPr>
          <w:lang w:val="en-US" w:bidi="en-US"/>
        </w:rPr>
        <w:t xml:space="preserve"> C-factor values for each LULC class in the </w:t>
      </w:r>
      <w:proofErr w:type="spellStart"/>
      <w:r w:rsidRPr="00091C41">
        <w:rPr>
          <w:lang w:val="en-US" w:bidi="en-US"/>
        </w:rPr>
        <w:t>Gizhgit-Syr</w:t>
      </w:r>
      <w:proofErr w:type="spellEnd"/>
      <w:r w:rsidRPr="00091C41">
        <w:rPr>
          <w:lang w:val="en-US" w:bidi="en-US"/>
        </w:rPr>
        <w:t xml:space="preserve"> Lake basin.</w:t>
      </w:r>
    </w:p>
    <w:tbl>
      <w:tblPr>
        <w:tblStyle w:val="TableGrid"/>
        <w:tblW w:w="0" w:type="auto"/>
        <w:tblLook w:val="04A0" w:firstRow="1" w:lastRow="0" w:firstColumn="1" w:lastColumn="0" w:noHBand="0" w:noVBand="1"/>
      </w:tblPr>
      <w:tblGrid>
        <w:gridCol w:w="4672"/>
        <w:gridCol w:w="4673"/>
      </w:tblGrid>
      <w:tr w:rsidR="0019105F" w:rsidRPr="00091C41" w14:paraId="418744A3" w14:textId="77777777" w:rsidTr="00B2017C">
        <w:tc>
          <w:tcPr>
            <w:tcW w:w="4672" w:type="dxa"/>
          </w:tcPr>
          <w:p w14:paraId="05A0993A" w14:textId="77777777" w:rsidR="0019105F" w:rsidRPr="00091C41" w:rsidRDefault="0019105F" w:rsidP="00B2017C">
            <w:pPr>
              <w:pStyle w:val="NoSpacing"/>
              <w:rPr>
                <w:b/>
                <w:bCs/>
                <w:lang w:bidi="en-US"/>
              </w:rPr>
            </w:pPr>
            <w:r w:rsidRPr="00091C41">
              <w:rPr>
                <w:b/>
                <w:bCs/>
                <w:lang w:bidi="en-US"/>
              </w:rPr>
              <w:t>LULC</w:t>
            </w:r>
          </w:p>
        </w:tc>
        <w:tc>
          <w:tcPr>
            <w:tcW w:w="4673" w:type="dxa"/>
          </w:tcPr>
          <w:p w14:paraId="7D22F7BF" w14:textId="77777777" w:rsidR="0019105F" w:rsidRPr="00091C41" w:rsidRDefault="0019105F" w:rsidP="00B2017C">
            <w:pPr>
              <w:pStyle w:val="NoSpacing"/>
              <w:rPr>
                <w:b/>
                <w:bCs/>
                <w:lang w:bidi="en-US"/>
              </w:rPr>
            </w:pPr>
            <w:r w:rsidRPr="00091C41">
              <w:rPr>
                <w:b/>
                <w:bCs/>
                <w:lang w:bidi="en-US"/>
              </w:rPr>
              <w:t>C-</w:t>
            </w:r>
            <w:proofErr w:type="spellStart"/>
            <w:r w:rsidRPr="00091C41">
              <w:rPr>
                <w:b/>
                <w:bCs/>
                <w:lang w:bidi="en-US"/>
              </w:rPr>
              <w:t>factor</w:t>
            </w:r>
            <w:proofErr w:type="spellEnd"/>
          </w:p>
        </w:tc>
      </w:tr>
      <w:tr w:rsidR="0019105F" w:rsidRPr="00091C41" w14:paraId="31420112" w14:textId="77777777" w:rsidTr="00B2017C">
        <w:tc>
          <w:tcPr>
            <w:tcW w:w="4672" w:type="dxa"/>
          </w:tcPr>
          <w:p w14:paraId="7D60EA91" w14:textId="77777777" w:rsidR="0019105F" w:rsidRPr="00091C41" w:rsidRDefault="0019105F" w:rsidP="00B2017C">
            <w:pPr>
              <w:pStyle w:val="NoSpacing"/>
              <w:rPr>
                <w:lang w:bidi="en-US"/>
              </w:rPr>
            </w:pPr>
            <w:proofErr w:type="spellStart"/>
            <w:r w:rsidRPr="00091C41">
              <w:rPr>
                <w:lang w:bidi="en-US"/>
              </w:rPr>
              <w:t>Shrub</w:t>
            </w:r>
            <w:proofErr w:type="spellEnd"/>
          </w:p>
        </w:tc>
        <w:tc>
          <w:tcPr>
            <w:tcW w:w="4673" w:type="dxa"/>
          </w:tcPr>
          <w:p w14:paraId="0A13B637" w14:textId="77777777" w:rsidR="0019105F" w:rsidRPr="00091C41" w:rsidRDefault="0019105F" w:rsidP="00B2017C">
            <w:pPr>
              <w:pStyle w:val="NoSpacing"/>
              <w:rPr>
                <w:lang w:bidi="en-US"/>
              </w:rPr>
            </w:pPr>
            <w:r w:rsidRPr="00091C41">
              <w:rPr>
                <w:lang w:bidi="en-US"/>
              </w:rPr>
              <w:t>0.001</w:t>
            </w:r>
          </w:p>
        </w:tc>
      </w:tr>
      <w:tr w:rsidR="0019105F" w:rsidRPr="00091C41" w14:paraId="28BDC9F5" w14:textId="77777777" w:rsidTr="00B2017C">
        <w:tc>
          <w:tcPr>
            <w:tcW w:w="4672" w:type="dxa"/>
          </w:tcPr>
          <w:p w14:paraId="4C2FE602" w14:textId="77777777" w:rsidR="0019105F" w:rsidRPr="00091C41" w:rsidRDefault="0019105F" w:rsidP="00B2017C">
            <w:pPr>
              <w:pStyle w:val="NoSpacing"/>
              <w:rPr>
                <w:lang w:bidi="en-US"/>
              </w:rPr>
            </w:pPr>
            <w:proofErr w:type="spellStart"/>
            <w:r w:rsidRPr="00091C41">
              <w:rPr>
                <w:lang w:bidi="en-US"/>
              </w:rPr>
              <w:t>Patchy</w:t>
            </w:r>
            <w:proofErr w:type="spellEnd"/>
            <w:r w:rsidRPr="00091C41">
              <w:rPr>
                <w:lang w:bidi="en-US"/>
              </w:rPr>
              <w:t xml:space="preserve"> </w:t>
            </w:r>
            <w:proofErr w:type="spellStart"/>
            <w:r w:rsidRPr="00091C41">
              <w:rPr>
                <w:lang w:bidi="en-US"/>
              </w:rPr>
              <w:t>shrub</w:t>
            </w:r>
            <w:proofErr w:type="spellEnd"/>
          </w:p>
        </w:tc>
        <w:tc>
          <w:tcPr>
            <w:tcW w:w="4673" w:type="dxa"/>
          </w:tcPr>
          <w:p w14:paraId="6497A5BA" w14:textId="77777777" w:rsidR="0019105F" w:rsidRPr="00091C41" w:rsidRDefault="0019105F" w:rsidP="00B2017C">
            <w:pPr>
              <w:pStyle w:val="NoSpacing"/>
              <w:rPr>
                <w:lang w:bidi="en-US"/>
              </w:rPr>
            </w:pPr>
            <w:r w:rsidRPr="00091C41">
              <w:rPr>
                <w:lang w:bidi="en-US"/>
              </w:rPr>
              <w:t>0.003</w:t>
            </w:r>
          </w:p>
        </w:tc>
      </w:tr>
      <w:tr w:rsidR="0019105F" w:rsidRPr="00091C41" w14:paraId="1C0E7D05" w14:textId="77777777" w:rsidTr="00B2017C">
        <w:tc>
          <w:tcPr>
            <w:tcW w:w="4672" w:type="dxa"/>
          </w:tcPr>
          <w:p w14:paraId="13F97960" w14:textId="77777777" w:rsidR="0019105F" w:rsidRPr="00091C41" w:rsidRDefault="0019105F" w:rsidP="00B2017C">
            <w:pPr>
              <w:pStyle w:val="NoSpacing"/>
              <w:rPr>
                <w:lang w:bidi="en-US"/>
              </w:rPr>
            </w:pPr>
            <w:proofErr w:type="spellStart"/>
            <w:r w:rsidRPr="00091C41">
              <w:rPr>
                <w:lang w:bidi="en-US"/>
              </w:rPr>
              <w:t>Forest</w:t>
            </w:r>
            <w:proofErr w:type="spellEnd"/>
          </w:p>
        </w:tc>
        <w:tc>
          <w:tcPr>
            <w:tcW w:w="4673" w:type="dxa"/>
          </w:tcPr>
          <w:p w14:paraId="64B20248" w14:textId="77777777" w:rsidR="0019105F" w:rsidRPr="00091C41" w:rsidRDefault="0019105F" w:rsidP="00B2017C">
            <w:pPr>
              <w:pStyle w:val="NoSpacing"/>
              <w:rPr>
                <w:lang w:bidi="en-US"/>
              </w:rPr>
            </w:pPr>
            <w:r w:rsidRPr="00091C41">
              <w:rPr>
                <w:lang w:bidi="en-US"/>
              </w:rPr>
              <w:t>0.001</w:t>
            </w:r>
          </w:p>
        </w:tc>
      </w:tr>
      <w:tr w:rsidR="0019105F" w:rsidRPr="00091C41" w14:paraId="5E7AFD99" w14:textId="77777777" w:rsidTr="00B2017C">
        <w:tc>
          <w:tcPr>
            <w:tcW w:w="4672" w:type="dxa"/>
          </w:tcPr>
          <w:p w14:paraId="72DEDBC4" w14:textId="77777777" w:rsidR="0019105F" w:rsidRPr="00091C41" w:rsidRDefault="0019105F" w:rsidP="00B2017C">
            <w:pPr>
              <w:pStyle w:val="NoSpacing"/>
              <w:rPr>
                <w:lang w:bidi="en-US"/>
              </w:rPr>
            </w:pPr>
            <w:proofErr w:type="spellStart"/>
            <w:r w:rsidRPr="00091C41">
              <w:rPr>
                <w:lang w:bidi="en-US"/>
              </w:rPr>
              <w:t>Pasture</w:t>
            </w:r>
            <w:proofErr w:type="spellEnd"/>
            <w:r w:rsidRPr="00091C41">
              <w:rPr>
                <w:lang w:bidi="en-US"/>
              </w:rPr>
              <w:t xml:space="preserve"> / </w:t>
            </w:r>
            <w:proofErr w:type="spellStart"/>
            <w:r w:rsidRPr="00091C41">
              <w:rPr>
                <w:lang w:bidi="en-US"/>
              </w:rPr>
              <w:t>grassland</w:t>
            </w:r>
            <w:proofErr w:type="spellEnd"/>
          </w:p>
        </w:tc>
        <w:tc>
          <w:tcPr>
            <w:tcW w:w="4673" w:type="dxa"/>
          </w:tcPr>
          <w:p w14:paraId="6AA1DBD2" w14:textId="77777777" w:rsidR="0019105F" w:rsidRPr="00091C41" w:rsidRDefault="0019105F" w:rsidP="00B2017C">
            <w:pPr>
              <w:pStyle w:val="NoSpacing"/>
              <w:rPr>
                <w:lang w:bidi="en-US"/>
              </w:rPr>
            </w:pPr>
            <w:r w:rsidRPr="00091C41">
              <w:rPr>
                <w:lang w:bidi="en-US"/>
              </w:rPr>
              <w:t>0.01</w:t>
            </w:r>
          </w:p>
        </w:tc>
      </w:tr>
    </w:tbl>
    <w:p w14:paraId="2F5FCF85" w14:textId="77777777" w:rsidR="0019105F" w:rsidRPr="00091C41" w:rsidRDefault="0019105F" w:rsidP="0019105F"/>
    <w:p w14:paraId="7742C264" w14:textId="77777777" w:rsidR="0019105F" w:rsidRPr="00091C41" w:rsidRDefault="0019105F" w:rsidP="0089245B">
      <w:pPr>
        <w:pStyle w:val="NoSpacing"/>
      </w:pPr>
    </w:p>
    <w:p w14:paraId="3A7822F0" w14:textId="0610B6A0" w:rsidR="009F320C" w:rsidRPr="00091C41" w:rsidRDefault="009F320C" w:rsidP="009F320C">
      <w:pPr>
        <w:pStyle w:val="Heading1"/>
      </w:pPr>
      <w:r w:rsidRPr="00091C41">
        <w:lastRenderedPageBreak/>
        <w:t>References</w:t>
      </w:r>
    </w:p>
    <w:p w14:paraId="46CD8DC2" w14:textId="77777777" w:rsidR="003A486D" w:rsidRPr="00091C41" w:rsidRDefault="00B44605" w:rsidP="003A486D">
      <w:pPr>
        <w:pStyle w:val="Bibliography"/>
        <w:rPr>
          <w:rFonts w:cs="Times New Roman"/>
        </w:rPr>
      </w:pPr>
      <w:r w:rsidRPr="00091C41">
        <w:fldChar w:fldCharType="begin"/>
      </w:r>
      <w:r w:rsidR="003A486D" w:rsidRPr="00091C41">
        <w:instrText xml:space="preserve"> ADDIN ZOTERO_BIBL {"uncited":[],"omitted":[],"custom":[]} CSL_BIBLIOGRAPHY </w:instrText>
      </w:r>
      <w:r w:rsidRPr="00091C41">
        <w:fldChar w:fldCharType="separate"/>
      </w:r>
      <w:r w:rsidR="003A486D" w:rsidRPr="00091C41">
        <w:rPr>
          <w:rFonts w:cs="Times New Roman"/>
        </w:rPr>
        <w:t xml:space="preserve">Abatzoglou JT, Dobrowski SZ, Parks SA, Hegewisch KC. 2018. TerraClimate, a high-resolution global dataset of monthly climate and climatic water balance from 1958–2015. Scientific Data </w:t>
      </w:r>
      <w:r w:rsidR="003A486D" w:rsidRPr="00091C41">
        <w:rPr>
          <w:rFonts w:cs="Times New Roman"/>
          <w:b/>
          <w:bCs/>
        </w:rPr>
        <w:t>5</w:t>
      </w:r>
      <w:r w:rsidR="003A486D" w:rsidRPr="00091C41">
        <w:rPr>
          <w:rFonts w:cs="Times New Roman"/>
        </w:rPr>
        <w:t xml:space="preserve"> : 170191. DOI: 10.1038/sdata.2017.191</w:t>
      </w:r>
    </w:p>
    <w:p w14:paraId="56C430EE" w14:textId="77777777" w:rsidR="003A486D" w:rsidRPr="00091C41" w:rsidRDefault="003A486D" w:rsidP="003A486D">
      <w:pPr>
        <w:pStyle w:val="Bibliography"/>
        <w:rPr>
          <w:rFonts w:cs="Times New Roman"/>
        </w:rPr>
      </w:pPr>
      <w:r w:rsidRPr="00091C41">
        <w:rPr>
          <w:rFonts w:cs="Times New Roman"/>
        </w:rPr>
        <w:t>Anon. 2021. Global Historical Climatology Network daily (GHCNd). National Centers for Environmental Information (NCEI) [online] Available from: http://www.ncei.noaa.gov/products/land-based-station/global-historical-climatology-network-daily (Accessed 2 February 2022)</w:t>
      </w:r>
    </w:p>
    <w:p w14:paraId="3F95F20D" w14:textId="77777777" w:rsidR="003A486D" w:rsidRPr="00091C41" w:rsidRDefault="003A486D" w:rsidP="003A486D">
      <w:pPr>
        <w:pStyle w:val="Bibliography"/>
        <w:rPr>
          <w:rFonts w:cs="Times New Roman"/>
        </w:rPr>
      </w:pPr>
      <w:r w:rsidRPr="00091C41">
        <w:rPr>
          <w:rFonts w:cs="Times New Roman"/>
        </w:rPr>
        <w:t xml:space="preserve">Batista PVG, Laceby JP, Davies J, Carvalho TS, Tassinari D, Silva MLN, Curi N, Quinton JN. 2021. A framework for testing large-scale distributed soil erosion and sediment delivery models: Dealing with uncertainty in models and the observational data. Environmental Modelling &amp; Software </w:t>
      </w:r>
      <w:r w:rsidRPr="00091C41">
        <w:rPr>
          <w:rFonts w:cs="Times New Roman"/>
          <w:b/>
          <w:bCs/>
        </w:rPr>
        <w:t>137</w:t>
      </w:r>
      <w:r w:rsidRPr="00091C41">
        <w:rPr>
          <w:rFonts w:cs="Times New Roman"/>
        </w:rPr>
        <w:t xml:space="preserve"> : 104961. DOI: 10.1016/j.envsoft.2021.104961</w:t>
      </w:r>
    </w:p>
    <w:p w14:paraId="7673C385" w14:textId="77777777" w:rsidR="003A486D" w:rsidRPr="00091C41" w:rsidRDefault="003A486D" w:rsidP="003A486D">
      <w:pPr>
        <w:pStyle w:val="Bibliography"/>
        <w:rPr>
          <w:rFonts w:cs="Times New Roman"/>
        </w:rPr>
      </w:pPr>
      <w:r w:rsidRPr="00091C41">
        <w:rPr>
          <w:rFonts w:cs="Times New Roman"/>
        </w:rPr>
        <w:t xml:space="preserve">Benavidez R, Jackson B, Maxwell D, Norton K. 2018. A review of the (Revised) Universal Soil Loss Equation ((R)USLE): with a view to increasing its global applicability and improving soil loss estimates. Hydrology and Earth System Sciences </w:t>
      </w:r>
      <w:r w:rsidRPr="00091C41">
        <w:rPr>
          <w:rFonts w:cs="Times New Roman"/>
          <w:b/>
          <w:bCs/>
        </w:rPr>
        <w:t>22</w:t>
      </w:r>
      <w:r w:rsidRPr="00091C41">
        <w:rPr>
          <w:rFonts w:cs="Times New Roman"/>
        </w:rPr>
        <w:t xml:space="preserve"> : 6059–6086. DOI: https://doi.org/10.5194/hess-22-6059-2018</w:t>
      </w:r>
    </w:p>
    <w:p w14:paraId="5220CD9C" w14:textId="77777777" w:rsidR="003A486D" w:rsidRPr="00091C41" w:rsidRDefault="003A486D" w:rsidP="003A486D">
      <w:pPr>
        <w:pStyle w:val="Bibliography"/>
        <w:rPr>
          <w:rFonts w:cs="Times New Roman"/>
        </w:rPr>
      </w:pPr>
      <w:r w:rsidRPr="00091C41">
        <w:rPr>
          <w:rFonts w:cs="Times New Roman"/>
        </w:rPr>
        <w:t xml:space="preserve">Buchner J et al. 2020. Land-cover change in the Caucasus Mountains since 1987 based on the topographic correction of multi-temporal Landsat composites. Remote Sensing of Environment </w:t>
      </w:r>
      <w:r w:rsidRPr="00091C41">
        <w:rPr>
          <w:rFonts w:cs="Times New Roman"/>
          <w:b/>
          <w:bCs/>
        </w:rPr>
        <w:t>248</w:t>
      </w:r>
      <w:r w:rsidRPr="00091C41">
        <w:rPr>
          <w:rFonts w:cs="Times New Roman"/>
        </w:rPr>
        <w:t xml:space="preserve"> : 111967. DOI: 10.1016/j.rse.2020.111967</w:t>
      </w:r>
    </w:p>
    <w:p w14:paraId="4F7CC318" w14:textId="77777777" w:rsidR="003A486D" w:rsidRPr="00091C41" w:rsidRDefault="003A486D" w:rsidP="003A486D">
      <w:pPr>
        <w:pStyle w:val="Bibliography"/>
        <w:rPr>
          <w:rFonts w:cs="Times New Roman"/>
        </w:rPr>
      </w:pPr>
      <w:r w:rsidRPr="00091C41">
        <w:rPr>
          <w:rFonts w:cs="Times New Roman"/>
        </w:rPr>
        <w:t>Chamberlain S. 2021. rnoaa: “NOAA” Weather Data from R [online] Available from: https://CRAN.R-project.org/package=rnoaa</w:t>
      </w:r>
    </w:p>
    <w:p w14:paraId="00555F5E" w14:textId="77777777" w:rsidR="003A486D" w:rsidRPr="00091C41" w:rsidRDefault="003A486D" w:rsidP="003A486D">
      <w:pPr>
        <w:pStyle w:val="Bibliography"/>
        <w:rPr>
          <w:rFonts w:cs="Times New Roman"/>
        </w:rPr>
      </w:pPr>
      <w:r w:rsidRPr="00091C41">
        <w:rPr>
          <w:rFonts w:cs="Times New Roman"/>
        </w:rPr>
        <w:t xml:space="preserve">Chen L, Qian X, Shi Y. 2011. Critical Area Identification of Potential Soil Loss in a Typical Watershed of the Three Gorges Reservoir Region. Water Resources Management </w:t>
      </w:r>
      <w:r w:rsidRPr="00091C41">
        <w:rPr>
          <w:rFonts w:cs="Times New Roman"/>
          <w:b/>
          <w:bCs/>
        </w:rPr>
        <w:t>25</w:t>
      </w:r>
      <w:r w:rsidRPr="00091C41">
        <w:rPr>
          <w:rFonts w:cs="Times New Roman"/>
        </w:rPr>
        <w:t xml:space="preserve"> : 3445. DOI: 10.1007/s11269-011-9864-4</w:t>
      </w:r>
    </w:p>
    <w:p w14:paraId="66383EFC" w14:textId="77777777" w:rsidR="003A486D" w:rsidRPr="00091C41" w:rsidRDefault="003A486D" w:rsidP="003A486D">
      <w:pPr>
        <w:pStyle w:val="Bibliography"/>
        <w:rPr>
          <w:rFonts w:cs="Times New Roman"/>
        </w:rPr>
      </w:pPr>
      <w:r w:rsidRPr="00091C41">
        <w:rPr>
          <w:rFonts w:cs="Times New Roman"/>
        </w:rPr>
        <w:t xml:space="preserve">Desmet PJJ, Govers G. 1995. GIS-based simulation of erosion and deposition patterns in an agricultural landscape: a comparison of model results with soil map information. CATENA </w:t>
      </w:r>
      <w:r w:rsidRPr="00091C41">
        <w:rPr>
          <w:rFonts w:cs="Times New Roman"/>
          <w:b/>
          <w:bCs/>
        </w:rPr>
        <w:t>25</w:t>
      </w:r>
      <w:r w:rsidRPr="00091C41">
        <w:rPr>
          <w:rFonts w:cs="Times New Roman"/>
        </w:rPr>
        <w:t xml:space="preserve"> : 389–401. DOI: 10.1016/0341-8162(95)00019-O</w:t>
      </w:r>
    </w:p>
    <w:p w14:paraId="16D53F57" w14:textId="77777777" w:rsidR="003A486D" w:rsidRPr="00091C41" w:rsidRDefault="003A486D" w:rsidP="003A486D">
      <w:pPr>
        <w:pStyle w:val="Bibliography"/>
        <w:rPr>
          <w:rFonts w:cs="Times New Roman"/>
        </w:rPr>
      </w:pPr>
      <w:r w:rsidRPr="00091C41">
        <w:rPr>
          <w:rFonts w:cs="Times New Roman"/>
        </w:rPr>
        <w:t xml:space="preserve">Dubey S, Gupta H, Goyal MK, Joshi N. 2021. Evaluation of precipitation datasets available on Google earth engine over India. International Journal of Climatology </w:t>
      </w:r>
      <w:r w:rsidRPr="00091C41">
        <w:rPr>
          <w:rFonts w:cs="Times New Roman"/>
          <w:b/>
          <w:bCs/>
        </w:rPr>
        <w:t>41</w:t>
      </w:r>
      <w:r w:rsidRPr="00091C41">
        <w:rPr>
          <w:rFonts w:cs="Times New Roman"/>
        </w:rPr>
        <w:t xml:space="preserve"> : 4844–4863. DOI: 10.1002/joc.7102</w:t>
      </w:r>
    </w:p>
    <w:p w14:paraId="0DEB9CCA" w14:textId="77777777" w:rsidR="003A486D" w:rsidRPr="00091C41" w:rsidRDefault="003A486D" w:rsidP="003A486D">
      <w:pPr>
        <w:pStyle w:val="Bibliography"/>
        <w:rPr>
          <w:rFonts w:cs="Times New Roman"/>
        </w:rPr>
      </w:pPr>
      <w:r w:rsidRPr="00091C41">
        <w:rPr>
          <w:rFonts w:cs="Times New Roman"/>
        </w:rPr>
        <w:t xml:space="preserve">Fenta AA, Yasuda H, Shimizu K, Haregeweyn N, Kawai T, Sultan D, Ebabu K, Belay AS. 2017. Spatial distribution and temporal trends of rainfall and erosivity in the Eastern Africa region. Hydrological Processes </w:t>
      </w:r>
      <w:r w:rsidRPr="00091C41">
        <w:rPr>
          <w:rFonts w:cs="Times New Roman"/>
          <w:b/>
          <w:bCs/>
        </w:rPr>
        <w:t>31</w:t>
      </w:r>
      <w:r w:rsidRPr="00091C41">
        <w:rPr>
          <w:rFonts w:cs="Times New Roman"/>
        </w:rPr>
        <w:t xml:space="preserve"> : 4555–4567. DOI: https://doi.org/10.1002/hyp.11378</w:t>
      </w:r>
    </w:p>
    <w:p w14:paraId="22EA9CFE" w14:textId="77777777" w:rsidR="003A486D" w:rsidRPr="00091C41" w:rsidRDefault="003A486D" w:rsidP="003A486D">
      <w:pPr>
        <w:pStyle w:val="Bibliography"/>
        <w:rPr>
          <w:rFonts w:cs="Times New Roman"/>
        </w:rPr>
      </w:pPr>
      <w:r w:rsidRPr="00091C41">
        <w:rPr>
          <w:rFonts w:cs="Times New Roman"/>
        </w:rPr>
        <w:t xml:space="preserve">Ferro V, Porto P, Yu B. 1999. A comparative study of rainfall erosivity estimation for southern Italy and southeastern Australia. Hydrological Sciences Journal </w:t>
      </w:r>
      <w:r w:rsidRPr="00091C41">
        <w:rPr>
          <w:rFonts w:cs="Times New Roman"/>
          <w:b/>
          <w:bCs/>
        </w:rPr>
        <w:t>44</w:t>
      </w:r>
      <w:r w:rsidRPr="00091C41">
        <w:rPr>
          <w:rFonts w:cs="Times New Roman"/>
        </w:rPr>
        <w:t xml:space="preserve"> : 3–24. DOI: 10.1080/02626669909492199</w:t>
      </w:r>
    </w:p>
    <w:p w14:paraId="1D958B2D" w14:textId="77777777" w:rsidR="003A486D" w:rsidRPr="00091C41" w:rsidRDefault="003A486D" w:rsidP="003A486D">
      <w:pPr>
        <w:pStyle w:val="Bibliography"/>
        <w:rPr>
          <w:rFonts w:cs="Times New Roman"/>
        </w:rPr>
      </w:pPr>
      <w:r w:rsidRPr="00091C41">
        <w:rPr>
          <w:rFonts w:cs="Times New Roman"/>
        </w:rPr>
        <w:lastRenderedPageBreak/>
        <w:t xml:space="preserve">Haregeweyn N, Tsunekawa A, Poesen J, Tsubo M, Meshesha DT, Fenta AA, Nyssen J, Adgo E. 2017. Comprehensive assessment of soil erosion risk for better land use planning in river basins: Case study of the Upper Blue Nile River. Science of The Total Environment </w:t>
      </w:r>
      <w:r w:rsidRPr="00091C41">
        <w:rPr>
          <w:rFonts w:cs="Times New Roman"/>
          <w:b/>
          <w:bCs/>
        </w:rPr>
        <w:t>574</w:t>
      </w:r>
      <w:r w:rsidRPr="00091C41">
        <w:rPr>
          <w:rFonts w:cs="Times New Roman"/>
        </w:rPr>
        <w:t xml:space="preserve"> : 95–108. DOI: 10.1016/j.scitotenv.2016.09.019</w:t>
      </w:r>
    </w:p>
    <w:p w14:paraId="0D08FB18" w14:textId="77777777" w:rsidR="003A486D" w:rsidRPr="00091C41" w:rsidRDefault="003A486D" w:rsidP="003A486D">
      <w:pPr>
        <w:pStyle w:val="Bibliography"/>
        <w:rPr>
          <w:rFonts w:cs="Times New Roman"/>
        </w:rPr>
      </w:pPr>
      <w:r w:rsidRPr="00091C41">
        <w:rPr>
          <w:rFonts w:cs="Times New Roman"/>
        </w:rPr>
        <w:t xml:space="preserve">Hengl T et al. 2017. SoilGrids250m: Global gridded soil information based on machine learning. PLOS ONE </w:t>
      </w:r>
      <w:r w:rsidRPr="00091C41">
        <w:rPr>
          <w:rFonts w:cs="Times New Roman"/>
          <w:b/>
          <w:bCs/>
        </w:rPr>
        <w:t>12</w:t>
      </w:r>
      <w:r w:rsidRPr="00091C41">
        <w:rPr>
          <w:rFonts w:cs="Times New Roman"/>
        </w:rPr>
        <w:t xml:space="preserve"> : e0169748. DOI: 10.1371/journal.pone.0169748</w:t>
      </w:r>
    </w:p>
    <w:p w14:paraId="2C956E9C" w14:textId="77777777" w:rsidR="003A486D" w:rsidRPr="00091C41" w:rsidRDefault="003A486D" w:rsidP="003A486D">
      <w:pPr>
        <w:pStyle w:val="Bibliography"/>
        <w:rPr>
          <w:rFonts w:cs="Times New Roman"/>
        </w:rPr>
      </w:pPr>
      <w:r w:rsidRPr="00091C41">
        <w:rPr>
          <w:rFonts w:cs="Times New Roman"/>
        </w:rPr>
        <w:t xml:space="preserve">Hyndman RJ. 1996. Computing and Graphing Highest Density Regions. The American Statistician </w:t>
      </w:r>
      <w:r w:rsidRPr="00091C41">
        <w:rPr>
          <w:rFonts w:cs="Times New Roman"/>
          <w:b/>
          <w:bCs/>
        </w:rPr>
        <w:t>50</w:t>
      </w:r>
      <w:r w:rsidRPr="00091C41">
        <w:rPr>
          <w:rFonts w:cs="Times New Roman"/>
        </w:rPr>
        <w:t xml:space="preserve"> : 120–126. DOI: 10.1080/00031305.1996.10474359</w:t>
      </w:r>
    </w:p>
    <w:p w14:paraId="7BC1148F" w14:textId="77777777" w:rsidR="003A486D" w:rsidRPr="00091C41" w:rsidRDefault="003A486D" w:rsidP="003A486D">
      <w:pPr>
        <w:pStyle w:val="Bibliography"/>
        <w:rPr>
          <w:rFonts w:cs="Times New Roman"/>
        </w:rPr>
      </w:pPr>
      <w:r w:rsidRPr="00091C41">
        <w:rPr>
          <w:rFonts w:cs="Times New Roman"/>
        </w:rPr>
        <w:t>Larionov GA. 1993. Soil erosion and deflation . Lomonosov Moscow State University: Moscow</w:t>
      </w:r>
    </w:p>
    <w:p w14:paraId="393EB380" w14:textId="77777777" w:rsidR="003A486D" w:rsidRPr="00091C41" w:rsidRDefault="003A486D" w:rsidP="003A486D">
      <w:pPr>
        <w:pStyle w:val="Bibliography"/>
        <w:rPr>
          <w:rFonts w:cs="Times New Roman"/>
        </w:rPr>
      </w:pPr>
      <w:r w:rsidRPr="00091C41">
        <w:rPr>
          <w:rFonts w:cs="Times New Roman"/>
        </w:rPr>
        <w:t xml:space="preserve">Schmidt S, Tresch S, Meusburger K. 2019. Modification of the RUSLE slope length and steepness factor (LS-factor) based on rainfall experiments at steep alpine grasslands. MethodsX </w:t>
      </w:r>
      <w:r w:rsidRPr="00091C41">
        <w:rPr>
          <w:rFonts w:cs="Times New Roman"/>
          <w:b/>
          <w:bCs/>
        </w:rPr>
        <w:t>6</w:t>
      </w:r>
      <w:r w:rsidRPr="00091C41">
        <w:rPr>
          <w:rFonts w:cs="Times New Roman"/>
        </w:rPr>
        <w:t xml:space="preserve"> : 219–229. DOI: 10.1016/j.mex.2019.01.004</w:t>
      </w:r>
    </w:p>
    <w:p w14:paraId="35791196" w14:textId="77777777" w:rsidR="003A486D" w:rsidRPr="00091C41" w:rsidRDefault="003A486D" w:rsidP="003A486D">
      <w:pPr>
        <w:pStyle w:val="Bibliography"/>
        <w:rPr>
          <w:rFonts w:cs="Times New Roman"/>
        </w:rPr>
      </w:pPr>
      <w:r w:rsidRPr="00091C41">
        <w:rPr>
          <w:rFonts w:cs="Times New Roman"/>
        </w:rPr>
        <w:t xml:space="preserve">Vrieling A, Sterk G, de Jong SM. 2010. Satellite-based estimation of rainfall erosivity for Africa. Journal of Hydrology </w:t>
      </w:r>
      <w:r w:rsidRPr="00091C41">
        <w:rPr>
          <w:rFonts w:cs="Times New Roman"/>
          <w:b/>
          <w:bCs/>
        </w:rPr>
        <w:t>395</w:t>
      </w:r>
      <w:r w:rsidRPr="00091C41">
        <w:rPr>
          <w:rFonts w:cs="Times New Roman"/>
        </w:rPr>
        <w:t xml:space="preserve"> : 235–241. DOI: 10.1016/j.jhydrol.2010.10.035</w:t>
      </w:r>
    </w:p>
    <w:p w14:paraId="00A48A67" w14:textId="77777777" w:rsidR="003A486D" w:rsidRPr="00091C41" w:rsidRDefault="003A486D" w:rsidP="003A486D">
      <w:pPr>
        <w:pStyle w:val="Bibliography"/>
        <w:rPr>
          <w:rFonts w:cs="Times New Roman"/>
        </w:rPr>
      </w:pPr>
      <w:r w:rsidRPr="00091C41">
        <w:rPr>
          <w:rFonts w:cs="Times New Roman"/>
        </w:rPr>
        <w:t xml:space="preserve">Williams JR, Renard KG, Dyke PT. 1983. EPIC: A new method for assessing erosion’s effect on soil productivity. Journal of Soil and Water Conservation </w:t>
      </w:r>
      <w:r w:rsidRPr="00091C41">
        <w:rPr>
          <w:rFonts w:cs="Times New Roman"/>
          <w:b/>
          <w:bCs/>
        </w:rPr>
        <w:t>38</w:t>
      </w:r>
      <w:r w:rsidRPr="00091C41">
        <w:rPr>
          <w:rFonts w:cs="Times New Roman"/>
        </w:rPr>
        <w:t xml:space="preserve"> : 381–383.</w:t>
      </w:r>
    </w:p>
    <w:p w14:paraId="435E3BE7" w14:textId="77777777" w:rsidR="003A486D" w:rsidRPr="00091C41" w:rsidRDefault="003A486D" w:rsidP="003A486D">
      <w:pPr>
        <w:pStyle w:val="Bibliography"/>
        <w:rPr>
          <w:rFonts w:cs="Times New Roman"/>
        </w:rPr>
      </w:pPr>
      <w:r w:rsidRPr="00091C41">
        <w:rPr>
          <w:rFonts w:cs="Times New Roman"/>
        </w:rPr>
        <w:t>Wischmeier WH, Smith DD. 1978. Predicting Rainfall Erosion Losses: A Guide to Conservation Planning . Department of Agriculture, Science and Education Administration</w:t>
      </w:r>
    </w:p>
    <w:p w14:paraId="112CE663" w14:textId="77777777" w:rsidR="003A486D" w:rsidRPr="00091C41" w:rsidRDefault="003A486D" w:rsidP="003A486D">
      <w:pPr>
        <w:pStyle w:val="Bibliography"/>
        <w:rPr>
          <w:rFonts w:cs="Times New Roman"/>
        </w:rPr>
      </w:pPr>
      <w:r w:rsidRPr="00091C41">
        <w:rPr>
          <w:rFonts w:cs="Times New Roman"/>
        </w:rPr>
        <w:t xml:space="preserve">Zhao Y, Lu Z, Wei Y. 2019. An Assessment of Global Precipitation and Evapotranspiration Products for Regional Applications. Remote Sensing </w:t>
      </w:r>
      <w:r w:rsidRPr="00091C41">
        <w:rPr>
          <w:rFonts w:cs="Times New Roman"/>
          <w:b/>
          <w:bCs/>
        </w:rPr>
        <w:t>11</w:t>
      </w:r>
      <w:r w:rsidRPr="00091C41">
        <w:rPr>
          <w:rFonts w:cs="Times New Roman"/>
        </w:rPr>
        <w:t xml:space="preserve"> : 1077. DOI: 10.3390/rs11091077</w:t>
      </w:r>
    </w:p>
    <w:p w14:paraId="6E1D5DF5" w14:textId="4F9150AB" w:rsidR="00262E50" w:rsidRDefault="00B44605">
      <w:r w:rsidRPr="00091C41">
        <w:fldChar w:fldCharType="end"/>
      </w:r>
    </w:p>
    <w:sectPr w:rsidR="00262E50" w:rsidSect="00170C09">
      <w:pgSz w:w="11906" w:h="16838"/>
      <w:pgMar w:top="1134" w:right="850" w:bottom="1134"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A17A9" w14:textId="77777777" w:rsidR="00123980" w:rsidRDefault="00123980">
      <w:r>
        <w:separator/>
      </w:r>
    </w:p>
  </w:endnote>
  <w:endnote w:type="continuationSeparator" w:id="0">
    <w:p w14:paraId="529D5AD0" w14:textId="77777777" w:rsidR="00123980" w:rsidRDefault="00123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128811"/>
      <w:docPartObj>
        <w:docPartGallery w:val="Page Numbers (Bottom of Page)"/>
        <w:docPartUnique/>
      </w:docPartObj>
    </w:sdtPr>
    <w:sdtContent>
      <w:p w14:paraId="456685A7" w14:textId="77777777" w:rsidR="00EE3C8A" w:rsidRDefault="00000000">
        <w:pPr>
          <w:pStyle w:val="Footer"/>
          <w:jc w:val="right"/>
        </w:pPr>
        <w:r>
          <w:fldChar w:fldCharType="begin"/>
        </w:r>
        <w:r>
          <w:instrText>PAGE   \* MERGEFORMAT</w:instrText>
        </w:r>
        <w:r>
          <w:fldChar w:fldCharType="separate"/>
        </w:r>
        <w:r>
          <w:rPr>
            <w:lang w:val="ru-RU"/>
          </w:rPr>
          <w:t>2</w:t>
        </w:r>
        <w:r>
          <w:fldChar w:fldCharType="end"/>
        </w:r>
      </w:p>
    </w:sdtContent>
  </w:sdt>
  <w:p w14:paraId="092224EC" w14:textId="77777777" w:rsidR="00EE3C8A"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E89CC" w14:textId="77777777" w:rsidR="00123980" w:rsidRDefault="00123980">
      <w:r>
        <w:separator/>
      </w:r>
    </w:p>
  </w:footnote>
  <w:footnote w:type="continuationSeparator" w:id="0">
    <w:p w14:paraId="3722B534" w14:textId="77777777" w:rsidR="00123980" w:rsidRDefault="001239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A0tjSysDQxtTQzNjRR0lEKTi0uzszPAykwqwUAooZTliwAAAA="/>
  </w:docVars>
  <w:rsids>
    <w:rsidRoot w:val="0089245B"/>
    <w:rsid w:val="00065413"/>
    <w:rsid w:val="00091C41"/>
    <w:rsid w:val="000F0F0F"/>
    <w:rsid w:val="00101D58"/>
    <w:rsid w:val="00123980"/>
    <w:rsid w:val="0013407F"/>
    <w:rsid w:val="0019105F"/>
    <w:rsid w:val="00262E50"/>
    <w:rsid w:val="00295A46"/>
    <w:rsid w:val="002B279F"/>
    <w:rsid w:val="00331332"/>
    <w:rsid w:val="003A486D"/>
    <w:rsid w:val="003F13AF"/>
    <w:rsid w:val="003F3EA4"/>
    <w:rsid w:val="0040673C"/>
    <w:rsid w:val="004A2A80"/>
    <w:rsid w:val="0050539D"/>
    <w:rsid w:val="006C3BFA"/>
    <w:rsid w:val="00724209"/>
    <w:rsid w:val="00744514"/>
    <w:rsid w:val="0074548D"/>
    <w:rsid w:val="007837EF"/>
    <w:rsid w:val="00831C61"/>
    <w:rsid w:val="0085112B"/>
    <w:rsid w:val="0089245B"/>
    <w:rsid w:val="00915CCD"/>
    <w:rsid w:val="00986807"/>
    <w:rsid w:val="009964EC"/>
    <w:rsid w:val="009F320C"/>
    <w:rsid w:val="00A131E9"/>
    <w:rsid w:val="00A3055F"/>
    <w:rsid w:val="00A57094"/>
    <w:rsid w:val="00B44605"/>
    <w:rsid w:val="00B70028"/>
    <w:rsid w:val="00BD39CC"/>
    <w:rsid w:val="00C309E8"/>
    <w:rsid w:val="00CD5EAA"/>
    <w:rsid w:val="00D32999"/>
    <w:rsid w:val="00D979A5"/>
    <w:rsid w:val="00E01E8B"/>
    <w:rsid w:val="00E51929"/>
    <w:rsid w:val="00E60D39"/>
    <w:rsid w:val="00E6662D"/>
    <w:rsid w:val="00E6727C"/>
    <w:rsid w:val="00EC0DB6"/>
    <w:rsid w:val="00FA7C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A5AED"/>
  <w15:chartTrackingRefBased/>
  <w15:docId w15:val="{EC2298F2-98D3-41E6-8679-524F4C889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D58"/>
    <w:pPr>
      <w:spacing w:after="0" w:line="240" w:lineRule="auto"/>
      <w:ind w:firstLine="720"/>
      <w:jc w:val="both"/>
    </w:pPr>
    <w:rPr>
      <w:rFonts w:ascii="Verdana" w:hAnsi="Verdana"/>
      <w:sz w:val="24"/>
      <w:lang w:val="en-US"/>
    </w:rPr>
  </w:style>
  <w:style w:type="paragraph" w:styleId="Heading1">
    <w:name w:val="heading 1"/>
    <w:basedOn w:val="Normal"/>
    <w:next w:val="Normal"/>
    <w:link w:val="Heading1Char"/>
    <w:uiPriority w:val="9"/>
    <w:qFormat/>
    <w:rsid w:val="0089245B"/>
    <w:pPr>
      <w:keepNext/>
      <w:keepLines/>
      <w:spacing w:before="240"/>
      <w:outlineLvl w:val="0"/>
    </w:pPr>
    <w:rPr>
      <w:rFonts w:eastAsiaTheme="majorEastAsia" w:cstheme="majorBidi"/>
      <w:b/>
      <w:cap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figure"/>
    <w:uiPriority w:val="1"/>
    <w:qFormat/>
    <w:rsid w:val="00101D58"/>
    <w:pPr>
      <w:spacing w:after="120" w:line="240" w:lineRule="auto"/>
      <w:jc w:val="center"/>
    </w:pPr>
    <w:rPr>
      <w:rFonts w:ascii="Verdana" w:hAnsi="Verdana"/>
      <w:sz w:val="24"/>
    </w:rPr>
  </w:style>
  <w:style w:type="character" w:customStyle="1" w:styleId="Heading1Char">
    <w:name w:val="Heading 1 Char"/>
    <w:basedOn w:val="DefaultParagraphFont"/>
    <w:link w:val="Heading1"/>
    <w:uiPriority w:val="9"/>
    <w:rsid w:val="0089245B"/>
    <w:rPr>
      <w:rFonts w:ascii="Times New Roman" w:eastAsiaTheme="majorEastAsia" w:hAnsi="Times New Roman" w:cstheme="majorBidi"/>
      <w:b/>
      <w:caps/>
      <w:sz w:val="24"/>
      <w:szCs w:val="32"/>
      <w:lang w:val="en-US"/>
    </w:rPr>
  </w:style>
  <w:style w:type="paragraph" w:styleId="Footer">
    <w:name w:val="footer"/>
    <w:basedOn w:val="Normal"/>
    <w:link w:val="FooterChar"/>
    <w:uiPriority w:val="99"/>
    <w:unhideWhenUsed/>
    <w:rsid w:val="0089245B"/>
    <w:pPr>
      <w:tabs>
        <w:tab w:val="center" w:pos="4677"/>
        <w:tab w:val="right" w:pos="9355"/>
      </w:tabs>
    </w:pPr>
  </w:style>
  <w:style w:type="character" w:customStyle="1" w:styleId="FooterChar">
    <w:name w:val="Footer Char"/>
    <w:basedOn w:val="DefaultParagraphFont"/>
    <w:link w:val="Footer"/>
    <w:uiPriority w:val="99"/>
    <w:rsid w:val="0089245B"/>
    <w:rPr>
      <w:rFonts w:ascii="Times New Roman" w:hAnsi="Times New Roman"/>
      <w:sz w:val="24"/>
      <w:lang w:val="en-US"/>
    </w:rPr>
  </w:style>
  <w:style w:type="table" w:styleId="TableGrid">
    <w:name w:val="Table Grid"/>
    <w:basedOn w:val="TableNormal"/>
    <w:uiPriority w:val="39"/>
    <w:rsid w:val="008924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9245B"/>
    <w:rPr>
      <w:sz w:val="16"/>
      <w:szCs w:val="16"/>
    </w:rPr>
  </w:style>
  <w:style w:type="paragraph" w:styleId="CommentText">
    <w:name w:val="annotation text"/>
    <w:basedOn w:val="Normal"/>
    <w:link w:val="CommentTextChar"/>
    <w:uiPriority w:val="99"/>
    <w:unhideWhenUsed/>
    <w:rsid w:val="0089245B"/>
    <w:rPr>
      <w:sz w:val="20"/>
      <w:szCs w:val="20"/>
    </w:rPr>
  </w:style>
  <w:style w:type="character" w:customStyle="1" w:styleId="CommentTextChar">
    <w:name w:val="Comment Text Char"/>
    <w:basedOn w:val="DefaultParagraphFont"/>
    <w:link w:val="CommentText"/>
    <w:uiPriority w:val="99"/>
    <w:rsid w:val="0089245B"/>
    <w:rPr>
      <w:rFonts w:ascii="Times New Roman" w:hAnsi="Times New Roman"/>
      <w:sz w:val="20"/>
      <w:szCs w:val="20"/>
      <w:lang w:val="en-US"/>
    </w:rPr>
  </w:style>
  <w:style w:type="character" w:styleId="LineNumber">
    <w:name w:val="line number"/>
    <w:basedOn w:val="DefaultParagraphFont"/>
    <w:uiPriority w:val="99"/>
    <w:semiHidden/>
    <w:unhideWhenUsed/>
    <w:rsid w:val="0089245B"/>
  </w:style>
  <w:style w:type="paragraph" w:styleId="Bibliography">
    <w:name w:val="Bibliography"/>
    <w:basedOn w:val="Normal"/>
    <w:next w:val="Normal"/>
    <w:uiPriority w:val="37"/>
    <w:unhideWhenUsed/>
    <w:rsid w:val="00B44605"/>
    <w:pPr>
      <w:spacing w:after="240"/>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11</Pages>
  <Words>10778</Words>
  <Characters>61436</Characters>
  <Application>Microsoft Office Word</Application>
  <DocSecurity>0</DocSecurity>
  <Lines>511</Lines>
  <Paragraphs>144</Paragraphs>
  <ScaleCrop>false</ScaleCrop>
  <Company/>
  <LinksUpToDate>false</LinksUpToDate>
  <CharactersWithSpaces>72070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Анатолий Цыпленков</dc:creator>
  <cp:keywords/>
  <dc:description/>
  <cp:lastModifiedBy>Анатолий Цыпленков</cp:lastModifiedBy>
  <cp:revision>38</cp:revision>
  <dcterms:created xsi:type="dcterms:W3CDTF">2022-10-13T12:54:00Z</dcterms:created>
  <dcterms:modified xsi:type="dcterms:W3CDTF">2022-10-18T16:38:00Z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id="qm5udnQk"/&gt;&lt;style id="http://www.zotero.org/styles/earth-surface-processes-and-landforms" hasBibliography="1" bibliographyStyleHasBeenSet="1"/&gt;&lt;prefs&gt;&lt;pref name="fieldType" value="Field"/&gt;&lt;/prefs</vt:lpwstr>
  </property>
  <property fmtid="{D5CDD505-2E9C-101B-9397-08002B2CF9AE}" pid="3" name="ZOTERO_PREF_2">
    <vt:lpwstr>&gt;&lt;/data&gt;</vt:lpwstr>
  </property>
</Properties>
</file>