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542E" w14:textId="77777777" w:rsidR="00CA7EE1" w:rsidRPr="00B5071B" w:rsidRDefault="00CA7EE1" w:rsidP="00CA7EE1">
      <w:pPr>
        <w:pStyle w:val="Caption"/>
        <w:keepNext/>
        <w:spacing w:after="120" w:line="480" w:lineRule="auto"/>
        <w:rPr>
          <w:rFonts w:cstheme="minorHAnsi"/>
          <w:i w:val="0"/>
          <w:iCs w:val="0"/>
          <w:color w:val="auto"/>
          <w:lang w:val="en-US"/>
        </w:rPr>
      </w:pPr>
      <w:r w:rsidRPr="00B5071B">
        <w:rPr>
          <w:rFonts w:cstheme="minorHAnsi"/>
          <w:i w:val="0"/>
          <w:iCs w:val="0"/>
          <w:color w:val="auto"/>
          <w:lang w:val="en-US"/>
        </w:rPr>
        <w:t xml:space="preserve">Table </w:t>
      </w:r>
      <w:r w:rsidRPr="00B5071B">
        <w:rPr>
          <w:rFonts w:cstheme="minorHAnsi"/>
          <w:i w:val="0"/>
          <w:iCs w:val="0"/>
          <w:color w:val="auto"/>
        </w:rPr>
        <w:fldChar w:fldCharType="begin"/>
      </w:r>
      <w:r w:rsidRPr="00B5071B">
        <w:rPr>
          <w:rFonts w:cstheme="minorHAnsi"/>
          <w:i w:val="0"/>
          <w:iCs w:val="0"/>
          <w:color w:val="auto"/>
          <w:lang w:val="en-US"/>
        </w:rPr>
        <w:instrText xml:space="preserve"> SEQ Tabela \* ARABIC </w:instrText>
      </w:r>
      <w:r w:rsidRPr="00B5071B">
        <w:rPr>
          <w:rFonts w:cstheme="minorHAnsi"/>
          <w:i w:val="0"/>
          <w:iCs w:val="0"/>
          <w:color w:val="auto"/>
        </w:rPr>
        <w:fldChar w:fldCharType="separate"/>
      </w:r>
      <w:r w:rsidRPr="00B5071B">
        <w:rPr>
          <w:rFonts w:cstheme="minorHAnsi"/>
          <w:i w:val="0"/>
          <w:iCs w:val="0"/>
          <w:noProof/>
          <w:color w:val="auto"/>
          <w:lang w:val="en-US"/>
        </w:rPr>
        <w:t>5</w:t>
      </w:r>
      <w:r w:rsidRPr="00B5071B">
        <w:rPr>
          <w:rFonts w:cstheme="minorHAnsi"/>
          <w:i w:val="0"/>
          <w:iCs w:val="0"/>
          <w:color w:val="auto"/>
        </w:rPr>
        <w:fldChar w:fldCharType="end"/>
      </w:r>
      <w:r w:rsidRPr="00B5071B">
        <w:rPr>
          <w:rFonts w:cstheme="minorHAnsi"/>
          <w:i w:val="0"/>
          <w:iCs w:val="0"/>
          <w:color w:val="auto"/>
          <w:lang w:val="en-US"/>
        </w:rPr>
        <w:t xml:space="preserve"> - KPI compliance with target standards in stage II disease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425"/>
        <w:gridCol w:w="813"/>
        <w:gridCol w:w="406"/>
        <w:gridCol w:w="567"/>
        <w:gridCol w:w="482"/>
        <w:gridCol w:w="549"/>
      </w:tblGrid>
      <w:tr w:rsidR="00CA7EE1" w:rsidRPr="00A71826" w14:paraId="1FAF5919" w14:textId="77777777" w:rsidTr="00A56CDD">
        <w:trPr>
          <w:trHeight w:val="320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4313" w14:textId="77777777" w:rsidR="00CA7EE1" w:rsidRPr="00F35D87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3C3049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0BFE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000000"/>
                <w:sz w:val="15"/>
                <w:szCs w:val="15"/>
              </w:rPr>
              <w:t>Total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6BCBD1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/>
                <w:sz w:val="15"/>
                <w:szCs w:val="15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76E1C7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Min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C04265" w14:textId="77777777" w:rsidR="00CA7EE1" w:rsidRPr="001B4B1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Max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35BFF1E3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CA7EE1" w:rsidRPr="00A71826" w14:paraId="7A8FE87D" w14:textId="77777777" w:rsidTr="00A56CDD">
        <w:trPr>
          <w:trHeight w:val="320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E070" w14:textId="77777777" w:rsidR="00CA7EE1" w:rsidRPr="00C826F3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DFB0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5"/>
                <w:szCs w:val="15"/>
              </w:rPr>
            </w:pPr>
            <w:r w:rsidRPr="00C826F3">
              <w:rPr>
                <w:rFonts w:asciiTheme="minorHAnsi" w:hAnsiTheme="minorHAnsi" w:cstheme="minorHAnsi"/>
                <w:b/>
                <w:bCs/>
                <w:color w:val="000000"/>
                <w:sz w:val="15"/>
                <w:szCs w:val="15"/>
              </w:rPr>
              <w:t>Stage II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22D9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DCB7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11F4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77D54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6"/>
                <w:szCs w:val="16"/>
              </w:rPr>
            </w:pPr>
          </w:p>
        </w:tc>
      </w:tr>
      <w:tr w:rsidR="00CA7EE1" w:rsidRPr="00A71826" w14:paraId="793DD4B8" w14:textId="77777777" w:rsidTr="00A56CDD">
        <w:trPr>
          <w:trHeight w:val="179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EF9A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F23D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DB6A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F66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373E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218A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F60B5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6"/>
                <w:szCs w:val="16"/>
              </w:rPr>
            </w:pPr>
          </w:p>
        </w:tc>
      </w:tr>
      <w:tr w:rsidR="00CA7EE1" w:rsidRPr="00A71826" w14:paraId="28449063" w14:textId="77777777" w:rsidTr="00A56CDD">
        <w:trPr>
          <w:trHeight w:val="5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964C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Diagnosis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BA67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BE43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D6B2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6583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119B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E37EE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6"/>
                <w:szCs w:val="16"/>
              </w:rPr>
            </w:pPr>
          </w:p>
        </w:tc>
      </w:tr>
      <w:tr w:rsidR="00CA7EE1" w:rsidRPr="00685B32" w14:paraId="54098138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E128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who preoperatively underwent: (%)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A867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4E56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07B1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F1F6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29FB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D6431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70AD47"/>
                <w:sz w:val="16"/>
                <w:szCs w:val="16"/>
                <w:lang w:val="en-US"/>
              </w:rPr>
            </w:pPr>
          </w:p>
        </w:tc>
      </w:tr>
      <w:tr w:rsidR="00CA7EE1" w:rsidRPr="00A71826" w14:paraId="73AE8440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1DE2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Mammography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2717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7BD6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72 (100)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C2D1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B25A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0C39" w14:textId="77777777" w:rsidR="00CA7EE1" w:rsidRPr="001B4B1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C557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5DAB6033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8FF4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Physical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examination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2B20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6043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92D05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60 (83.3)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CB13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5E7C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747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98EE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2D327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3C6F9B46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66FC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   Ultrasound of both breasts and axillae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9EF3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9C1B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72 (100)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8AC1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EAE1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6846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F130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70E858F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A84B" w14:textId="77777777" w:rsidR="00CA7EE1" w:rsidRPr="00F35D87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(invasive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) who had a preoperative histologically or cytologically confirmed malignant diagnosis </w:t>
            </w:r>
            <w:r w:rsidRPr="003C3049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133F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351A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70 (98.6)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D86C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86FF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9D5C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89927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685B32" w14:paraId="76F6F93C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CA70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recorded: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ED26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A911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B7FB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0AFA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6CA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4BF2D" w14:textId="77777777" w:rsidR="00CA7EE1" w:rsidRPr="000F6A98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  <w:lang w:val="en-US"/>
              </w:rPr>
            </w:pPr>
          </w:p>
        </w:tc>
      </w:tr>
      <w:tr w:rsidR="00CA7EE1" w:rsidRPr="00A71826" w14:paraId="043C93AB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7578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Histological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type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7468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7E58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69 (98.6)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B129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5EC4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5C32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2BF96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6C3E1F15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C71D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   Grade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72A6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3411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68 (98.6)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4597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4C2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368B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F3195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2BA18BF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4F82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   ER &amp; PgR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expression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F0D6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2DEF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66 (95.7)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351D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8D25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CF23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D96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7D0A0AD8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4119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   HER2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5"/>
                <w:szCs w:val="15"/>
              </w:rPr>
              <w:t>amplification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5444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9C08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64 (92.8)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A4E4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8B55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00D1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1099A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685B32" w14:paraId="6CDC7AB0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FFA0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recorded in the surgical specime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n: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5A0B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2553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A604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9827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12EA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599DC" w14:textId="77777777" w:rsidR="00CA7EE1" w:rsidRPr="000F6A98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  <w:lang w:val="en-US"/>
              </w:rPr>
            </w:pPr>
          </w:p>
        </w:tc>
      </w:tr>
      <w:tr w:rsidR="00CA7EE1" w:rsidRPr="00A71826" w14:paraId="05FA037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B61C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Histological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type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39E6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EB58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66 (98.5)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710E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D0B9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0A40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ADFD6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222B9A22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97B8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Grade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485C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B514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66 (100)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C14A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2BFE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8FA2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303F5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5FD73E70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D2CE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ER &amp; PgR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expression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1B7B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EDDD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57 (86.4)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0943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0EE2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A8C7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B3DF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184C7A75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3304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HER2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5"/>
                <w:szCs w:val="15"/>
              </w:rPr>
              <w:t>amplification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029C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F290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56 (84.8)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5AA0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7D92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34E4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935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BC335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634489E2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A8CE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Pathological stage (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pT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and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pN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, or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ypT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and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ypN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in case of PST)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D090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E31B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92D05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60 (89.6)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3E86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91F7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912A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969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CC955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042E4F44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924B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Size in mm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of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the invasive component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365E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75EF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92D05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60 (90.9)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3E19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0A9D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1874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BF7CD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730A7D62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845E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Peritumoral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vascular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invasion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11D8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6382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54 (83.1)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5C7A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7D86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6947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09C57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315FD8E8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1940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Distance to nearest radial margin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A7CE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77E8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54 (85.7)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D29A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372F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ECBB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943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6F91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685B32" w14:paraId="50D3B3D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FDD8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lastRenderedPageBreak/>
              <w:t xml:space="preserve">Proportion of non-invasive cancer cases for which the following prognostic/predictive parameters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recorded: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ED6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C9A4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6083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4374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8605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2F3B" w14:textId="77777777" w:rsidR="00CA7EE1" w:rsidRPr="000F6A98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CA7EE1" w:rsidRPr="00A71826" w14:paraId="4FB76E77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FF6C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Dominant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histological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pattern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BFC8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2490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23 (100)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7809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D54C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B142" w14:textId="77777777" w:rsidR="00CA7EE1" w:rsidRPr="001B4B1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7F323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39B1A86B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A2AC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</w:t>
            </w:r>
            <w:proofErr w:type="spellStart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>Size</w:t>
            </w:r>
            <w:proofErr w:type="spellEnd"/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in mm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795A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3580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15 (65.2)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E77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6496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1A9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C20F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42BAA5C0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EB15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</w:rPr>
              <w:t xml:space="preserve">     Grade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7925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454D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19 (82.6)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7209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C605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864F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D4C09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63FF74E8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7E3C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Distance to the nearest radial margin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8236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3737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13 (59.1)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44E0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FDA6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386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8C96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796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65B0B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171F931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E629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cancer cases preoperatively examined by MRI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92BA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CF9F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41 (57.7)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EFBC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EB7F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25B3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B3792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0C4A7CB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866B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cancer cases referred for genetic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counseling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8A45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32EA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16 (23.9)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F72E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4DB8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137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538C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341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11B8A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07B2A621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1F07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Treatment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0425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C68C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D129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5BD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6750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583A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A7EE1" w:rsidRPr="00A71826" w14:paraId="236242D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F99B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cancer patient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case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s discussed in multidisciplinary group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meeting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A34C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7B58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72 (100)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A58E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F01C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2C80" w14:textId="77777777" w:rsidR="00CA7EE1" w:rsidRPr="001B4B1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0B89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A7EE1" w:rsidRPr="00A71826" w14:paraId="6298C8CB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E5B1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(invasive cancer only) who received a single breast surgery for the primary tumor (excluding reconstruction)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5CC3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9E26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52 (81.3)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F491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3391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3A29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313BA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14986D57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0843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invasive cancer and clinically negative axilla who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F6298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only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underwent SLNB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B71F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16B8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51 (92.7)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97B8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1F85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1B92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52E2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2DDC64A1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4FCA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cancer who underwent axillary clearance with at least 10 excised nodes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02A" w14:textId="77777777" w:rsidR="00CA7EE1" w:rsidRPr="00F35D8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E58C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17 (36.2)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00F9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5DD9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225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1E61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85332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5FE2C61F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488E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breast cancer (M0) who received postoperative RT after surgical resection of the primary tumor and appropriate axillary staging/surgery in BCT setting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6825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3752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92D05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49 (84.5)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2380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AFC1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592D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938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F9ED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43AF454D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88FA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(excluding BRCA1 and BRCA2 patients) with invasive breast cancer no larger than 3 cm (total size, including DCIS component) who underwent BCT as primary treatment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A001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479D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92D05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35 (61.4)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389D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AC10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48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B129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75971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213167E1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18D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breast cancer pN0 who did not undergo axillary clearance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CB40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2598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 (86.1)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4623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6164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0767" w14:textId="77777777" w:rsidR="00CA7EE1" w:rsidRPr="001B4B1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DE98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</w:p>
        </w:tc>
      </w:tr>
      <w:tr w:rsidR="00CA7EE1" w:rsidRPr="00A71826" w14:paraId="6134F53A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E38C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endocrine-sensitive invasive cancer who received endocrine therapy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76A2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F998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57 (98.3)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26C4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1248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2F45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3F1D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15291E89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AD07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without endocrine-sensitive invasive cancer who did not receive endocrine therapy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C227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3F7D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11 (73.3)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78C7" w14:textId="77777777" w:rsidR="00CA7EE1" w:rsidRPr="000F6A98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2004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1C5C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C644" w14:textId="77777777" w:rsidR="00CA7EE1" w:rsidRPr="001B4B1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A7EE1" w:rsidRPr="00A71826" w14:paraId="61F1D130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1CBF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ER-negative (T &gt;1 cm or node +) invasive carcinoma who received adjuvant chemotherapy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C752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58E7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92D050"/>
                <w:sz w:val="15"/>
                <w:szCs w:val="15"/>
              </w:rPr>
              <w:t>8 (57.1)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4DAA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51FE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51F1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46E21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13B88F4F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F92E" w14:textId="77777777" w:rsidR="00CA7EE1" w:rsidRPr="00F35D87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lastRenderedPageBreak/>
              <w:t xml:space="preserve">Proportion of patients with HER2-positive (IHC 3+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hybridization positive) invasive carcinoma (T &gt;1 cm or N+) treated with chemotherapy who received adjuvant trastuzumab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0BEA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DE4E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9 (90.0)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4F6C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AA18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159C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2F908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78A8BEB1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96A7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HER2-negative invasive carcinoma (T &gt;1 cm or N+) treated with chemotherapy who did not receive adjuvant trastuzuma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D0D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B109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58 (95.1)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5A6C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A4E4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897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BFDB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064D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475E060B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7CEA" w14:textId="77777777" w:rsidR="00CA7EE1" w:rsidRPr="003C3049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HER2-positive (IHC 3+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hybridization positive) invasive carcinoma (T &gt;1 cm or N+) treated with adjuvant chemotherapy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1D82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F1D8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FF0000"/>
                <w:sz w:val="15"/>
                <w:szCs w:val="15"/>
              </w:rPr>
              <w:t>6 (54.5)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E1B5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A85C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251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8F77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839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8AFD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sym w:font="Wingdings" w:char="F0FB"/>
            </w:r>
          </w:p>
        </w:tc>
      </w:tr>
      <w:tr w:rsidR="00CA7EE1" w:rsidRPr="00A71826" w14:paraId="72BB4217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B0AE" w14:textId="77777777" w:rsidR="00CA7EE1" w:rsidRPr="003C3049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IBC or locally advanced non-resectable ER-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positive 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carcinoma who received neoadjuvant chemotherapy (%)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F781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BFBF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12 (80.0)</w:t>
            </w:r>
          </w:p>
        </w:tc>
        <w:tc>
          <w:tcPr>
            <w:tcW w:w="4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B87C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4C6F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598</w:t>
            </w:r>
          </w:p>
        </w:tc>
        <w:tc>
          <w:tcPr>
            <w:tcW w:w="4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062F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002</w:t>
            </w:r>
          </w:p>
        </w:tc>
        <w:tc>
          <w:tcPr>
            <w:tcW w:w="54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ABF3F8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6D954F53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53C2" w14:textId="77777777" w:rsidR="00CA7EE1" w:rsidRPr="00C46ABA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5"/>
              </w:rPr>
              <w:t>Staging and follow-up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066D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7257" w14:textId="77777777" w:rsidR="00CA7EE1" w:rsidRPr="003E53D0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5F6D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10C" w14:textId="77777777" w:rsidR="00CA7EE1" w:rsidRPr="00E43CB5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CB25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BFF7E" w14:textId="77777777" w:rsidR="00CA7EE1" w:rsidRPr="000F6A98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A7EE1" w:rsidRPr="00A71826" w14:paraId="61C8E474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1918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asymptomatic patients who underwent routine annual mammography screening and 6/12-month clinical evaluation in the first 5 years after primary surgery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5D98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930B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66 (95.7)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EC88" w14:textId="77777777" w:rsidR="00CA7EE1" w:rsidRPr="0021720D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E797" w14:textId="77777777" w:rsidR="00CA7EE1" w:rsidRPr="004122E7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3896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ABD32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  <w:tr w:rsidR="00CA7EE1" w:rsidRPr="00A71826" w14:paraId="3C643D15" w14:textId="77777777" w:rsidTr="00A56CDD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264E" w14:textId="77777777" w:rsidR="00CA7EE1" w:rsidRPr="000172E1" w:rsidRDefault="00CA7EE1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diagnosis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with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direct access to a breast care nurse specialist for information and support regarding treatment-related symptoms and toxicity, follow-up, and rehabilitation after initial treatment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7B51" w14:textId="77777777" w:rsidR="00CA7EE1" w:rsidRPr="003C3049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AB5E" w14:textId="77777777" w:rsidR="00CA7EE1" w:rsidRPr="00CE567F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4A76C7"/>
                <w:sz w:val="15"/>
                <w:szCs w:val="15"/>
              </w:rPr>
              <w:t>72 (100)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FFEE" w14:textId="77777777" w:rsidR="00CA7EE1" w:rsidRPr="000F6A98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B0B94" w14:textId="77777777" w:rsidR="00CA7EE1" w:rsidRPr="00832546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7F67F" w14:textId="77777777" w:rsidR="00CA7EE1" w:rsidRPr="00C826F3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835C9" w14:textId="77777777" w:rsidR="00CA7EE1" w:rsidRPr="00C46ABA" w:rsidRDefault="00CA7EE1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6"/>
                <w:szCs w:val="16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sym w:font="Wingdings" w:char="F0FC"/>
            </w:r>
          </w:p>
        </w:tc>
      </w:tr>
    </w:tbl>
    <w:p w14:paraId="6C881908" w14:textId="77777777" w:rsidR="00CA7EE1" w:rsidRDefault="00CA7EE1" w:rsidP="00CA7EE1">
      <w:pPr>
        <w:spacing w:after="120" w:line="480" w:lineRule="auto"/>
        <w:jc w:val="both"/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</w:pP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BCT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reast conserving treatment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DCIS, d</w:t>
      </w:r>
      <w:r w:rsidRPr="003F341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uctal carcinoma </w:t>
      </w:r>
      <w:r w:rsidRPr="008464F3">
        <w:rPr>
          <w:rFonts w:asciiTheme="minorHAnsi" w:hAnsiTheme="minorHAnsi" w:cstheme="minorHAnsi"/>
          <w:i/>
          <w:iCs/>
          <w:color w:val="000000" w:themeColor="text1"/>
          <w:sz w:val="16"/>
          <w:szCs w:val="22"/>
          <w:lang w:val="en-US"/>
        </w:rPr>
        <w:t>in situ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strogen receptor; HER2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6C5D81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human epidermal growth factor receptor 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1B5B9A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IHC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 i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mmunohistochemistry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KPI, key performance indicator;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MRI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agnetic resonance imaging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n, number of patients with compliance to the respective KPI; N, number of patients evaluated for the respective KPI;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PgR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progesterone receptor;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PST, primary systemic treatment;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radiotherapy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SLNB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sentinel lymph-node biopsy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US, </w:t>
      </w:r>
      <w:r w:rsidRPr="00D662BE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ultrasonography</w:t>
      </w:r>
    </w:p>
    <w:p w14:paraId="3C352FE8" w14:textId="77777777" w:rsidR="00CA7EE1" w:rsidRPr="00B5071B" w:rsidRDefault="00CA7EE1" w:rsidP="00CA7EE1">
      <w:pPr>
        <w:spacing w:after="120" w:line="480" w:lineRule="auto"/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B5071B">
        <w:rPr>
          <w:rFonts w:asciiTheme="minorHAnsi" w:hAnsiTheme="minorHAnsi" w:cstheme="minorHAnsi"/>
          <w:sz w:val="16"/>
          <w:szCs w:val="16"/>
          <w:lang w:val="en-US"/>
        </w:rPr>
        <w:t>Colors represent compliance with minimum and target standards according to EUSOMA. Proportions and 95% confidence intervals are presented.</w:t>
      </w:r>
    </w:p>
    <w:p w14:paraId="5F7BB59D" w14:textId="55D5C5B1" w:rsidR="00CA7EE1" w:rsidRPr="00E66728" w:rsidRDefault="00CA7EE1" w:rsidP="00CA7EE1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 xml:space="preserve">Blue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>:</w:t>
      </w:r>
      <w:r w:rsidRPr="00E66728">
        <w:rPr>
          <w:rFonts w:asciiTheme="minorHAnsi" w:hAnsiTheme="minorHAnsi" w:cstheme="minorHAnsi"/>
          <w:color w:val="4472C4" w:themeColor="accent1"/>
          <w:sz w:val="15"/>
          <w:lang w:val="en-US"/>
        </w:rPr>
        <w:t xml:space="preserve"> </w:t>
      </w:r>
      <w:r w:rsidR="00685B32">
        <w:rPr>
          <w:rFonts w:asciiTheme="minorHAnsi" w:hAnsiTheme="minorHAnsi" w:cstheme="minorHAnsi"/>
          <w:sz w:val="15"/>
          <w:lang w:val="en-US"/>
        </w:rPr>
        <w:t>compliance with</w:t>
      </w:r>
      <w:r w:rsidR="00685B32" w:rsidRPr="00070F77">
        <w:rPr>
          <w:rFonts w:asciiTheme="minorHAnsi" w:hAnsiTheme="minorHAnsi" w:cstheme="minorHAnsi"/>
          <w:sz w:val="15"/>
          <w:lang w:val="en-US"/>
        </w:rPr>
        <w:t xml:space="preserve"> minimum and </w:t>
      </w:r>
      <w:r w:rsidR="00685B32">
        <w:rPr>
          <w:rFonts w:asciiTheme="minorHAnsi" w:hAnsiTheme="minorHAnsi" w:cstheme="minorHAnsi"/>
          <w:sz w:val="15"/>
          <w:lang w:val="en-US"/>
        </w:rPr>
        <w:t>target standards</w:t>
      </w:r>
      <w:r w:rsidR="00685B32" w:rsidRPr="00070F77">
        <w:rPr>
          <w:rFonts w:asciiTheme="minorHAnsi" w:hAnsiTheme="minorHAnsi" w:cstheme="minorHAnsi"/>
          <w:sz w:val="15"/>
          <w:lang w:val="en-US"/>
        </w:rPr>
        <w:t xml:space="preserve"> (confidence interval contain</w:t>
      </w:r>
      <w:r w:rsidR="00685B32">
        <w:rPr>
          <w:rFonts w:asciiTheme="minorHAnsi" w:hAnsiTheme="minorHAnsi" w:cstheme="minorHAnsi"/>
          <w:sz w:val="15"/>
          <w:lang w:val="en-US"/>
        </w:rPr>
        <w:t>s</w:t>
      </w:r>
      <w:r w:rsidR="00685B32" w:rsidRPr="00070F77">
        <w:rPr>
          <w:rFonts w:asciiTheme="minorHAnsi" w:hAnsiTheme="minorHAnsi" w:cstheme="minorHAnsi"/>
          <w:sz w:val="15"/>
          <w:lang w:val="en-US"/>
        </w:rPr>
        <w:t xml:space="preserve"> both proportions)</w:t>
      </w:r>
    </w:p>
    <w:p w14:paraId="27F33C2D" w14:textId="3D87F907" w:rsidR="00CA7EE1" w:rsidRPr="00E66728" w:rsidRDefault="00CA7EE1" w:rsidP="00CA7EE1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E66728">
        <w:rPr>
          <w:rFonts w:asciiTheme="minorHAnsi" w:hAnsiTheme="minorHAnsi" w:cstheme="minorHAnsi"/>
          <w:color w:val="70AD47" w:themeColor="accent6"/>
          <w:sz w:val="15"/>
          <w:lang w:val="en-US"/>
        </w:rPr>
        <w:t xml:space="preserve">Green: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E66728">
        <w:rPr>
          <w:rFonts w:asciiTheme="minorHAnsi" w:hAnsiTheme="minorHAnsi" w:cstheme="minorHAnsi"/>
          <w:sz w:val="15"/>
          <w:lang w:val="en-US"/>
        </w:rPr>
        <w:t xml:space="preserve"> </w:t>
      </w:r>
      <w:r w:rsidR="00685B32">
        <w:rPr>
          <w:rFonts w:asciiTheme="minorHAnsi" w:hAnsiTheme="minorHAnsi" w:cstheme="minorHAnsi"/>
          <w:sz w:val="15"/>
          <w:lang w:val="en-US"/>
        </w:rPr>
        <w:t>compliance with</w:t>
      </w:r>
      <w:r w:rsidR="00685B32" w:rsidRPr="00070F77">
        <w:rPr>
          <w:rFonts w:asciiTheme="minorHAnsi" w:hAnsiTheme="minorHAnsi" w:cstheme="minorHAnsi"/>
          <w:sz w:val="15"/>
          <w:lang w:val="en-US"/>
        </w:rPr>
        <w:t xml:space="preserve"> minimum but not </w:t>
      </w:r>
      <w:r w:rsidR="00685B32">
        <w:rPr>
          <w:rFonts w:asciiTheme="minorHAnsi" w:hAnsiTheme="minorHAnsi" w:cstheme="minorHAnsi"/>
          <w:sz w:val="15"/>
          <w:lang w:val="en-US"/>
        </w:rPr>
        <w:t>target standards</w:t>
      </w:r>
      <w:r w:rsidR="00685B32" w:rsidRPr="00070F77">
        <w:rPr>
          <w:rFonts w:asciiTheme="minorHAnsi" w:hAnsiTheme="minorHAnsi" w:cstheme="minorHAnsi"/>
          <w:sz w:val="15"/>
          <w:lang w:val="en-US"/>
        </w:rPr>
        <w:t xml:space="preserve"> (confidence interval </w:t>
      </w:r>
      <w:r w:rsidR="00685B32" w:rsidRPr="005878D0">
        <w:rPr>
          <w:rFonts w:asciiTheme="minorHAnsi" w:hAnsiTheme="minorHAnsi" w:cstheme="minorHAnsi"/>
          <w:sz w:val="15"/>
          <w:lang w:val="en-US"/>
        </w:rPr>
        <w:t>contain</w:t>
      </w:r>
      <w:r w:rsidR="00685B32">
        <w:rPr>
          <w:rFonts w:asciiTheme="minorHAnsi" w:hAnsiTheme="minorHAnsi" w:cstheme="minorHAnsi"/>
          <w:sz w:val="15"/>
          <w:lang w:val="en-US"/>
        </w:rPr>
        <w:t>s</w:t>
      </w:r>
      <w:r w:rsidR="00685B32" w:rsidRPr="00A71826">
        <w:rPr>
          <w:rFonts w:asciiTheme="minorHAnsi" w:hAnsiTheme="minorHAnsi" w:cstheme="minorHAnsi"/>
          <w:sz w:val="15"/>
          <w:lang w:val="en-US"/>
        </w:rPr>
        <w:t xml:space="preserve"> </w:t>
      </w:r>
      <w:r w:rsidR="00685B32" w:rsidRPr="00070F77">
        <w:rPr>
          <w:rFonts w:asciiTheme="minorHAnsi" w:hAnsiTheme="minorHAnsi" w:cstheme="minorHAnsi"/>
          <w:sz w:val="15"/>
          <w:lang w:val="en-US"/>
        </w:rPr>
        <w:t>only minimum proportion)</w:t>
      </w:r>
    </w:p>
    <w:p w14:paraId="395852A7" w14:textId="0EE038D7" w:rsidR="00CA7EE1" w:rsidRPr="00E66728" w:rsidRDefault="00CA7EE1" w:rsidP="00CA7EE1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E66728">
        <w:rPr>
          <w:rFonts w:asciiTheme="minorHAnsi" w:hAnsiTheme="minorHAnsi" w:cstheme="minorHAnsi"/>
          <w:color w:val="FF0000"/>
          <w:sz w:val="15"/>
          <w:lang w:val="en-US"/>
        </w:rPr>
        <w:t xml:space="preserve">Red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B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):</w:t>
      </w:r>
      <w:r w:rsidRPr="00E66728">
        <w:rPr>
          <w:rFonts w:asciiTheme="minorHAnsi" w:hAnsiTheme="minorHAnsi" w:cstheme="minorHAnsi"/>
          <w:color w:val="FF0000"/>
          <w:sz w:val="15"/>
          <w:lang w:val="en-US"/>
        </w:rPr>
        <w:t xml:space="preserve"> </w:t>
      </w:r>
      <w:r w:rsidR="00685B32">
        <w:rPr>
          <w:rFonts w:asciiTheme="minorHAnsi" w:hAnsiTheme="minorHAnsi" w:cstheme="minorHAnsi"/>
          <w:sz w:val="15"/>
          <w:lang w:val="en-US"/>
        </w:rPr>
        <w:t>non-compliance</w:t>
      </w:r>
      <w:r w:rsidR="00685B32" w:rsidRPr="008464F3">
        <w:rPr>
          <w:rFonts w:asciiTheme="minorHAnsi" w:hAnsiTheme="minorHAnsi" w:cstheme="minorHAnsi"/>
          <w:sz w:val="15"/>
          <w:lang w:val="en-US"/>
        </w:rPr>
        <w:t xml:space="preserve"> </w:t>
      </w:r>
      <w:r w:rsidR="00685B32">
        <w:rPr>
          <w:rFonts w:asciiTheme="minorHAnsi" w:hAnsiTheme="minorHAnsi" w:cstheme="minorHAnsi"/>
          <w:sz w:val="15"/>
          <w:lang w:val="en-US"/>
        </w:rPr>
        <w:t xml:space="preserve">with target standards </w:t>
      </w:r>
      <w:r w:rsidRPr="00E66728">
        <w:rPr>
          <w:rFonts w:asciiTheme="minorHAnsi" w:hAnsiTheme="minorHAnsi" w:cstheme="minorHAnsi"/>
          <w:sz w:val="15"/>
          <w:lang w:val="en-US"/>
        </w:rPr>
        <w:t>(confidence interval do</w:t>
      </w:r>
      <w:r>
        <w:rPr>
          <w:rFonts w:asciiTheme="minorHAnsi" w:hAnsiTheme="minorHAnsi" w:cstheme="minorHAnsi"/>
          <w:sz w:val="15"/>
          <w:lang w:val="en-US"/>
        </w:rPr>
        <w:t>es not</w:t>
      </w:r>
      <w:r w:rsidRPr="00E66728">
        <w:rPr>
          <w:rFonts w:asciiTheme="minorHAnsi" w:hAnsiTheme="minorHAnsi" w:cstheme="minorHAnsi"/>
          <w:sz w:val="15"/>
          <w:lang w:val="en-US"/>
        </w:rPr>
        <w:t xml:space="preserve"> contain </w:t>
      </w:r>
      <w:r>
        <w:rPr>
          <w:rFonts w:asciiTheme="minorHAnsi" w:hAnsiTheme="minorHAnsi" w:cstheme="minorHAnsi"/>
          <w:sz w:val="15"/>
          <w:lang w:val="en-US"/>
        </w:rPr>
        <w:t xml:space="preserve">minimum or target </w:t>
      </w:r>
      <w:r w:rsidRPr="00E66728">
        <w:rPr>
          <w:rFonts w:asciiTheme="minorHAnsi" w:hAnsiTheme="minorHAnsi" w:cstheme="minorHAnsi"/>
          <w:sz w:val="15"/>
          <w:lang w:val="en-US"/>
        </w:rPr>
        <w:t>proportions)</w:t>
      </w:r>
    </w:p>
    <w:p w14:paraId="5944FDB2" w14:textId="77777777" w:rsidR="008D3556" w:rsidRPr="00CA7EE1" w:rsidRDefault="008D3556">
      <w:pPr>
        <w:rPr>
          <w:lang w:val="en-US"/>
        </w:rPr>
      </w:pPr>
    </w:p>
    <w:sectPr w:rsidR="008D3556" w:rsidRPr="00CA7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wMLA0tTQwMTcCEko6SsGpxcWZ+XkgBUa1AD2Gl1YsAAAA"/>
  </w:docVars>
  <w:rsids>
    <w:rsidRoot w:val="00C41FD4"/>
    <w:rsid w:val="00685B32"/>
    <w:rsid w:val="008D3556"/>
    <w:rsid w:val="00C41FD4"/>
    <w:rsid w:val="00CA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60D16E-3BF7-4527-BAA2-F3D0E04C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A7EE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Cavaco Silva</dc:creator>
  <cp:keywords/>
  <dc:description/>
  <cp:lastModifiedBy>Joana Cavaco Silva</cp:lastModifiedBy>
  <cp:revision>3</cp:revision>
  <dcterms:created xsi:type="dcterms:W3CDTF">2022-10-09T14:55:00Z</dcterms:created>
  <dcterms:modified xsi:type="dcterms:W3CDTF">2022-10-24T12:04:00Z</dcterms:modified>
</cp:coreProperties>
</file>